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4976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REPÚBLICA DE COLOMBIA</w:t>
      </w:r>
    </w:p>
    <w:p w14:paraId="6FF822AF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RAMA JUDICIAL DEL PODER PÚBLICO</w:t>
      </w:r>
    </w:p>
    <w:p w14:paraId="1D578638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JUZGADO CUARENTA Y CUATRO CIVIL DEL CIRCUITO DE BOGOTÁ</w:t>
      </w:r>
    </w:p>
    <w:p w14:paraId="400C5936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</w:p>
    <w:p w14:paraId="41C4C286" w14:textId="19DFF6D0" w:rsidR="00F540F5" w:rsidRDefault="00F540F5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Bogotá D. C. enero 25 de dos mil veinticuatro (2024)</w:t>
      </w:r>
    </w:p>
    <w:p w14:paraId="5C62629D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346760A7" w14:textId="34C749AE" w:rsidR="00F540F5" w:rsidRDefault="00F540F5" w:rsidP="004C6A22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ADICADO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11001-31-03-044-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>2020-00163-</w:t>
      </w:r>
      <w:r>
        <w:rPr>
          <w:rFonts w:ascii="CenturyGothic" w:hAnsi="CenturyGothic" w:cs="CenturyGothic"/>
          <w:kern w:val="0"/>
          <w:lang w:val="es-CO"/>
        </w:rPr>
        <w:t>00</w:t>
      </w:r>
    </w:p>
    <w:p w14:paraId="63D4B46B" w14:textId="77777777" w:rsidR="004C6A22" w:rsidRDefault="004C6A22" w:rsidP="00F540F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79505529" w14:textId="77777777" w:rsidR="004C6A22" w:rsidRDefault="004C6A22" w:rsidP="00F540F5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kern w:val="0"/>
          <w:lang w:val="es-CO"/>
        </w:rPr>
      </w:pPr>
    </w:p>
    <w:p w14:paraId="2D2C48E9" w14:textId="5349584C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Encontrándose en la etapa procesal correspondiente, es del caso decidir sobre la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excepción previa formulada en este asunto, teniendo en cuenta las siguientes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consideraciones:</w:t>
      </w:r>
    </w:p>
    <w:p w14:paraId="402932B3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73FB77B2" w14:textId="32E1B204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La jurisprudencia y la doctrina han dejado por sentado que el objeto de las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excepciones previas radica en el saneamiento inicial del proceso, a efectos de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advertir las causales que pueden impedir el normal transcurso del litigio, y por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ende enderezarlo, a fin que se profiera decisión de fondo que defina la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controversia planteada ante la jurisdicción. Por tanto, éstas no atacan las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pretensiones planteadas, sino que tienden a sanear el procedimiento surtido.</w:t>
      </w:r>
    </w:p>
    <w:p w14:paraId="4FAE77CA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19FE4BD2" w14:textId="2393FE9E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Al efecto, el Legislador estableció de manera taxativa las causales que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configuran una excepción previa, que obedece a corregir los defectos que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puedan obstaculizar el proceso para proferir la sentencia que ponga fin al litigio.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</w:p>
    <w:p w14:paraId="13BC35C3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662C92C5" w14:textId="750D0548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Así, las excepciones se encuentran enumeradas de manera restrictiva en el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artículo 100 del Código General del Proceso, respecto de las cuales la doctrina las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ha clasificado entre aquellas que tienen por objeto finalizar el proceso (numerales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1, 2, 3, 4, 6 y 8) y las encausadas a mejorar el procedimiento (numerales 5, 7, 9, 10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y 11).</w:t>
      </w:r>
    </w:p>
    <w:p w14:paraId="3A292438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3B860918" w14:textId="73B1937D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 xml:space="preserve">Con estas consideraciones y descendiendo al </w:t>
      </w:r>
      <w:r>
        <w:rPr>
          <w:rFonts w:ascii="CenturyGothic-Italic" w:hAnsi="CenturyGothic-Italic" w:cs="CenturyGothic-Italic"/>
          <w:i/>
          <w:iCs/>
          <w:kern w:val="0"/>
          <w:lang w:val="es-CO"/>
        </w:rPr>
        <w:t>sub judice</w:t>
      </w:r>
      <w:r>
        <w:rPr>
          <w:rFonts w:ascii="CenturyGothic" w:hAnsi="CenturyGothic" w:cs="CenturyGothic"/>
          <w:kern w:val="0"/>
          <w:lang w:val="es-CO"/>
        </w:rPr>
        <w:t>, el togado del extremo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demandado (CAJA DE COMPENSACIÓN FAMILIAR COMPENSAR), alegó la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 xml:space="preserve">configuración de la </w:t>
      </w:r>
      <w:r>
        <w:rPr>
          <w:rFonts w:ascii="CenturyGothic-Italic" w:hAnsi="CenturyGothic-Italic" w:cs="CenturyGothic-Italic"/>
          <w:i/>
          <w:iCs/>
          <w:kern w:val="0"/>
          <w:lang w:val="es-CO"/>
        </w:rPr>
        <w:t>– ineptitud de la demanda por falta de los requisitos formales</w:t>
      </w:r>
      <w:r w:rsidR="004C6A22">
        <w:rPr>
          <w:rFonts w:ascii="CenturyGothic-Italic" w:hAnsi="CenturyGothic-Italic" w:cs="CenturyGothic-Italic"/>
          <w:i/>
          <w:iCs/>
          <w:kern w:val="0"/>
          <w:lang w:val="es-CO"/>
        </w:rPr>
        <w:t xml:space="preserve"> </w:t>
      </w:r>
      <w:r>
        <w:rPr>
          <w:rFonts w:ascii="CenturyGothic-Italic" w:hAnsi="CenturyGothic-Italic" w:cs="CenturyGothic-Italic"/>
          <w:i/>
          <w:iCs/>
          <w:kern w:val="0"/>
          <w:lang w:val="es-CO"/>
        </w:rPr>
        <w:t xml:space="preserve">o por indebida acumulación de pretensiones-, </w:t>
      </w:r>
      <w:r>
        <w:rPr>
          <w:rFonts w:ascii="CenturyGothic" w:hAnsi="CenturyGothic" w:cs="CenturyGothic"/>
          <w:kern w:val="0"/>
          <w:lang w:val="es-CO"/>
        </w:rPr>
        <w:t>fincada en el hecho de no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haberse cumplido el requisito de procedibilidad para incoar la acción, pues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nunca fue citada para ninguna audiencia de conciliación y, si bien se solicitó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medidas cautelares, lo cierto es que aquellas, no están enfiladas sobre bienes de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 xml:space="preserve">su propiedad, sino sólo a la Clínica </w:t>
      </w:r>
      <w:proofErr w:type="spellStart"/>
      <w:r>
        <w:rPr>
          <w:rFonts w:ascii="CenturyGothic" w:hAnsi="CenturyGothic" w:cs="CenturyGothic"/>
          <w:kern w:val="0"/>
          <w:lang w:val="es-CO"/>
        </w:rPr>
        <w:t>Paternon</w:t>
      </w:r>
      <w:proofErr w:type="spellEnd"/>
      <w:r>
        <w:rPr>
          <w:rFonts w:ascii="CenturyGothic" w:hAnsi="CenturyGothic" w:cs="CenturyGothic"/>
          <w:kern w:val="0"/>
          <w:lang w:val="es-CO"/>
        </w:rPr>
        <w:t xml:space="preserve"> Ltda.</w:t>
      </w:r>
    </w:p>
    <w:p w14:paraId="45C8B095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1A77DB7B" w14:textId="516C95D0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Sobre el particular, ha de decirse que si bien la administración de justicia 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función pública y por ende debe garantizar a todo ciudadano su acceso,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conforme prevén los artículos 228 y 229 de la Constitución Política, también lo 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que por virtud de la ley se ha dispuesto la satisfacción de ciertas exigencias 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efectos de acudir ante la jurisdicción, cuya inobservancia impide al juez atender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los requerimientos de quien acude ante los estrados judiciales en aras de obtener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una declaración de parte del poder judicial.</w:t>
      </w:r>
    </w:p>
    <w:p w14:paraId="45D51232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1EA4EFC7" w14:textId="7F2EB02A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El legislador, en el canon 621 del Estatuto Procesal Civil, que modificó la regla 38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 la Ley 640 de 2001, dispuso como requisito de procedibilidad, acudir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previamente ante los jueces, la celebración de una conciliación extrajudicial,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(condición que no puede pasarse por alto, por el funcionario judicial, al momento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 examinar la correspondiente demanda a efectos de decidir sobre su admisión,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toda vez que se trata de norma de orden público, que por lo tanto es de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obligatorio cumplimiento, no sólo para el juzgador, sino también para las partes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 xml:space="preserve">por inconveniente que ella </w:t>
      </w:r>
      <w:r>
        <w:rPr>
          <w:rFonts w:ascii="CenturyGothic" w:hAnsi="CenturyGothic" w:cs="CenturyGothic"/>
          <w:kern w:val="0"/>
          <w:lang w:val="es-CO"/>
        </w:rPr>
        <w:lastRenderedPageBreak/>
        <w:t>parezca), también enseñó, que dicha exigencia,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podría obviarse, si se solicita la práctica de medidas cautelares (parágrafo 1º del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 xml:space="preserve">artículo 590 </w:t>
      </w:r>
      <w:proofErr w:type="spellStart"/>
      <w:r>
        <w:rPr>
          <w:rFonts w:ascii="CenturyGothic-Italic" w:hAnsi="CenturyGothic-Italic" w:cs="CenturyGothic-Italic"/>
          <w:i/>
          <w:iCs/>
          <w:kern w:val="0"/>
          <w:lang w:val="es-CO"/>
        </w:rPr>
        <w:t>ib</w:t>
      </w:r>
      <w:proofErr w:type="spellEnd"/>
      <w:r>
        <w:rPr>
          <w:rFonts w:ascii="CenturyGothic" w:hAnsi="CenturyGothic" w:cs="CenturyGothic"/>
          <w:kern w:val="0"/>
          <w:lang w:val="es-CO"/>
        </w:rPr>
        <w:t>).</w:t>
      </w:r>
    </w:p>
    <w:p w14:paraId="72ACC618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70F3B0B7" w14:textId="261C9133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 xml:space="preserve">Así las cosas, se evidencia </w:t>
      </w:r>
      <w:proofErr w:type="gramStart"/>
      <w:r>
        <w:rPr>
          <w:rFonts w:ascii="CenturyGothic" w:hAnsi="CenturyGothic" w:cs="CenturyGothic"/>
          <w:kern w:val="0"/>
          <w:lang w:val="es-CO"/>
        </w:rPr>
        <w:t>que</w:t>
      </w:r>
      <w:proofErr w:type="gramEnd"/>
      <w:r>
        <w:rPr>
          <w:rFonts w:ascii="CenturyGothic" w:hAnsi="CenturyGothic" w:cs="CenturyGothic"/>
          <w:kern w:val="0"/>
          <w:lang w:val="es-CO"/>
        </w:rPr>
        <w:t xml:space="preserve"> en el caso de marras, el extremo actor, al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momento de presentar la demanda, solicitó las siguientes medidas cautelares: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</w:p>
    <w:p w14:paraId="4FCF4EBF" w14:textId="24EF5430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0"/>
          <w:szCs w:val="20"/>
          <w:lang w:val="es-CO"/>
        </w:rPr>
      </w:pPr>
    </w:p>
    <w:p w14:paraId="46677A0E" w14:textId="5FDDBB70" w:rsidR="004C6A22" w:rsidRDefault="0051369E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0"/>
          <w:szCs w:val="20"/>
          <w:lang w:val="es-CO"/>
        </w:rPr>
      </w:pPr>
      <w:r w:rsidRPr="0051369E">
        <w:rPr>
          <w:rFonts w:ascii="CenturyGothic" w:hAnsi="CenturyGothic" w:cs="CenturyGothic"/>
          <w:noProof/>
          <w:kern w:val="0"/>
          <w:sz w:val="20"/>
          <w:szCs w:val="20"/>
          <w:lang w:val="es-CO"/>
        </w:rPr>
        <w:drawing>
          <wp:inline distT="0" distB="0" distL="0" distR="0" wp14:anchorId="7BA46B93" wp14:editId="24CC08C9">
            <wp:extent cx="5612130" cy="3810635"/>
            <wp:effectExtent l="0" t="0" r="7620" b="0"/>
            <wp:docPr id="18966801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D8DA1" w14:textId="4767EDEB" w:rsidR="0051369E" w:rsidRDefault="00AE22F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0"/>
          <w:szCs w:val="20"/>
          <w:lang w:val="es-CO"/>
        </w:rPr>
      </w:pPr>
      <w:r w:rsidRPr="00AE22F2">
        <w:rPr>
          <w:rFonts w:ascii="CenturyGothic" w:hAnsi="CenturyGothic" w:cs="CenturyGothic"/>
          <w:noProof/>
          <w:kern w:val="0"/>
          <w:sz w:val="20"/>
          <w:szCs w:val="20"/>
          <w:lang w:val="es-CO"/>
        </w:rPr>
        <w:drawing>
          <wp:inline distT="0" distB="0" distL="0" distR="0" wp14:anchorId="60D12173" wp14:editId="7B09F0CD">
            <wp:extent cx="5172075" cy="333375"/>
            <wp:effectExtent l="0" t="0" r="9525" b="9525"/>
            <wp:docPr id="12811481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12F8" w14:textId="4B3D40DC" w:rsidR="00AE22F2" w:rsidRDefault="00A775BB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0"/>
          <w:szCs w:val="20"/>
          <w:lang w:val="es-CO"/>
        </w:rPr>
      </w:pPr>
      <w:r w:rsidRPr="00A775BB">
        <w:rPr>
          <w:rFonts w:ascii="CenturyGothic" w:hAnsi="CenturyGothic" w:cs="CenturyGothic"/>
          <w:noProof/>
          <w:kern w:val="0"/>
          <w:sz w:val="20"/>
          <w:szCs w:val="20"/>
          <w:lang w:val="es-CO"/>
        </w:rPr>
        <w:lastRenderedPageBreak/>
        <w:drawing>
          <wp:inline distT="0" distB="0" distL="0" distR="0" wp14:anchorId="32AA38DC" wp14:editId="3A3CD828">
            <wp:extent cx="5400675" cy="3181350"/>
            <wp:effectExtent l="0" t="0" r="9525" b="0"/>
            <wp:docPr id="115617220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8857D" w14:textId="77777777" w:rsidR="0051369E" w:rsidRDefault="0051369E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sz w:val="20"/>
          <w:szCs w:val="20"/>
          <w:lang w:val="es-CO"/>
        </w:rPr>
      </w:pPr>
    </w:p>
    <w:p w14:paraId="62AB81C9" w14:textId="59F72A76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Estas solicitudes también incluyen los bienes de la demandada Compensar y, no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como erróneamente lo invocó ese extremo, razón por la cual, esta sede judicial,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atendiendo el pedimento, procedió a decretar, la inscripción de la demanda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sobre los establecimientos de comercio de las sociedades demandadas (archivo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02, c.2).</w:t>
      </w:r>
    </w:p>
    <w:p w14:paraId="74DCA13F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1F3D367E" w14:textId="4902ADBC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En virtud de lo expuesto, debe señalarse la falta de prosperidad de la excepción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planteada. Pero al margen de lo anterior, se hace necesario precisar, que si sólo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se hubieran deprecado la práctica de cautelas contra uno de los demandados,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estas cobijan a todo el extremo pasivo, pues el parágrafo 1º del artículo 590 del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C.G.P., refiere que “[e]n todo proceso y ante cualquier jurisdicción, cuando se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solicite la práctica de medidas cautelares se podrá acudir directamente al juez,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sin necesidad de agotar la conciliación prejudicial como requisito de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procedibilidad”, disposición, que establece, únicamente solicitud de medidas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cautelares, sin hacer referencia que aquellas, deben versar sobre los bienes de la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totalidad de las personas que hacen parte del extremo pasivo.</w:t>
      </w:r>
    </w:p>
    <w:p w14:paraId="6DEFA78F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046CBFA5" w14:textId="4F0378C0" w:rsidR="004C6A22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Corolario de lo expuesto, se concluye la frustración de la excepción previa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formulada,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Por lo expuesto, el Juzgado Cuarenta y Cuatro Civil del Circuito,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</w:p>
    <w:p w14:paraId="4B0036C1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0697FBF2" w14:textId="5B00DBE1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RESUELVE</w:t>
      </w:r>
    </w:p>
    <w:p w14:paraId="04D1D4B8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62208681" w14:textId="078F1EEF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P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RIMERO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Declarar impróspera la excepción previa planteada por la parte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demandada, en atención a los motivos indicados en la parte considerativa de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esta providencia.</w:t>
      </w:r>
    </w:p>
    <w:p w14:paraId="2BFCC4D1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485F91D1" w14:textId="67189E08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S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>EGUNDO</w:t>
      </w:r>
      <w:r>
        <w:rPr>
          <w:rFonts w:ascii="CenturyGothic-Bold" w:hAnsi="CenturyGothic-Bold" w:cs="CenturyGothic-Bold"/>
          <w:b/>
          <w:bCs/>
          <w:kern w:val="0"/>
          <w:lang w:val="es-CO"/>
        </w:rPr>
        <w:t xml:space="preserve">: </w:t>
      </w:r>
      <w:r>
        <w:rPr>
          <w:rFonts w:ascii="CenturyGothic" w:hAnsi="CenturyGothic" w:cs="CenturyGothic"/>
          <w:kern w:val="0"/>
          <w:lang w:val="es-CO"/>
        </w:rPr>
        <w:t>Condenar en costas al proponente. Se fijan como agencias en derecho</w:t>
      </w:r>
      <w:r w:rsidR="004C6A22">
        <w:rPr>
          <w:rFonts w:ascii="CenturyGothic" w:hAnsi="CenturyGothic" w:cs="CenturyGothic"/>
          <w:kern w:val="0"/>
          <w:lang w:val="es-CO"/>
        </w:rPr>
        <w:t xml:space="preserve"> </w:t>
      </w:r>
      <w:r>
        <w:rPr>
          <w:rFonts w:ascii="CenturyGothic" w:hAnsi="CenturyGothic" w:cs="CenturyGothic"/>
          <w:kern w:val="0"/>
          <w:lang w:val="es-CO"/>
        </w:rPr>
        <w:t>la suma de $250.</w:t>
      </w:r>
      <w:proofErr w:type="gramStart"/>
      <w:r>
        <w:rPr>
          <w:rFonts w:ascii="CenturyGothic" w:hAnsi="CenturyGothic" w:cs="CenturyGothic"/>
          <w:kern w:val="0"/>
          <w:lang w:val="es-CO"/>
        </w:rPr>
        <w:t>000,oo</w:t>
      </w:r>
      <w:proofErr w:type="gramEnd"/>
      <w:r>
        <w:rPr>
          <w:rFonts w:ascii="CenturyGothic" w:hAnsi="CenturyGothic" w:cs="CenturyGothic"/>
          <w:kern w:val="0"/>
          <w:lang w:val="es-CO"/>
        </w:rPr>
        <w:t xml:space="preserve"> M/cte.</w:t>
      </w:r>
    </w:p>
    <w:p w14:paraId="0BD11854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</w:p>
    <w:p w14:paraId="1569DAB7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t>N</w:t>
      </w:r>
      <w:r>
        <w:rPr>
          <w:rFonts w:ascii="CenturyGothic-Bold" w:hAnsi="CenturyGothic-Bold" w:cs="CenturyGothic-Bold"/>
          <w:b/>
          <w:bCs/>
          <w:kern w:val="0"/>
          <w:sz w:val="18"/>
          <w:szCs w:val="18"/>
          <w:lang w:val="es-CO"/>
        </w:rPr>
        <w:t xml:space="preserve">OTIFÍQUESE </w:t>
      </w:r>
      <w:r>
        <w:rPr>
          <w:rFonts w:ascii="CenturyGothic" w:hAnsi="CenturyGothic" w:cs="CenturyGothic"/>
          <w:kern w:val="0"/>
          <w:lang w:val="es-CO"/>
        </w:rPr>
        <w:t>(4)</w:t>
      </w:r>
    </w:p>
    <w:p w14:paraId="18F86584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kern w:val="0"/>
          <w:lang w:val="es-CO"/>
        </w:rPr>
      </w:pPr>
      <w:r>
        <w:rPr>
          <w:rFonts w:ascii="CenturyGothic" w:hAnsi="CenturyGothic" w:cs="CenturyGothic"/>
          <w:kern w:val="0"/>
          <w:lang w:val="es-CO"/>
        </w:rPr>
        <w:t>El juez,</w:t>
      </w:r>
    </w:p>
    <w:p w14:paraId="79724F8D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</w:p>
    <w:p w14:paraId="0C5B33ED" w14:textId="0351F00A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CenturyGothic-Bold" w:hAnsi="CenturyGothic-Bold" w:cs="CenturyGothic-Bold"/>
          <w:b/>
          <w:bCs/>
          <w:kern w:val="0"/>
          <w:lang w:val="es-CO"/>
        </w:rPr>
      </w:pPr>
      <w:r>
        <w:rPr>
          <w:rFonts w:ascii="CenturyGothic-Bold" w:hAnsi="CenturyGothic-Bold" w:cs="CenturyGothic-Bold"/>
          <w:b/>
          <w:bCs/>
          <w:kern w:val="0"/>
          <w:lang w:val="es-CO"/>
        </w:rPr>
        <w:lastRenderedPageBreak/>
        <w:t xml:space="preserve">MAURICIO DE LOS REYES CABEZA </w:t>
      </w:r>
      <w:proofErr w:type="spellStart"/>
      <w:r>
        <w:rPr>
          <w:rFonts w:ascii="CenturyGothic-Bold" w:hAnsi="CenturyGothic-Bold" w:cs="CenturyGothic-Bold"/>
          <w:b/>
          <w:bCs/>
          <w:kern w:val="0"/>
          <w:lang w:val="es-CO"/>
        </w:rPr>
        <w:t>CABEZA</w:t>
      </w:r>
      <w:proofErr w:type="spellEnd"/>
    </w:p>
    <w:p w14:paraId="455259F5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33EA2B66" w14:textId="77777777" w:rsidR="004C6A22" w:rsidRDefault="004C6A22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</w:p>
    <w:p w14:paraId="21E3BCB4" w14:textId="3162BC9A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Firmado Por:</w:t>
      </w:r>
    </w:p>
    <w:p w14:paraId="38CB024F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 xml:space="preserve">Mauricio De Los Reyes Cabeza </w:t>
      </w:r>
      <w:proofErr w:type="spellStart"/>
      <w:r>
        <w:rPr>
          <w:rFonts w:ascii="Arial" w:hAnsi="Arial" w:cs="Arial"/>
          <w:kern w:val="0"/>
          <w:sz w:val="16"/>
          <w:szCs w:val="16"/>
          <w:lang w:val="es-CO"/>
        </w:rPr>
        <w:t>Cabeza</w:t>
      </w:r>
      <w:proofErr w:type="spellEnd"/>
    </w:p>
    <w:p w14:paraId="5F245E06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Juez</w:t>
      </w:r>
    </w:p>
    <w:p w14:paraId="1137F768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Juzgado De Circuito</w:t>
      </w:r>
    </w:p>
    <w:p w14:paraId="2B1B017C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Civil 044</w:t>
      </w:r>
    </w:p>
    <w:p w14:paraId="4614CE6F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Bogotá, D.C. - Bogotá D.C.,</w:t>
      </w:r>
    </w:p>
    <w:p w14:paraId="274050BE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Este documento fue generado con firma electrónica y cuenta con plena validez jurídica,</w:t>
      </w:r>
    </w:p>
    <w:p w14:paraId="69664962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conforme a lo dispuesto en la Ley 527/99 y el decreto reglamentario 2364/12</w:t>
      </w:r>
    </w:p>
    <w:p w14:paraId="141A35EE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Código de verificación: 8ed5267535c746e72db59f2331e80daee55a3c98fbbfd49172e3fea790ecdbb9</w:t>
      </w:r>
    </w:p>
    <w:p w14:paraId="4C93B291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16"/>
          <w:lang w:val="es-CO"/>
        </w:rPr>
      </w:pPr>
      <w:r>
        <w:rPr>
          <w:rFonts w:ascii="Arial" w:hAnsi="Arial" w:cs="Arial"/>
          <w:kern w:val="0"/>
          <w:sz w:val="16"/>
          <w:szCs w:val="16"/>
          <w:lang w:val="es-CO"/>
        </w:rPr>
        <w:t>Documento generado en 25/01/2024 07:42:51 AM</w:t>
      </w:r>
    </w:p>
    <w:p w14:paraId="59364CFA" w14:textId="77777777" w:rsidR="00F540F5" w:rsidRDefault="00F540F5" w:rsidP="004C6A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lang w:val="es-CO"/>
        </w:rPr>
      </w:pPr>
      <w:r>
        <w:rPr>
          <w:rFonts w:ascii="Arial" w:hAnsi="Arial" w:cs="Arial"/>
          <w:kern w:val="0"/>
          <w:sz w:val="20"/>
          <w:szCs w:val="20"/>
          <w:lang w:val="es-CO"/>
        </w:rPr>
        <w:t xml:space="preserve">Descargue el archivo y valide </w:t>
      </w:r>
      <w:proofErr w:type="gramStart"/>
      <w:r>
        <w:rPr>
          <w:rFonts w:ascii="Arial" w:hAnsi="Arial" w:cs="Arial"/>
          <w:kern w:val="0"/>
          <w:sz w:val="20"/>
          <w:szCs w:val="20"/>
          <w:lang w:val="es-CO"/>
        </w:rPr>
        <w:t>éste</w:t>
      </w:r>
      <w:proofErr w:type="gramEnd"/>
      <w:r>
        <w:rPr>
          <w:rFonts w:ascii="Arial" w:hAnsi="Arial" w:cs="Arial"/>
          <w:kern w:val="0"/>
          <w:sz w:val="20"/>
          <w:szCs w:val="20"/>
          <w:lang w:val="es-CO"/>
        </w:rPr>
        <w:t xml:space="preserve"> documento electrónico en la siguiente URL:</w:t>
      </w:r>
    </w:p>
    <w:p w14:paraId="611A476A" w14:textId="1333E6AB" w:rsidR="00B9243D" w:rsidRDefault="00F540F5" w:rsidP="004C6A22">
      <w:pPr>
        <w:jc w:val="both"/>
      </w:pPr>
      <w:r>
        <w:rPr>
          <w:rFonts w:ascii="Arial" w:hAnsi="Arial" w:cs="Arial"/>
          <w:kern w:val="0"/>
          <w:sz w:val="20"/>
          <w:szCs w:val="20"/>
          <w:lang w:val="es-CO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F5"/>
    <w:rsid w:val="000A4106"/>
    <w:rsid w:val="004C6A22"/>
    <w:rsid w:val="0051369E"/>
    <w:rsid w:val="00737460"/>
    <w:rsid w:val="00A775BB"/>
    <w:rsid w:val="00AE22F2"/>
    <w:rsid w:val="00B9243D"/>
    <w:rsid w:val="00DA03DC"/>
    <w:rsid w:val="00F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4B4"/>
  <w15:chartTrackingRefBased/>
  <w15:docId w15:val="{24BCB0F2-77A0-4D55-AB9D-A7C272D1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7</cp:revision>
  <dcterms:created xsi:type="dcterms:W3CDTF">2024-01-29T13:40:00Z</dcterms:created>
  <dcterms:modified xsi:type="dcterms:W3CDTF">2024-01-29T13:47:00Z</dcterms:modified>
</cp:coreProperties>
</file>