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A662" w14:textId="77777777" w:rsidR="00CF6005" w:rsidRPr="00B44322" w:rsidRDefault="00CF6005" w:rsidP="00B44322">
      <w:pPr>
        <w:jc w:val="both"/>
        <w:rPr>
          <w:rFonts w:ascii="Calibri" w:hAnsi="Calibri" w:cs="Calibri"/>
        </w:rPr>
      </w:pPr>
      <w:r w:rsidRPr="00B44322">
        <w:rPr>
          <w:rFonts w:ascii="Calibri" w:hAnsi="Calibri" w:cs="Calibri"/>
        </w:rPr>
        <w:t>Estimados área de informes, reciban un cordial saludo,</w:t>
      </w:r>
    </w:p>
    <w:p w14:paraId="7943930B" w14:textId="693B3571" w:rsidR="00CF6005" w:rsidRPr="00B44322" w:rsidRDefault="002F1262" w:rsidP="00B44322">
      <w:pPr>
        <w:spacing w:after="0"/>
        <w:jc w:val="both"/>
        <w:rPr>
          <w:rFonts w:ascii="Calibri" w:hAnsi="Calibri" w:cs="Calibri"/>
        </w:rPr>
      </w:pPr>
      <w:r w:rsidRPr="00B44322">
        <w:rPr>
          <w:rFonts w:ascii="Calibri" w:hAnsi="Calibri" w:cs="Calibri"/>
        </w:rPr>
        <w:t xml:space="preserve">Por medio del presente me permito compartirles el documento que contiene el recurso de apelación frente a la sentencia condenatoria de primera instancia del caso de la referencia, el cual fue asignado a mí y que radiqué ante el Juzgado </w:t>
      </w:r>
      <w:r>
        <w:rPr>
          <w:rFonts w:ascii="Calibri" w:hAnsi="Calibri" w:cs="Calibri"/>
        </w:rPr>
        <w:t>Segundo</w:t>
      </w:r>
      <w:r w:rsidRPr="00B44322">
        <w:rPr>
          <w:rFonts w:ascii="Calibri" w:hAnsi="Calibri" w:cs="Calibri"/>
        </w:rPr>
        <w:t xml:space="preserve"> Administrativo del Circuito de </w:t>
      </w:r>
      <w:r>
        <w:rPr>
          <w:rFonts w:ascii="Calibri" w:hAnsi="Calibri" w:cs="Calibri"/>
        </w:rPr>
        <w:t>Guadalajara de Buga</w:t>
      </w:r>
      <w:r w:rsidRPr="00B44322">
        <w:rPr>
          <w:rFonts w:ascii="Calibri" w:hAnsi="Calibri" w:cs="Calibri"/>
        </w:rPr>
        <w:t xml:space="preserve"> en el aplicativo SAMAI y compartí a las partes del proceso en representación de la </w:t>
      </w:r>
      <w:r>
        <w:rPr>
          <w:rFonts w:ascii="Calibri" w:hAnsi="Calibri" w:cs="Calibri"/>
        </w:rPr>
        <w:t>Aseguradora Solidaria de Colombia Entidad Cooperativa</w:t>
      </w:r>
      <w:r w:rsidRPr="00B44322">
        <w:rPr>
          <w:rFonts w:ascii="Calibri" w:hAnsi="Calibri" w:cs="Calibri"/>
        </w:rPr>
        <w:t xml:space="preserve">, el </w:t>
      </w:r>
      <w:r>
        <w:rPr>
          <w:rFonts w:ascii="Calibri" w:hAnsi="Calibri" w:cs="Calibri"/>
        </w:rPr>
        <w:t>miércoles</w:t>
      </w:r>
      <w:r w:rsidRPr="00B44322">
        <w:rPr>
          <w:rFonts w:ascii="Calibri" w:hAnsi="Calibri" w:cs="Calibri"/>
        </w:rPr>
        <w:t xml:space="preserve"> </w:t>
      </w:r>
      <w:r>
        <w:rPr>
          <w:rFonts w:ascii="Calibri" w:hAnsi="Calibri" w:cs="Calibri"/>
        </w:rPr>
        <w:t>22</w:t>
      </w:r>
      <w:r w:rsidRPr="00B44322">
        <w:rPr>
          <w:rFonts w:ascii="Calibri" w:hAnsi="Calibri" w:cs="Calibri"/>
        </w:rPr>
        <w:t xml:space="preserve"> de </w:t>
      </w:r>
      <w:r>
        <w:rPr>
          <w:rFonts w:ascii="Calibri" w:hAnsi="Calibri" w:cs="Calibri"/>
        </w:rPr>
        <w:t>enero</w:t>
      </w:r>
      <w:r w:rsidRPr="00B44322">
        <w:rPr>
          <w:rFonts w:ascii="Calibri" w:hAnsi="Calibri" w:cs="Calibri"/>
        </w:rPr>
        <w:t xml:space="preserve"> de 202</w:t>
      </w:r>
      <w:r>
        <w:rPr>
          <w:rFonts w:ascii="Calibri" w:hAnsi="Calibri" w:cs="Calibri"/>
        </w:rPr>
        <w:t>5. De igual manera adjunto la constancia de envío al despacho y a las partes y la constancia de la radicación en la plataforma SAMAI,</w:t>
      </w:r>
      <w:r w:rsidRPr="00B44322">
        <w:rPr>
          <w:rFonts w:ascii="Calibri" w:hAnsi="Calibri" w:cs="Calibri"/>
        </w:rPr>
        <w:t xml:space="preserve"> respecto del asunto que se detalla a continuación</w:t>
      </w:r>
      <w:r w:rsidR="00CF6005" w:rsidRPr="00B44322">
        <w:rPr>
          <w:rFonts w:ascii="Calibri" w:hAnsi="Calibri" w:cs="Calibri"/>
        </w:rPr>
        <w:t>:</w:t>
      </w:r>
    </w:p>
    <w:p w14:paraId="168B9EC8" w14:textId="77777777" w:rsidR="00D62742" w:rsidRPr="00B44322" w:rsidRDefault="00D62742" w:rsidP="00B44322">
      <w:pPr>
        <w:spacing w:after="0"/>
        <w:jc w:val="both"/>
        <w:rPr>
          <w:rFonts w:ascii="Calibri" w:hAnsi="Calibri" w:cs="Calibri"/>
        </w:rPr>
      </w:pPr>
    </w:p>
    <w:p w14:paraId="0FE68985" w14:textId="1A366CB7" w:rsidR="002F1262" w:rsidRDefault="002F1262" w:rsidP="00B44322">
      <w:pPr>
        <w:spacing w:after="0"/>
        <w:ind w:left="708"/>
        <w:jc w:val="both"/>
        <w:rPr>
          <w:rFonts w:ascii="Calibri" w:hAnsi="Calibri" w:cs="Calibri"/>
          <w:b/>
          <w:bCs/>
        </w:rPr>
      </w:pPr>
      <w:r>
        <w:rPr>
          <w:rFonts w:ascii="Calibri" w:hAnsi="Calibri" w:cs="Calibri"/>
          <w:b/>
          <w:bCs/>
        </w:rPr>
        <w:t xml:space="preserve">REFERENCIA: </w:t>
      </w:r>
      <w:r w:rsidRPr="007513A1">
        <w:rPr>
          <w:rFonts w:ascii="Calibri" w:hAnsi="Calibri" w:cs="Calibri"/>
        </w:rPr>
        <w:t>RECURSO DE APELACIÓN</w:t>
      </w:r>
    </w:p>
    <w:p w14:paraId="689A796E" w14:textId="11D76912" w:rsidR="000A0DDF" w:rsidRPr="00B44322" w:rsidRDefault="000A0DDF" w:rsidP="00B44322">
      <w:pPr>
        <w:spacing w:after="0"/>
        <w:ind w:left="708"/>
        <w:jc w:val="both"/>
        <w:rPr>
          <w:rFonts w:ascii="Calibri" w:hAnsi="Calibri" w:cs="Calibri"/>
          <w:b/>
          <w:bCs/>
        </w:rPr>
      </w:pPr>
      <w:r w:rsidRPr="00B44322">
        <w:rPr>
          <w:rFonts w:ascii="Calibri" w:hAnsi="Calibri" w:cs="Calibri"/>
          <w:b/>
          <w:bCs/>
        </w:rPr>
        <w:t xml:space="preserve">PROCESO: </w:t>
      </w:r>
      <w:r w:rsidR="00B436F4">
        <w:rPr>
          <w:rFonts w:ascii="Calibri" w:hAnsi="Calibri" w:cs="Calibri"/>
          <w:b/>
          <w:bCs/>
        </w:rPr>
        <w:t>CONTROVERSIAS CONTRACTUALES</w:t>
      </w:r>
    </w:p>
    <w:p w14:paraId="09314F60" w14:textId="474385D2" w:rsidR="000A0DDF" w:rsidRPr="00B44322" w:rsidRDefault="000A0DDF" w:rsidP="00B44322">
      <w:pPr>
        <w:spacing w:after="0"/>
        <w:ind w:left="708"/>
        <w:jc w:val="both"/>
        <w:rPr>
          <w:rFonts w:ascii="Calibri" w:hAnsi="Calibri" w:cs="Calibri"/>
          <w:b/>
          <w:bCs/>
        </w:rPr>
      </w:pPr>
      <w:r w:rsidRPr="00B44322">
        <w:rPr>
          <w:rFonts w:ascii="Calibri" w:hAnsi="Calibri" w:cs="Calibri"/>
          <w:b/>
          <w:bCs/>
        </w:rPr>
        <w:t xml:space="preserve">RADICACIÓN: </w:t>
      </w:r>
      <w:r w:rsidR="00B436F4" w:rsidRPr="00B436F4">
        <w:rPr>
          <w:rFonts w:ascii="Calibri" w:hAnsi="Calibri" w:cs="Calibri"/>
          <w:b/>
          <w:bCs/>
        </w:rPr>
        <w:t>761113333002</w:t>
      </w:r>
      <w:r w:rsidR="00B436F4">
        <w:rPr>
          <w:rFonts w:ascii="Calibri" w:hAnsi="Calibri" w:cs="Calibri"/>
          <w:b/>
          <w:bCs/>
        </w:rPr>
        <w:t>-</w:t>
      </w:r>
      <w:r w:rsidR="00B436F4" w:rsidRPr="00B436F4">
        <w:rPr>
          <w:rFonts w:ascii="Calibri" w:hAnsi="Calibri" w:cs="Calibri"/>
          <w:b/>
          <w:bCs/>
        </w:rPr>
        <w:t>2020</w:t>
      </w:r>
      <w:r w:rsidR="00B436F4">
        <w:rPr>
          <w:rFonts w:ascii="Calibri" w:hAnsi="Calibri" w:cs="Calibri"/>
          <w:b/>
          <w:bCs/>
        </w:rPr>
        <w:t>-</w:t>
      </w:r>
      <w:r w:rsidR="00B436F4" w:rsidRPr="00B436F4">
        <w:rPr>
          <w:rFonts w:ascii="Calibri" w:hAnsi="Calibri" w:cs="Calibri"/>
          <w:b/>
          <w:bCs/>
        </w:rPr>
        <w:t>00012</w:t>
      </w:r>
      <w:r w:rsidR="00B436F4">
        <w:rPr>
          <w:rFonts w:ascii="Calibri" w:hAnsi="Calibri" w:cs="Calibri"/>
          <w:b/>
          <w:bCs/>
        </w:rPr>
        <w:t>-</w:t>
      </w:r>
      <w:r w:rsidR="00B436F4" w:rsidRPr="00B436F4">
        <w:rPr>
          <w:rFonts w:ascii="Calibri" w:hAnsi="Calibri" w:cs="Calibri"/>
          <w:b/>
          <w:bCs/>
        </w:rPr>
        <w:t>00</w:t>
      </w:r>
    </w:p>
    <w:p w14:paraId="43BEC441" w14:textId="6EFDE4BD" w:rsidR="000A0DDF" w:rsidRPr="00B44322" w:rsidRDefault="000A0DDF" w:rsidP="00B44322">
      <w:pPr>
        <w:spacing w:after="0"/>
        <w:ind w:left="708"/>
        <w:jc w:val="both"/>
        <w:rPr>
          <w:rFonts w:ascii="Calibri" w:hAnsi="Calibri" w:cs="Calibri"/>
          <w:b/>
          <w:bCs/>
        </w:rPr>
      </w:pPr>
      <w:r w:rsidRPr="00B44322">
        <w:rPr>
          <w:rFonts w:ascii="Calibri" w:hAnsi="Calibri" w:cs="Calibri"/>
          <w:b/>
          <w:bCs/>
        </w:rPr>
        <w:t xml:space="preserve">DEMANDANTE: </w:t>
      </w:r>
      <w:r w:rsidR="00B436F4" w:rsidRPr="00B436F4">
        <w:rPr>
          <w:rFonts w:ascii="Calibri" w:hAnsi="Calibri" w:cs="Calibri"/>
          <w:b/>
          <w:bCs/>
        </w:rPr>
        <w:t>ASEGURADORA SOLIDARIA DE COLOMBIA E.C</w:t>
      </w:r>
      <w:r w:rsidR="00B436F4">
        <w:rPr>
          <w:rFonts w:ascii="Calibri" w:hAnsi="Calibri" w:cs="Calibri"/>
          <w:b/>
          <w:bCs/>
        </w:rPr>
        <w:t>.</w:t>
      </w:r>
    </w:p>
    <w:p w14:paraId="087BDC2A" w14:textId="3F074EC8" w:rsidR="000A0DDF" w:rsidRPr="00B44322" w:rsidRDefault="000A0DDF" w:rsidP="00B44322">
      <w:pPr>
        <w:spacing w:after="0"/>
        <w:ind w:left="708"/>
        <w:jc w:val="both"/>
        <w:rPr>
          <w:rFonts w:ascii="Calibri" w:hAnsi="Calibri" w:cs="Calibri"/>
          <w:b/>
          <w:bCs/>
        </w:rPr>
      </w:pPr>
      <w:r w:rsidRPr="00B44322">
        <w:rPr>
          <w:rFonts w:ascii="Calibri" w:hAnsi="Calibri" w:cs="Calibri"/>
          <w:b/>
          <w:bCs/>
        </w:rPr>
        <w:t xml:space="preserve">DEMANDADOS: </w:t>
      </w:r>
      <w:r w:rsidR="00B436F4">
        <w:rPr>
          <w:rFonts w:ascii="Calibri" w:hAnsi="Calibri" w:cs="Calibri"/>
          <w:b/>
          <w:bCs/>
        </w:rPr>
        <w:t>MUNICIPIO DE BUGALAGRANDE</w:t>
      </w:r>
    </w:p>
    <w:p w14:paraId="5EE5DA35" w14:textId="77777777" w:rsidR="00CF6005" w:rsidRPr="00B44322" w:rsidRDefault="00CF6005" w:rsidP="00B44322">
      <w:pPr>
        <w:spacing w:after="0"/>
        <w:jc w:val="both"/>
        <w:rPr>
          <w:rFonts w:ascii="Calibri" w:hAnsi="Calibri" w:cs="Calibri"/>
          <w:b/>
          <w:bCs/>
        </w:rPr>
      </w:pPr>
    </w:p>
    <w:p w14:paraId="06D829A1" w14:textId="08690DCA" w:rsidR="00797B2F" w:rsidRPr="00B44322" w:rsidRDefault="00797B2F" w:rsidP="00B44322">
      <w:pPr>
        <w:spacing w:after="0"/>
        <w:jc w:val="both"/>
        <w:rPr>
          <w:rFonts w:ascii="Calibri" w:hAnsi="Calibri" w:cs="Calibri"/>
        </w:rPr>
      </w:pPr>
      <w:r w:rsidRPr="00B44322">
        <w:rPr>
          <w:rFonts w:ascii="Calibri" w:hAnsi="Calibri" w:cs="Calibri"/>
        </w:rPr>
        <w:t xml:space="preserve">En relación con el mérito de prosperidad del recurso, </w:t>
      </w:r>
      <w:r w:rsidR="00254767">
        <w:rPr>
          <w:rFonts w:ascii="Calibri" w:hAnsi="Calibri" w:cs="Calibri"/>
        </w:rPr>
        <w:t xml:space="preserve">se </w:t>
      </w:r>
      <w:r w:rsidRPr="00B44322">
        <w:rPr>
          <w:rFonts w:ascii="Calibri" w:hAnsi="Calibri" w:cs="Calibri"/>
        </w:rPr>
        <w:t>consider</w:t>
      </w:r>
      <w:r w:rsidR="00254767">
        <w:rPr>
          <w:rFonts w:ascii="Calibri" w:hAnsi="Calibri" w:cs="Calibri"/>
        </w:rPr>
        <w:t>a</w:t>
      </w:r>
      <w:r w:rsidRPr="00B44322">
        <w:rPr>
          <w:rFonts w:ascii="Calibri" w:hAnsi="Calibri" w:cs="Calibri"/>
        </w:rPr>
        <w:t xml:space="preserve"> </w:t>
      </w:r>
      <w:r w:rsidR="00254767">
        <w:rPr>
          <w:rFonts w:ascii="Calibri" w:hAnsi="Calibri" w:cs="Calibri"/>
        </w:rPr>
        <w:t>como EVENTUAL</w:t>
      </w:r>
      <w:r w:rsidRPr="00B44322">
        <w:rPr>
          <w:rFonts w:ascii="Calibri" w:hAnsi="Calibri" w:cs="Calibri"/>
        </w:rPr>
        <w:t xml:space="preserve"> que el </w:t>
      </w:r>
      <w:r w:rsidR="003F66D6" w:rsidRPr="003F66D6">
        <w:rPr>
          <w:rFonts w:ascii="Calibri" w:hAnsi="Calibri" w:cs="Calibri"/>
          <w:i/>
          <w:iCs/>
        </w:rPr>
        <w:t>A</w:t>
      </w:r>
      <w:r w:rsidRPr="003F66D6">
        <w:rPr>
          <w:rFonts w:ascii="Calibri" w:hAnsi="Calibri" w:cs="Calibri"/>
          <w:i/>
          <w:iCs/>
        </w:rPr>
        <w:t xml:space="preserve">d </w:t>
      </w:r>
      <w:proofErr w:type="spellStart"/>
      <w:r w:rsidR="003F66D6" w:rsidRPr="003F66D6">
        <w:rPr>
          <w:rFonts w:ascii="Calibri" w:hAnsi="Calibri" w:cs="Calibri"/>
          <w:i/>
          <w:iCs/>
        </w:rPr>
        <w:t>Q</w:t>
      </w:r>
      <w:r w:rsidRPr="003F66D6">
        <w:rPr>
          <w:rFonts w:ascii="Calibri" w:hAnsi="Calibri" w:cs="Calibri"/>
          <w:i/>
          <w:iCs/>
        </w:rPr>
        <w:t>uem</w:t>
      </w:r>
      <w:proofErr w:type="spellEnd"/>
      <w:r w:rsidRPr="00B44322">
        <w:rPr>
          <w:rFonts w:ascii="Calibri" w:hAnsi="Calibri" w:cs="Calibri"/>
        </w:rPr>
        <w:t xml:space="preserve"> acceda </w:t>
      </w:r>
      <w:r w:rsidR="00BE57BC" w:rsidRPr="00B44322">
        <w:rPr>
          <w:rFonts w:ascii="Calibri" w:hAnsi="Calibri" w:cs="Calibri"/>
        </w:rPr>
        <w:t>a las peticiones pues</w:t>
      </w:r>
      <w:r w:rsidR="00EB46AE">
        <w:rPr>
          <w:rFonts w:ascii="Calibri" w:hAnsi="Calibri" w:cs="Calibri"/>
        </w:rPr>
        <w:t xml:space="preserve"> </w:t>
      </w:r>
      <w:r w:rsidR="00254767">
        <w:rPr>
          <w:rFonts w:ascii="Calibri" w:hAnsi="Calibri" w:cs="Calibri"/>
        </w:rPr>
        <w:t xml:space="preserve">aunque </w:t>
      </w:r>
      <w:r w:rsidR="00BE57BC" w:rsidRPr="00B44322">
        <w:rPr>
          <w:rFonts w:ascii="Calibri" w:hAnsi="Calibri" w:cs="Calibri"/>
        </w:rPr>
        <w:t xml:space="preserve">se </w:t>
      </w:r>
      <w:r w:rsidR="00EB46AE">
        <w:rPr>
          <w:rFonts w:ascii="Calibri" w:hAnsi="Calibri" w:cs="Calibri"/>
        </w:rPr>
        <w:t xml:space="preserve">han logrado estructurar </w:t>
      </w:r>
      <w:r w:rsidR="00AE7F03" w:rsidRPr="00B44322">
        <w:rPr>
          <w:rFonts w:ascii="Calibri" w:hAnsi="Calibri" w:cs="Calibri"/>
        </w:rPr>
        <w:t xml:space="preserve">argumentos sólidos </w:t>
      </w:r>
      <w:r w:rsidR="00EB46AE">
        <w:rPr>
          <w:rFonts w:ascii="Calibri" w:hAnsi="Calibri" w:cs="Calibri"/>
        </w:rPr>
        <w:t xml:space="preserve">que dejan evidencia los errores de hecho y </w:t>
      </w:r>
      <w:r w:rsidR="001D7F7E">
        <w:rPr>
          <w:rFonts w:ascii="Calibri" w:hAnsi="Calibri" w:cs="Calibri"/>
        </w:rPr>
        <w:t>de motivación en los que incurrió el despacho</w:t>
      </w:r>
      <w:r w:rsidR="00EB46AE">
        <w:rPr>
          <w:rFonts w:ascii="Calibri" w:hAnsi="Calibri" w:cs="Calibri"/>
        </w:rPr>
        <w:t xml:space="preserve"> </w:t>
      </w:r>
      <w:r w:rsidR="00AE7F03" w:rsidRPr="00B44322">
        <w:rPr>
          <w:rFonts w:ascii="Calibri" w:hAnsi="Calibri" w:cs="Calibri"/>
        </w:rPr>
        <w:t xml:space="preserve">frente </w:t>
      </w:r>
      <w:r w:rsidR="001D7F7E">
        <w:rPr>
          <w:rFonts w:ascii="Calibri" w:hAnsi="Calibri" w:cs="Calibri"/>
        </w:rPr>
        <w:t xml:space="preserve">a </w:t>
      </w:r>
      <w:r w:rsidR="00AE7F03" w:rsidRPr="00B44322">
        <w:rPr>
          <w:rFonts w:ascii="Calibri" w:hAnsi="Calibri" w:cs="Calibri"/>
        </w:rPr>
        <w:t xml:space="preserve">la decisión de primera instancia, </w:t>
      </w:r>
      <w:r w:rsidR="00254767">
        <w:rPr>
          <w:rFonts w:ascii="Calibri" w:hAnsi="Calibri" w:cs="Calibri"/>
        </w:rPr>
        <w:t xml:space="preserve">lo cierto es que es posible que el Tribunal mantenga la decisión bajo los mismos argumentos utilizados por el </w:t>
      </w:r>
      <w:r w:rsidR="00254767">
        <w:rPr>
          <w:rFonts w:ascii="Calibri" w:hAnsi="Calibri" w:cs="Calibri"/>
          <w:i/>
          <w:iCs/>
        </w:rPr>
        <w:t>a quo</w:t>
      </w:r>
      <w:r w:rsidR="00254767">
        <w:rPr>
          <w:rFonts w:ascii="Calibri" w:hAnsi="Calibri" w:cs="Calibri"/>
        </w:rPr>
        <w:t xml:space="preserve">, </w:t>
      </w:r>
      <w:r w:rsidR="001D7F7E">
        <w:rPr>
          <w:rFonts w:ascii="Calibri" w:hAnsi="Calibri" w:cs="Calibri"/>
        </w:rPr>
        <w:t xml:space="preserve">principalmente en </w:t>
      </w:r>
      <w:r w:rsidR="00254767">
        <w:rPr>
          <w:rFonts w:ascii="Calibri" w:hAnsi="Calibri" w:cs="Calibri"/>
        </w:rPr>
        <w:t xml:space="preserve">que no adopten el argumento </w:t>
      </w:r>
      <w:r w:rsidR="001D7F7E">
        <w:rPr>
          <w:rFonts w:ascii="Calibri" w:hAnsi="Calibri" w:cs="Calibri"/>
        </w:rPr>
        <w:t xml:space="preserve">relacionado a que el convenio interadministrativo es un </w:t>
      </w:r>
      <w:r w:rsidR="00254767">
        <w:rPr>
          <w:rFonts w:ascii="Calibri" w:hAnsi="Calibri" w:cs="Calibri"/>
        </w:rPr>
        <w:t>tipo</w:t>
      </w:r>
      <w:r w:rsidR="001D7F7E">
        <w:rPr>
          <w:rFonts w:ascii="Calibri" w:hAnsi="Calibri" w:cs="Calibri"/>
        </w:rPr>
        <w:t xml:space="preserve"> contractual especial en </w:t>
      </w:r>
      <w:r w:rsidR="00254767">
        <w:rPr>
          <w:rFonts w:ascii="Calibri" w:hAnsi="Calibri" w:cs="Calibri"/>
        </w:rPr>
        <w:t>el</w:t>
      </w:r>
      <w:r w:rsidR="001D7F7E">
        <w:rPr>
          <w:rFonts w:ascii="Calibri" w:hAnsi="Calibri" w:cs="Calibri"/>
        </w:rPr>
        <w:t xml:space="preserve"> que las atribuciones unilaterales están </w:t>
      </w:r>
      <w:r w:rsidR="00254767">
        <w:rPr>
          <w:rFonts w:ascii="Calibri" w:hAnsi="Calibri" w:cs="Calibri"/>
        </w:rPr>
        <w:t>limitadas</w:t>
      </w:r>
      <w:r w:rsidR="001D7F7E">
        <w:rPr>
          <w:rFonts w:ascii="Calibri" w:hAnsi="Calibri" w:cs="Calibri"/>
        </w:rPr>
        <w:t xml:space="preserve"> o reservadas</w:t>
      </w:r>
      <w:r w:rsidR="00254767">
        <w:rPr>
          <w:rFonts w:ascii="Calibri" w:hAnsi="Calibri" w:cs="Calibri"/>
        </w:rPr>
        <w:t xml:space="preserve">, así como también cabe la posibilidad de que </w:t>
      </w:r>
      <w:r w:rsidR="00BB3906">
        <w:rPr>
          <w:rFonts w:ascii="Calibri" w:hAnsi="Calibri" w:cs="Calibri"/>
        </w:rPr>
        <w:t xml:space="preserve">el despacho que al analizar el recurso de alzada, le dé al acuerdo objeto de controversia, la connotación de contrato interadministrativo, figura en la cual es posible el uso de </w:t>
      </w:r>
      <w:r w:rsidR="00C374EE">
        <w:rPr>
          <w:rFonts w:ascii="Calibri" w:hAnsi="Calibri" w:cs="Calibri"/>
        </w:rPr>
        <w:t>prerrogativas</w:t>
      </w:r>
      <w:r w:rsidR="00BB3906">
        <w:rPr>
          <w:rFonts w:ascii="Calibri" w:hAnsi="Calibri" w:cs="Calibri"/>
        </w:rPr>
        <w:t xml:space="preserve"> unilaterales o </w:t>
      </w:r>
      <w:r w:rsidR="00C374EE">
        <w:rPr>
          <w:rFonts w:ascii="Calibri" w:hAnsi="Calibri" w:cs="Calibri"/>
        </w:rPr>
        <w:t xml:space="preserve">de </w:t>
      </w:r>
      <w:r w:rsidR="00BB3906">
        <w:rPr>
          <w:rFonts w:ascii="Calibri" w:hAnsi="Calibri" w:cs="Calibri"/>
        </w:rPr>
        <w:t>po</w:t>
      </w:r>
      <w:r w:rsidR="00C374EE">
        <w:rPr>
          <w:rFonts w:ascii="Calibri" w:hAnsi="Calibri" w:cs="Calibri"/>
        </w:rPr>
        <w:t>testades</w:t>
      </w:r>
      <w:r w:rsidR="00BB3906">
        <w:rPr>
          <w:rFonts w:ascii="Calibri" w:hAnsi="Calibri" w:cs="Calibri"/>
        </w:rPr>
        <w:t xml:space="preserve"> </w:t>
      </w:r>
      <w:r w:rsidR="00C374EE">
        <w:rPr>
          <w:rFonts w:ascii="Calibri" w:hAnsi="Calibri" w:cs="Calibri"/>
        </w:rPr>
        <w:t>unilaterales</w:t>
      </w:r>
      <w:r w:rsidR="00BB3906">
        <w:rPr>
          <w:rFonts w:ascii="Calibri" w:hAnsi="Calibri" w:cs="Calibri"/>
        </w:rPr>
        <w:t xml:space="preserve"> como fue en el caso</w:t>
      </w:r>
      <w:r w:rsidR="00FA79BF">
        <w:rPr>
          <w:rFonts w:ascii="Calibri" w:hAnsi="Calibri" w:cs="Calibri"/>
        </w:rPr>
        <w:t xml:space="preserve"> que nos ocupa</w:t>
      </w:r>
      <w:r w:rsidR="00F176E6" w:rsidRPr="00B44322">
        <w:rPr>
          <w:rFonts w:ascii="Calibri" w:hAnsi="Calibri" w:cs="Calibri"/>
        </w:rPr>
        <w:t>.</w:t>
      </w:r>
      <w:r w:rsidRPr="00B44322">
        <w:rPr>
          <w:rFonts w:ascii="Calibri" w:hAnsi="Calibri" w:cs="Calibri"/>
        </w:rPr>
        <w:t xml:space="preserve"> </w:t>
      </w:r>
    </w:p>
    <w:p w14:paraId="0F1BB4E4" w14:textId="77777777" w:rsidR="00F176E6" w:rsidRPr="00B44322" w:rsidRDefault="00F176E6" w:rsidP="00B44322">
      <w:pPr>
        <w:jc w:val="both"/>
        <w:rPr>
          <w:rFonts w:ascii="Calibri" w:hAnsi="Calibri" w:cs="Calibri"/>
        </w:rPr>
      </w:pPr>
    </w:p>
    <w:p w14:paraId="34FF34AC" w14:textId="275BFD93" w:rsidR="00797B2F" w:rsidRPr="00B44322" w:rsidRDefault="00F176E6" w:rsidP="00B44322">
      <w:pPr>
        <w:spacing w:after="0"/>
        <w:jc w:val="both"/>
        <w:rPr>
          <w:rFonts w:ascii="Calibri" w:hAnsi="Calibri" w:cs="Calibri"/>
        </w:rPr>
      </w:pPr>
      <w:r w:rsidRPr="00B44322">
        <w:rPr>
          <w:rFonts w:ascii="Calibri" w:hAnsi="Calibri" w:cs="Calibri"/>
        </w:rPr>
        <w:t>En tal sentido me permito presentar la siguiente:</w:t>
      </w:r>
    </w:p>
    <w:p w14:paraId="0CD43AB8" w14:textId="77777777" w:rsidR="00F176E6" w:rsidRPr="00B44322" w:rsidRDefault="00F176E6" w:rsidP="00B44322">
      <w:pPr>
        <w:jc w:val="both"/>
        <w:rPr>
          <w:rFonts w:ascii="Calibri" w:hAnsi="Calibri" w:cs="Calibri"/>
          <w:b/>
          <w:bCs/>
        </w:rPr>
      </w:pPr>
    </w:p>
    <w:p w14:paraId="0171EA6F" w14:textId="462979D3" w:rsidR="00135EE5" w:rsidRPr="001B5511" w:rsidRDefault="00F461F2" w:rsidP="00B44322">
      <w:pPr>
        <w:jc w:val="both"/>
        <w:rPr>
          <w:rFonts w:ascii="Calibri" w:hAnsi="Calibri" w:cs="Calibri"/>
        </w:rPr>
      </w:pPr>
      <w:r w:rsidRPr="00B44322">
        <w:rPr>
          <w:rFonts w:ascii="Calibri" w:hAnsi="Calibri" w:cs="Calibri"/>
          <w:b/>
          <w:bCs/>
        </w:rPr>
        <w:t>CALIFICACIÓN OBJETIVA:</w:t>
      </w:r>
      <w:r w:rsidR="0038553D" w:rsidRPr="00B44322">
        <w:rPr>
          <w:rFonts w:ascii="Calibri" w:hAnsi="Calibri" w:cs="Calibri"/>
          <w:b/>
          <w:bCs/>
        </w:rPr>
        <w:t xml:space="preserve"> </w:t>
      </w:r>
      <w:r w:rsidR="00B436F4" w:rsidRPr="00B436F4">
        <w:rPr>
          <w:rFonts w:ascii="Calibri" w:hAnsi="Calibri" w:cs="Calibri"/>
        </w:rPr>
        <w:t>La contingencia se mantiene en EVENTUAL, conforme a la calificación inicial, considerando lo siguiente: este es un asunto de pleno derecho, por lo que la decisión que se tome</w:t>
      </w:r>
      <w:r w:rsidR="006B39B6">
        <w:rPr>
          <w:rFonts w:ascii="Calibri" w:hAnsi="Calibri" w:cs="Calibri"/>
        </w:rPr>
        <w:t xml:space="preserve"> en segunda instancia</w:t>
      </w:r>
      <w:r w:rsidR="00B436F4" w:rsidRPr="00B436F4">
        <w:rPr>
          <w:rFonts w:ascii="Calibri" w:hAnsi="Calibri" w:cs="Calibri"/>
        </w:rPr>
        <w:t xml:space="preserve"> será conforme a la interpretación jurídica que realice el operador judicial respecto de las normas </w:t>
      </w:r>
      <w:r w:rsidR="00382CC3">
        <w:rPr>
          <w:rFonts w:ascii="Calibri" w:hAnsi="Calibri" w:cs="Calibri"/>
        </w:rPr>
        <w:t xml:space="preserve">y precedentes aludidos los cuales dan sustento a la teoría de que al tratarse de un convenio interadministrativo, no era loable que el ente territorial demandado adelantara facultades exorbitantes tales como la liquidación, la declaración del siniestro y la ejecución de la garantía, todas ellas de manera unilateral, dichas potestades están prohibidas por el legislador para el caso de los convenios interadministrativos y en caso que se considere por el </w:t>
      </w:r>
      <w:r w:rsidR="00382CC3" w:rsidRPr="00382CC3">
        <w:rPr>
          <w:rFonts w:ascii="Calibri" w:hAnsi="Calibri" w:cs="Calibri"/>
          <w:i/>
          <w:iCs/>
        </w:rPr>
        <w:t xml:space="preserve">ad </w:t>
      </w:r>
      <w:proofErr w:type="spellStart"/>
      <w:r w:rsidR="00382CC3" w:rsidRPr="00382CC3">
        <w:rPr>
          <w:rFonts w:ascii="Calibri" w:hAnsi="Calibri" w:cs="Calibri"/>
          <w:i/>
          <w:iCs/>
        </w:rPr>
        <w:t>quem</w:t>
      </w:r>
      <w:proofErr w:type="spellEnd"/>
      <w:r w:rsidR="00382CC3">
        <w:rPr>
          <w:rFonts w:ascii="Calibri" w:hAnsi="Calibri" w:cs="Calibri"/>
        </w:rPr>
        <w:t xml:space="preserve"> que se trata de un simple contrato interadministrativo, para que puedan ser ejercidas en este último tipo de acuerdo, las mismas se deben pactar expresamente y </w:t>
      </w:r>
      <w:r w:rsidR="00161D49">
        <w:rPr>
          <w:rFonts w:ascii="Calibri" w:hAnsi="Calibri" w:cs="Calibri"/>
        </w:rPr>
        <w:t>l</w:t>
      </w:r>
      <w:r w:rsidR="00382CC3">
        <w:rPr>
          <w:rFonts w:ascii="Calibri" w:hAnsi="Calibri" w:cs="Calibri"/>
        </w:rPr>
        <w:t>o mismo no se presentó en el caso</w:t>
      </w:r>
      <w:r w:rsidR="00620DC9">
        <w:rPr>
          <w:rFonts w:ascii="Calibri" w:hAnsi="Calibri" w:cs="Calibri"/>
        </w:rPr>
        <w:t xml:space="preserve">. De igual manera se hace </w:t>
      </w:r>
      <w:r w:rsidR="005E14C2">
        <w:rPr>
          <w:rFonts w:ascii="Calibri" w:hAnsi="Calibri" w:cs="Calibri"/>
        </w:rPr>
        <w:t>factible</w:t>
      </w:r>
      <w:r w:rsidR="00620DC9">
        <w:rPr>
          <w:rFonts w:ascii="Calibri" w:hAnsi="Calibri" w:cs="Calibri"/>
        </w:rPr>
        <w:t xml:space="preserve"> el hecho de que no se presentó una notificación adecuada del acto mediante el cual se declaró el siniestro de incumplimiento y el que ejecuta la garantía, con lo que se impidió el goce de los derechos de audiencia y de defensa como lo indica el artículo 7 de la Ley 1150 de 2007</w:t>
      </w:r>
      <w:r w:rsidR="003B4671">
        <w:rPr>
          <w:rFonts w:ascii="Calibri" w:hAnsi="Calibri" w:cs="Calibri"/>
        </w:rPr>
        <w:t>, sin embargo</w:t>
      </w:r>
      <w:r w:rsidR="00EF660A">
        <w:rPr>
          <w:rFonts w:ascii="Calibri" w:hAnsi="Calibri" w:cs="Calibri"/>
        </w:rPr>
        <w:t>,</w:t>
      </w:r>
      <w:r w:rsidR="003B4671">
        <w:rPr>
          <w:rFonts w:ascii="Calibri" w:hAnsi="Calibri" w:cs="Calibri"/>
        </w:rPr>
        <w:t xml:space="preserve"> dichas situaciones sólo serán procedentes en la medida en que se comparta por el operador judicial, el criterio para determinar el tipo de contrat</w:t>
      </w:r>
      <w:r w:rsidR="00E06A29">
        <w:rPr>
          <w:rFonts w:ascii="Calibri" w:hAnsi="Calibri" w:cs="Calibri"/>
        </w:rPr>
        <w:t>o</w:t>
      </w:r>
      <w:r w:rsidR="003B4671">
        <w:rPr>
          <w:rFonts w:ascii="Calibri" w:hAnsi="Calibri" w:cs="Calibri"/>
        </w:rPr>
        <w:t xml:space="preserve"> a que se refiere el caso</w:t>
      </w:r>
      <w:r w:rsidR="002C3C2F">
        <w:rPr>
          <w:rFonts w:ascii="Calibri" w:hAnsi="Calibri" w:cs="Calibri"/>
        </w:rPr>
        <w:t xml:space="preserve"> y </w:t>
      </w:r>
      <w:r w:rsidR="002C3C2F">
        <w:rPr>
          <w:rFonts w:ascii="Calibri" w:hAnsi="Calibri" w:cs="Calibri"/>
        </w:rPr>
        <w:lastRenderedPageBreak/>
        <w:t>finalmente se presenta el caso de la prescripción de las acciones derivadas del contrato de seguros, para cuyo cálculo, el despacho de primera instancia tomó como fecha inicial la de unos informes de interventoría en donde manifiesta que se conoció por parte del ente territorial el incumplimiento alegado, sin embargo, como se manifiesta en el recurso, la jurisprudencia del Consejo de Estado ha considerado en algunos de sus pronunciamientos que la fecha inicial a partir de la cual se debe contabilizar la prescripción de las acciones derivadas del contrato de seguro, debe ser -como máximo- la de finalización del contrato, situación en la cual el fenómeno prescriptivo se presentaría en el caso bajo estudio</w:t>
      </w:r>
      <w:r w:rsidR="00E06A29">
        <w:rPr>
          <w:rFonts w:ascii="Calibri" w:hAnsi="Calibri" w:cs="Calibri"/>
        </w:rPr>
        <w:t>.</w:t>
      </w:r>
      <w:r w:rsidR="0078618E" w:rsidRPr="00B44322">
        <w:rPr>
          <w:rFonts w:ascii="Calibri" w:hAnsi="Calibri" w:cs="Calibri"/>
        </w:rPr>
        <w:t xml:space="preserve"> </w:t>
      </w:r>
    </w:p>
    <w:sectPr w:rsidR="00135EE5" w:rsidRPr="001B55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80155" w14:textId="77777777" w:rsidR="007C6BDF" w:rsidRDefault="007C6BDF" w:rsidP="00E94632">
      <w:pPr>
        <w:spacing w:after="0" w:line="240" w:lineRule="auto"/>
      </w:pPr>
      <w:r>
        <w:separator/>
      </w:r>
    </w:p>
  </w:endnote>
  <w:endnote w:type="continuationSeparator" w:id="0">
    <w:p w14:paraId="4D285359" w14:textId="77777777" w:rsidR="007C6BDF" w:rsidRDefault="007C6BDF" w:rsidP="00E9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22701" w14:textId="77777777" w:rsidR="007C6BDF" w:rsidRDefault="007C6BDF" w:rsidP="00E94632">
      <w:pPr>
        <w:spacing w:after="0" w:line="240" w:lineRule="auto"/>
      </w:pPr>
      <w:r>
        <w:separator/>
      </w:r>
    </w:p>
  </w:footnote>
  <w:footnote w:type="continuationSeparator" w:id="0">
    <w:p w14:paraId="61F05BA2" w14:textId="77777777" w:rsidR="007C6BDF" w:rsidRDefault="007C6BDF" w:rsidP="00E94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C4CAB"/>
    <w:multiLevelType w:val="hybridMultilevel"/>
    <w:tmpl w:val="6CAEED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2356330"/>
    <w:multiLevelType w:val="hybridMultilevel"/>
    <w:tmpl w:val="EAA2E458"/>
    <w:lvl w:ilvl="0" w:tplc="8FAE6C94">
      <w:start w:val="1"/>
      <w:numFmt w:val="bullet"/>
      <w:lvlText w:val="-"/>
      <w:lvlJc w:val="left"/>
      <w:pPr>
        <w:ind w:left="1080" w:hanging="360"/>
      </w:pPr>
      <w:rPr>
        <w:rFonts w:ascii="Arial" w:eastAsiaTheme="minorHAnsi"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num w:numId="1" w16cid:durableId="1300720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9751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B7"/>
    <w:rsid w:val="000606D2"/>
    <w:rsid w:val="000965DB"/>
    <w:rsid w:val="000A0DDF"/>
    <w:rsid w:val="00100EF0"/>
    <w:rsid w:val="0011438C"/>
    <w:rsid w:val="001332CC"/>
    <w:rsid w:val="00135EE5"/>
    <w:rsid w:val="00161D49"/>
    <w:rsid w:val="001801C8"/>
    <w:rsid w:val="00186AF7"/>
    <w:rsid w:val="001B1362"/>
    <w:rsid w:val="001B5511"/>
    <w:rsid w:val="001B7C2F"/>
    <w:rsid w:val="001D7F7E"/>
    <w:rsid w:val="001E04DE"/>
    <w:rsid w:val="00203926"/>
    <w:rsid w:val="002170D2"/>
    <w:rsid w:val="00244333"/>
    <w:rsid w:val="00254767"/>
    <w:rsid w:val="00256138"/>
    <w:rsid w:val="0026608F"/>
    <w:rsid w:val="002709CB"/>
    <w:rsid w:val="00272259"/>
    <w:rsid w:val="00281FBA"/>
    <w:rsid w:val="002911B7"/>
    <w:rsid w:val="002C3C2F"/>
    <w:rsid w:val="002F1262"/>
    <w:rsid w:val="00333F61"/>
    <w:rsid w:val="00336C63"/>
    <w:rsid w:val="003537D3"/>
    <w:rsid w:val="00382CC3"/>
    <w:rsid w:val="0038553D"/>
    <w:rsid w:val="0039161F"/>
    <w:rsid w:val="00396A74"/>
    <w:rsid w:val="003B4671"/>
    <w:rsid w:val="003D7E62"/>
    <w:rsid w:val="003F66D6"/>
    <w:rsid w:val="00401B94"/>
    <w:rsid w:val="00411873"/>
    <w:rsid w:val="0042229B"/>
    <w:rsid w:val="005E14C2"/>
    <w:rsid w:val="005F41BD"/>
    <w:rsid w:val="00620DC9"/>
    <w:rsid w:val="00662322"/>
    <w:rsid w:val="006A14A5"/>
    <w:rsid w:val="006B39B6"/>
    <w:rsid w:val="00712B90"/>
    <w:rsid w:val="007457C4"/>
    <w:rsid w:val="0078618E"/>
    <w:rsid w:val="00797B2F"/>
    <w:rsid w:val="007C6BDF"/>
    <w:rsid w:val="00832BAC"/>
    <w:rsid w:val="0083350E"/>
    <w:rsid w:val="00931A85"/>
    <w:rsid w:val="00966BF1"/>
    <w:rsid w:val="00983904"/>
    <w:rsid w:val="009B065A"/>
    <w:rsid w:val="00A12785"/>
    <w:rsid w:val="00A453E5"/>
    <w:rsid w:val="00A55675"/>
    <w:rsid w:val="00A86620"/>
    <w:rsid w:val="00AE7F03"/>
    <w:rsid w:val="00AF7884"/>
    <w:rsid w:val="00B07FA2"/>
    <w:rsid w:val="00B436F4"/>
    <w:rsid w:val="00B44322"/>
    <w:rsid w:val="00BB3906"/>
    <w:rsid w:val="00BE57BC"/>
    <w:rsid w:val="00C36A67"/>
    <w:rsid w:val="00C374EE"/>
    <w:rsid w:val="00C42CDF"/>
    <w:rsid w:val="00C907FA"/>
    <w:rsid w:val="00CA2BA4"/>
    <w:rsid w:val="00CA4C69"/>
    <w:rsid w:val="00CD0D59"/>
    <w:rsid w:val="00CF5DF6"/>
    <w:rsid w:val="00CF6005"/>
    <w:rsid w:val="00D06FD2"/>
    <w:rsid w:val="00D57E2C"/>
    <w:rsid w:val="00D62742"/>
    <w:rsid w:val="00E06A29"/>
    <w:rsid w:val="00E25AE4"/>
    <w:rsid w:val="00E6112B"/>
    <w:rsid w:val="00E921CA"/>
    <w:rsid w:val="00E94632"/>
    <w:rsid w:val="00EB46AE"/>
    <w:rsid w:val="00EB4DAD"/>
    <w:rsid w:val="00ED1F2E"/>
    <w:rsid w:val="00EF660A"/>
    <w:rsid w:val="00F176E6"/>
    <w:rsid w:val="00F40CF3"/>
    <w:rsid w:val="00F461F2"/>
    <w:rsid w:val="00FA1648"/>
    <w:rsid w:val="00FA79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BAD3"/>
  <w15:chartTrackingRefBased/>
  <w15:docId w15:val="{B5BA2AC4-6936-4C8E-9A3E-EC312BA7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91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91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911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11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11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11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11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11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11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11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911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911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11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11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11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11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11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11B7"/>
    <w:rPr>
      <w:rFonts w:eastAsiaTheme="majorEastAsia" w:cstheme="majorBidi"/>
      <w:color w:val="272727" w:themeColor="text1" w:themeTint="D8"/>
    </w:rPr>
  </w:style>
  <w:style w:type="paragraph" w:styleId="Ttulo">
    <w:name w:val="Title"/>
    <w:basedOn w:val="Normal"/>
    <w:next w:val="Normal"/>
    <w:link w:val="TtuloCar"/>
    <w:uiPriority w:val="10"/>
    <w:qFormat/>
    <w:rsid w:val="00291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11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11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911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11B7"/>
    <w:pPr>
      <w:spacing w:before="160"/>
      <w:jc w:val="center"/>
    </w:pPr>
    <w:rPr>
      <w:i/>
      <w:iCs/>
      <w:color w:val="404040" w:themeColor="text1" w:themeTint="BF"/>
    </w:rPr>
  </w:style>
  <w:style w:type="character" w:customStyle="1" w:styleId="CitaCar">
    <w:name w:val="Cita Car"/>
    <w:basedOn w:val="Fuentedeprrafopredeter"/>
    <w:link w:val="Cita"/>
    <w:uiPriority w:val="29"/>
    <w:rsid w:val="002911B7"/>
    <w:rPr>
      <w:i/>
      <w:iCs/>
      <w:color w:val="404040" w:themeColor="text1" w:themeTint="BF"/>
    </w:rPr>
  </w:style>
  <w:style w:type="paragraph" w:styleId="Prrafodelista">
    <w:name w:val="List Paragraph"/>
    <w:basedOn w:val="Normal"/>
    <w:uiPriority w:val="34"/>
    <w:qFormat/>
    <w:rsid w:val="002911B7"/>
    <w:pPr>
      <w:ind w:left="720"/>
      <w:contextualSpacing/>
    </w:pPr>
  </w:style>
  <w:style w:type="character" w:styleId="nfasisintenso">
    <w:name w:val="Intense Emphasis"/>
    <w:basedOn w:val="Fuentedeprrafopredeter"/>
    <w:uiPriority w:val="21"/>
    <w:qFormat/>
    <w:rsid w:val="002911B7"/>
    <w:rPr>
      <w:i/>
      <w:iCs/>
      <w:color w:val="0F4761" w:themeColor="accent1" w:themeShade="BF"/>
    </w:rPr>
  </w:style>
  <w:style w:type="paragraph" w:styleId="Citadestacada">
    <w:name w:val="Intense Quote"/>
    <w:basedOn w:val="Normal"/>
    <w:next w:val="Normal"/>
    <w:link w:val="CitadestacadaCar"/>
    <w:uiPriority w:val="30"/>
    <w:qFormat/>
    <w:rsid w:val="00291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11B7"/>
    <w:rPr>
      <w:i/>
      <w:iCs/>
      <w:color w:val="0F4761" w:themeColor="accent1" w:themeShade="BF"/>
    </w:rPr>
  </w:style>
  <w:style w:type="character" w:styleId="Referenciaintensa">
    <w:name w:val="Intense Reference"/>
    <w:basedOn w:val="Fuentedeprrafopredeter"/>
    <w:uiPriority w:val="32"/>
    <w:qFormat/>
    <w:rsid w:val="002911B7"/>
    <w:rPr>
      <w:b/>
      <w:bCs/>
      <w:smallCaps/>
      <w:color w:val="0F4761" w:themeColor="accent1" w:themeShade="BF"/>
      <w:spacing w:val="5"/>
    </w:rPr>
  </w:style>
  <w:style w:type="paragraph" w:styleId="Encabezado">
    <w:name w:val="header"/>
    <w:basedOn w:val="Normal"/>
    <w:link w:val="EncabezadoCar"/>
    <w:uiPriority w:val="99"/>
    <w:unhideWhenUsed/>
    <w:rsid w:val="00E946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632"/>
  </w:style>
  <w:style w:type="paragraph" w:styleId="Piedepgina">
    <w:name w:val="footer"/>
    <w:basedOn w:val="Normal"/>
    <w:link w:val="PiedepginaCar"/>
    <w:uiPriority w:val="99"/>
    <w:unhideWhenUsed/>
    <w:rsid w:val="00E946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632"/>
  </w:style>
  <w:style w:type="paragraph" w:styleId="Textonotapie">
    <w:name w:val="footnote text"/>
    <w:basedOn w:val="Normal"/>
    <w:link w:val="TextonotapieCar"/>
    <w:uiPriority w:val="99"/>
    <w:semiHidden/>
    <w:unhideWhenUsed/>
    <w:rsid w:val="00F461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61F2"/>
    <w:rPr>
      <w:sz w:val="20"/>
      <w:szCs w:val="20"/>
    </w:rPr>
  </w:style>
  <w:style w:type="character" w:styleId="Refdenotaalpie">
    <w:name w:val="footnote reference"/>
    <w:basedOn w:val="Fuentedeprrafopredeter"/>
    <w:uiPriority w:val="99"/>
    <w:semiHidden/>
    <w:unhideWhenUsed/>
    <w:rsid w:val="00F461F2"/>
    <w:rPr>
      <w:vertAlign w:val="superscript"/>
    </w:rPr>
  </w:style>
  <w:style w:type="character" w:styleId="Refdecomentario">
    <w:name w:val="annotation reference"/>
    <w:basedOn w:val="Fuentedeprrafopredeter"/>
    <w:uiPriority w:val="99"/>
    <w:semiHidden/>
    <w:unhideWhenUsed/>
    <w:rsid w:val="00AF7884"/>
    <w:rPr>
      <w:sz w:val="16"/>
      <w:szCs w:val="16"/>
    </w:rPr>
  </w:style>
  <w:style w:type="paragraph" w:styleId="Textocomentario">
    <w:name w:val="annotation text"/>
    <w:basedOn w:val="Normal"/>
    <w:link w:val="TextocomentarioCar"/>
    <w:uiPriority w:val="99"/>
    <w:semiHidden/>
    <w:unhideWhenUsed/>
    <w:rsid w:val="00AF78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7884"/>
    <w:rPr>
      <w:sz w:val="20"/>
      <w:szCs w:val="20"/>
    </w:rPr>
  </w:style>
  <w:style w:type="paragraph" w:styleId="Asuntodelcomentario">
    <w:name w:val="annotation subject"/>
    <w:basedOn w:val="Textocomentario"/>
    <w:next w:val="Textocomentario"/>
    <w:link w:val="AsuntodelcomentarioCar"/>
    <w:uiPriority w:val="99"/>
    <w:semiHidden/>
    <w:unhideWhenUsed/>
    <w:rsid w:val="00AF7884"/>
    <w:rPr>
      <w:b/>
      <w:bCs/>
    </w:rPr>
  </w:style>
  <w:style w:type="character" w:customStyle="1" w:styleId="AsuntodelcomentarioCar">
    <w:name w:val="Asunto del comentario Car"/>
    <w:basedOn w:val="TextocomentarioCar"/>
    <w:link w:val="Asuntodelcomentario"/>
    <w:uiPriority w:val="99"/>
    <w:semiHidden/>
    <w:rsid w:val="00AF7884"/>
    <w:rPr>
      <w:b/>
      <w:bCs/>
      <w:sz w:val="20"/>
      <w:szCs w:val="20"/>
    </w:rPr>
  </w:style>
  <w:style w:type="paragraph" w:styleId="Revisin">
    <w:name w:val="Revision"/>
    <w:hidden/>
    <w:uiPriority w:val="99"/>
    <w:semiHidden/>
    <w:rsid w:val="002709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2975">
      <w:bodyDiv w:val="1"/>
      <w:marLeft w:val="0"/>
      <w:marRight w:val="0"/>
      <w:marTop w:val="0"/>
      <w:marBottom w:val="0"/>
      <w:divBdr>
        <w:top w:val="none" w:sz="0" w:space="0" w:color="auto"/>
        <w:left w:val="none" w:sz="0" w:space="0" w:color="auto"/>
        <w:bottom w:val="none" w:sz="0" w:space="0" w:color="auto"/>
        <w:right w:val="none" w:sz="0" w:space="0" w:color="auto"/>
      </w:divBdr>
    </w:div>
    <w:div w:id="19809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629</Words>
  <Characters>3460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Rivera Agredo</dc:creator>
  <cp:keywords/>
  <dc:description/>
  <cp:lastModifiedBy>Javier Rivera Agredo</cp:lastModifiedBy>
  <cp:revision>13</cp:revision>
  <dcterms:created xsi:type="dcterms:W3CDTF">2025-02-05T14:13:00Z</dcterms:created>
  <dcterms:modified xsi:type="dcterms:W3CDTF">2025-02-05T17:16:00Z</dcterms:modified>
</cp:coreProperties>
</file>