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8B7" w14:textId="6068C6CB" w:rsidR="001F4725" w:rsidRDefault="001F4725" w:rsidP="00037D51">
      <w:pPr>
        <w:spacing w:line="312" w:lineRule="auto"/>
        <w:rPr>
          <w:rFonts w:ascii="Arial" w:eastAsia="Arial" w:hAnsi="Arial" w:cs="Arial"/>
          <w:color w:val="000000" w:themeColor="text1"/>
        </w:rPr>
      </w:pPr>
      <w:r>
        <w:rPr>
          <w:rFonts w:ascii="Arial" w:eastAsia="Arial" w:hAnsi="Arial" w:cs="Arial"/>
          <w:color w:val="000000" w:themeColor="text1"/>
        </w:rPr>
        <w:t>Doctor</w:t>
      </w:r>
    </w:p>
    <w:p w14:paraId="1C4D3577" w14:textId="3422896B" w:rsidR="00314594" w:rsidRDefault="001F4725" w:rsidP="00037D51">
      <w:pPr>
        <w:spacing w:line="312" w:lineRule="auto"/>
        <w:rPr>
          <w:rStyle w:val="Hipervnculo"/>
          <w:rFonts w:ascii="Arial" w:eastAsia="Arial" w:hAnsi="Arial" w:cs="Arial"/>
        </w:rPr>
      </w:pPr>
      <w:r w:rsidRPr="001F4725">
        <w:rPr>
          <w:rFonts w:ascii="Arial" w:hAnsi="Arial" w:cs="Arial"/>
          <w:b/>
          <w:bCs/>
        </w:rPr>
        <w:t>J</w:t>
      </w:r>
      <w:r w:rsidR="006B756D">
        <w:rPr>
          <w:rFonts w:ascii="Arial" w:hAnsi="Arial" w:cs="Arial"/>
          <w:b/>
          <w:bCs/>
        </w:rPr>
        <w:t>UAN</w:t>
      </w:r>
      <w:r w:rsidRPr="001F4725">
        <w:rPr>
          <w:rFonts w:ascii="Arial" w:hAnsi="Arial" w:cs="Arial"/>
          <w:b/>
          <w:bCs/>
        </w:rPr>
        <w:t xml:space="preserve"> </w:t>
      </w:r>
      <w:r w:rsidR="006B756D">
        <w:rPr>
          <w:rFonts w:ascii="Arial" w:hAnsi="Arial" w:cs="Arial"/>
          <w:b/>
          <w:bCs/>
        </w:rPr>
        <w:t>MIGUEL</w:t>
      </w:r>
      <w:r w:rsidRPr="001F4725">
        <w:rPr>
          <w:rFonts w:ascii="Arial" w:hAnsi="Arial" w:cs="Arial"/>
          <w:b/>
          <w:bCs/>
        </w:rPr>
        <w:t xml:space="preserve"> </w:t>
      </w:r>
      <w:r w:rsidR="006B756D">
        <w:rPr>
          <w:rFonts w:ascii="Arial" w:hAnsi="Arial" w:cs="Arial"/>
          <w:b/>
          <w:bCs/>
        </w:rPr>
        <w:t>MARTÍNEZ</w:t>
      </w:r>
      <w:r w:rsidRPr="001F4725">
        <w:rPr>
          <w:rFonts w:ascii="Arial" w:hAnsi="Arial" w:cs="Arial"/>
          <w:b/>
          <w:bCs/>
        </w:rPr>
        <w:t xml:space="preserve"> </w:t>
      </w:r>
      <w:r w:rsidR="006B756D">
        <w:rPr>
          <w:rFonts w:ascii="Arial" w:hAnsi="Arial" w:cs="Arial"/>
          <w:b/>
          <w:bCs/>
        </w:rPr>
        <w:t>LONDOÑO</w:t>
      </w:r>
      <w:r w:rsidR="00314594" w:rsidRPr="001D441E">
        <w:rPr>
          <w:rFonts w:ascii="Arial" w:hAnsi="Arial" w:cs="Arial"/>
        </w:rPr>
        <w:br/>
      </w:r>
      <w:r w:rsidR="006B756D" w:rsidRPr="006B756D">
        <w:rPr>
          <w:rFonts w:ascii="Arial" w:eastAsia="Arial" w:hAnsi="Arial" w:cs="Arial"/>
          <w:color w:val="000000" w:themeColor="text1"/>
        </w:rPr>
        <w:t>JUZGADO SEGUNDO ADMINISTRATIVO DEL CIRCUITO</w:t>
      </w:r>
      <w:r w:rsidR="006B756D">
        <w:rPr>
          <w:rFonts w:ascii="Arial" w:eastAsia="Arial" w:hAnsi="Arial" w:cs="Arial"/>
          <w:color w:val="000000" w:themeColor="text1"/>
        </w:rPr>
        <w:t xml:space="preserve"> </w:t>
      </w:r>
      <w:r w:rsidR="006B756D" w:rsidRPr="006B756D">
        <w:rPr>
          <w:rFonts w:ascii="Arial" w:eastAsia="Arial" w:hAnsi="Arial" w:cs="Arial"/>
          <w:color w:val="000000" w:themeColor="text1"/>
        </w:rPr>
        <w:t>DE GUADALAJARA DE BUGA (V.)</w:t>
      </w:r>
      <w:r w:rsidR="00314594" w:rsidRPr="001D441E">
        <w:rPr>
          <w:rFonts w:ascii="Arial" w:hAnsi="Arial" w:cs="Arial"/>
        </w:rPr>
        <w:br/>
      </w:r>
      <w:hyperlink r:id="rId8" w:history="1">
        <w:r w:rsidR="00557DC4" w:rsidRPr="00146C8F">
          <w:rPr>
            <w:rStyle w:val="Hipervnculo"/>
          </w:rPr>
          <w:t>j02adtivobuga@cendoj.ramajudicial.gov.co</w:t>
        </w:r>
      </w:hyperlink>
      <w:r w:rsidR="00557DC4">
        <w:t xml:space="preserve"> </w:t>
      </w:r>
      <w:r w:rsidR="001C6FEA">
        <w:t xml:space="preserve"> </w:t>
      </w:r>
    </w:p>
    <w:p w14:paraId="5908DEC3" w14:textId="77777777" w:rsidR="00314594" w:rsidRDefault="00314594" w:rsidP="00037D51">
      <w:pPr>
        <w:spacing w:line="312" w:lineRule="auto"/>
        <w:rPr>
          <w:rStyle w:val="Hipervnculo"/>
          <w:rFonts w:ascii="Arial" w:eastAsia="Arial" w:hAnsi="Arial" w:cs="Arial"/>
          <w:color w:val="auto"/>
          <w:u w:val="none"/>
        </w:rPr>
      </w:pPr>
    </w:p>
    <w:p w14:paraId="162B08B1" w14:textId="77777777" w:rsidR="001C6FEA" w:rsidRPr="001D441E" w:rsidRDefault="001C6FEA" w:rsidP="00037D51">
      <w:pPr>
        <w:spacing w:line="312" w:lineRule="auto"/>
        <w:rPr>
          <w:rFonts w:ascii="Arial" w:eastAsia="Arial" w:hAnsi="Arial" w:cs="Arial"/>
          <w:b/>
          <w:bCs/>
          <w:color w:val="000000" w:themeColor="text1"/>
        </w:rPr>
      </w:pPr>
    </w:p>
    <w:p w14:paraId="4456B216" w14:textId="2EBDED89" w:rsidR="00314594" w:rsidRPr="001D441E" w:rsidRDefault="00314594" w:rsidP="00037D51">
      <w:pPr>
        <w:spacing w:line="312" w:lineRule="auto"/>
        <w:rPr>
          <w:rFonts w:ascii="Arial" w:eastAsia="Arial" w:hAnsi="Arial" w:cs="Arial"/>
          <w:color w:val="000000" w:themeColor="text1"/>
        </w:rPr>
      </w:pPr>
      <w:r w:rsidRPr="001D441E">
        <w:rPr>
          <w:rFonts w:ascii="Arial" w:eastAsia="Arial" w:hAnsi="Arial" w:cs="Arial"/>
          <w:b/>
          <w:bCs/>
          <w:color w:val="000000" w:themeColor="text1"/>
        </w:rPr>
        <w:t xml:space="preserve">PROCESO: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223600" w:rsidRPr="00223600">
        <w:rPr>
          <w:rFonts w:ascii="Arial" w:eastAsia="Arial" w:hAnsi="Arial" w:cs="Arial"/>
          <w:color w:val="000000" w:themeColor="text1"/>
        </w:rPr>
        <w:t>CONTROVERSIAS CONTRACTUALES</w:t>
      </w:r>
      <w:r w:rsidRPr="001D441E">
        <w:rPr>
          <w:rFonts w:ascii="Arial" w:hAnsi="Arial" w:cs="Arial"/>
        </w:rPr>
        <w:br/>
      </w:r>
      <w:r w:rsidRPr="001D441E">
        <w:rPr>
          <w:rFonts w:ascii="Arial" w:eastAsia="Arial" w:hAnsi="Arial" w:cs="Arial"/>
          <w:b/>
          <w:bCs/>
          <w:color w:val="000000" w:themeColor="text1"/>
        </w:rPr>
        <w:t xml:space="preserve">RADICACIÓN: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223600" w:rsidRPr="00223600">
        <w:rPr>
          <w:rFonts w:ascii="Arial" w:eastAsia="Arial" w:hAnsi="Arial" w:cs="Arial"/>
          <w:color w:val="000000" w:themeColor="text1"/>
        </w:rPr>
        <w:t>76-111-33-33-002-</w:t>
      </w:r>
      <w:r w:rsidR="00223600" w:rsidRPr="00C53FE6">
        <w:rPr>
          <w:rFonts w:ascii="Arial" w:eastAsia="Arial" w:hAnsi="Arial" w:cs="Arial"/>
          <w:b/>
          <w:bCs/>
          <w:color w:val="000000" w:themeColor="text1"/>
        </w:rPr>
        <w:t>2020-00012</w:t>
      </w:r>
      <w:r w:rsidR="00223600" w:rsidRPr="00223600">
        <w:rPr>
          <w:rFonts w:ascii="Arial" w:eastAsia="Arial" w:hAnsi="Arial" w:cs="Arial"/>
          <w:color w:val="000000" w:themeColor="text1"/>
        </w:rPr>
        <w:t>-00</w:t>
      </w:r>
      <w:r w:rsidRPr="001D441E">
        <w:rPr>
          <w:rFonts w:ascii="Arial" w:hAnsi="Arial" w:cs="Arial"/>
        </w:rPr>
        <w:br/>
      </w:r>
      <w:r w:rsidRPr="001D441E">
        <w:rPr>
          <w:rFonts w:ascii="Arial" w:eastAsia="Arial" w:hAnsi="Arial" w:cs="Arial"/>
          <w:b/>
          <w:bCs/>
          <w:color w:val="000000" w:themeColor="text1"/>
        </w:rPr>
        <w:t xml:space="preserve">DEMANDANTES: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C53FE6" w:rsidRPr="00C53FE6">
        <w:rPr>
          <w:rFonts w:ascii="Arial" w:eastAsia="Arial" w:hAnsi="Arial" w:cs="Arial"/>
          <w:color w:val="000000" w:themeColor="text1"/>
        </w:rPr>
        <w:t>ASEGURADORA SOLIDARIA DE COLOMBIA</w:t>
      </w:r>
      <w:r w:rsidR="00C53FE6">
        <w:rPr>
          <w:rFonts w:ascii="Arial" w:eastAsia="Arial" w:hAnsi="Arial" w:cs="Arial"/>
          <w:color w:val="000000" w:themeColor="text1"/>
        </w:rPr>
        <w:t xml:space="preserve"> </w:t>
      </w:r>
      <w:r w:rsidR="00C53FE6" w:rsidRPr="00C53FE6">
        <w:rPr>
          <w:rFonts w:ascii="Arial" w:eastAsia="Arial" w:hAnsi="Arial" w:cs="Arial"/>
          <w:color w:val="000000" w:themeColor="text1"/>
        </w:rPr>
        <w:t>E</w:t>
      </w:r>
      <w:r w:rsidR="00C53FE6">
        <w:rPr>
          <w:rFonts w:ascii="Arial" w:eastAsia="Arial" w:hAnsi="Arial" w:cs="Arial"/>
          <w:color w:val="000000" w:themeColor="text1"/>
        </w:rPr>
        <w:t>.C.</w:t>
      </w:r>
      <w:r w:rsidR="00C71F73">
        <w:rPr>
          <w:rFonts w:ascii="Arial" w:eastAsia="Arial" w:hAnsi="Arial" w:cs="Arial"/>
          <w:color w:val="000000" w:themeColor="text1"/>
        </w:rPr>
        <w:t xml:space="preserve"> Y OTRO</w:t>
      </w:r>
      <w:r w:rsidR="00C53FE6" w:rsidRPr="001D441E">
        <w:rPr>
          <w:rFonts w:ascii="Arial" w:hAnsi="Arial" w:cs="Arial"/>
        </w:rPr>
        <w:t xml:space="preserve"> </w:t>
      </w:r>
      <w:r w:rsidRPr="001D441E">
        <w:rPr>
          <w:rFonts w:ascii="Arial" w:hAnsi="Arial" w:cs="Arial"/>
        </w:rPr>
        <w:br/>
      </w:r>
      <w:r w:rsidRPr="001D441E">
        <w:rPr>
          <w:rFonts w:ascii="Arial" w:eastAsia="Arial" w:hAnsi="Arial" w:cs="Arial"/>
          <w:b/>
          <w:bCs/>
          <w:color w:val="000000" w:themeColor="text1"/>
        </w:rPr>
        <w:t xml:space="preserve">DEMANDADOS: </w:t>
      </w:r>
      <w:r w:rsidRPr="001D441E">
        <w:rPr>
          <w:rFonts w:ascii="Arial" w:eastAsia="Arial" w:hAnsi="Arial" w:cs="Arial"/>
          <w:b/>
          <w:bCs/>
          <w:color w:val="000000" w:themeColor="text1"/>
        </w:rPr>
        <w:tab/>
      </w:r>
      <w:r w:rsidRPr="001D441E">
        <w:rPr>
          <w:rFonts w:ascii="Arial" w:eastAsia="Arial" w:hAnsi="Arial" w:cs="Arial"/>
          <w:b/>
          <w:bCs/>
          <w:color w:val="000000" w:themeColor="text1"/>
        </w:rPr>
        <w:tab/>
      </w:r>
      <w:r w:rsidR="00C71F73" w:rsidRPr="00C71F73">
        <w:rPr>
          <w:rFonts w:ascii="Arial" w:eastAsia="Arial" w:hAnsi="Arial" w:cs="Arial"/>
          <w:color w:val="000000" w:themeColor="text1"/>
        </w:rPr>
        <w:t>MUNICIPIO DE BUGALAGRANDE</w:t>
      </w:r>
    </w:p>
    <w:p w14:paraId="4BE19D1D" w14:textId="474E7C08" w:rsidR="00314594" w:rsidRDefault="00314594" w:rsidP="00037D51">
      <w:pPr>
        <w:spacing w:line="312" w:lineRule="auto"/>
        <w:rPr>
          <w:rFonts w:ascii="Arial" w:eastAsia="Arial" w:hAnsi="Arial" w:cs="Arial"/>
          <w:b/>
          <w:bCs/>
          <w:color w:val="000000" w:themeColor="text1"/>
        </w:rPr>
      </w:pPr>
    </w:p>
    <w:p w14:paraId="084A736B" w14:textId="77777777" w:rsidR="00235FC4" w:rsidRPr="001D441E" w:rsidRDefault="00235FC4" w:rsidP="00037D51">
      <w:pPr>
        <w:spacing w:line="312" w:lineRule="auto"/>
        <w:rPr>
          <w:rFonts w:ascii="Arial" w:eastAsia="Arial" w:hAnsi="Arial" w:cs="Arial"/>
          <w:b/>
          <w:bCs/>
          <w:color w:val="000000" w:themeColor="text1"/>
        </w:rPr>
      </w:pPr>
    </w:p>
    <w:p w14:paraId="29553528" w14:textId="3DDDA23B" w:rsidR="00314594" w:rsidRPr="001D441E" w:rsidRDefault="00314594" w:rsidP="00037D51">
      <w:pPr>
        <w:spacing w:line="312" w:lineRule="auto"/>
        <w:jc w:val="both"/>
        <w:rPr>
          <w:rFonts w:ascii="Arial" w:eastAsia="Arial" w:hAnsi="Arial" w:cs="Arial"/>
          <w:color w:val="000000" w:themeColor="text1"/>
        </w:rPr>
      </w:pPr>
      <w:r w:rsidRPr="001D441E">
        <w:rPr>
          <w:rFonts w:ascii="Arial" w:eastAsia="Arial" w:hAnsi="Arial" w:cs="Arial"/>
          <w:b/>
          <w:bCs/>
          <w:color w:val="000000" w:themeColor="text1"/>
        </w:rPr>
        <w:t>GUSTAVO ALBERTO HERRERA ÁVILA</w:t>
      </w:r>
      <w:r w:rsidRPr="001D441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de </w:t>
      </w:r>
      <w:r w:rsidR="004C07BB" w:rsidRPr="004C07BB">
        <w:rPr>
          <w:rFonts w:ascii="Arial" w:eastAsia="Arial" w:hAnsi="Arial" w:cs="Arial"/>
          <w:b/>
          <w:bCs/>
          <w:color w:val="000000" w:themeColor="text1"/>
        </w:rPr>
        <w:t xml:space="preserve">LA </w:t>
      </w:r>
      <w:r w:rsidR="00C71F73" w:rsidRPr="00C71F73">
        <w:rPr>
          <w:rFonts w:ascii="Arial" w:eastAsia="Arial" w:hAnsi="Arial" w:cs="Arial"/>
          <w:b/>
          <w:bCs/>
          <w:color w:val="000000" w:themeColor="text1"/>
        </w:rPr>
        <w:t>ASEGURADORA SOLIDARIA DE COLOMBIA E</w:t>
      </w:r>
      <w:r w:rsidR="00C71F73">
        <w:rPr>
          <w:rFonts w:ascii="Arial" w:eastAsia="Arial" w:hAnsi="Arial" w:cs="Arial"/>
          <w:b/>
          <w:bCs/>
          <w:color w:val="000000" w:themeColor="text1"/>
        </w:rPr>
        <w:t>NTIDAD COOPERATIVA</w:t>
      </w:r>
      <w:r w:rsidR="008906BF">
        <w:rPr>
          <w:rFonts w:ascii="Arial" w:eastAsia="Arial" w:hAnsi="Arial" w:cs="Arial"/>
          <w:color w:val="000000" w:themeColor="text1"/>
        </w:rPr>
        <w:t>,</w:t>
      </w:r>
      <w:r w:rsidRPr="001D441E">
        <w:rPr>
          <w:rFonts w:ascii="Arial" w:eastAsia="Arial" w:hAnsi="Arial" w:cs="Arial"/>
          <w:color w:val="000000" w:themeColor="text1"/>
        </w:rPr>
        <w:t xml:space="preserve"> procedo a interponer </w:t>
      </w:r>
      <w:r w:rsidRPr="001D441E">
        <w:rPr>
          <w:rFonts w:ascii="Arial" w:eastAsia="Arial" w:hAnsi="Arial" w:cs="Arial"/>
          <w:b/>
          <w:bCs/>
          <w:color w:val="000000" w:themeColor="text1"/>
        </w:rPr>
        <w:t>RECURSO DE APELACIÓN</w:t>
      </w:r>
      <w:r w:rsidRPr="001D441E">
        <w:rPr>
          <w:rFonts w:ascii="Arial" w:eastAsia="Arial" w:hAnsi="Arial" w:cs="Arial"/>
          <w:color w:val="000000" w:themeColor="text1"/>
        </w:rPr>
        <w:t xml:space="preserve"> en contra de la Sentencia</w:t>
      </w:r>
      <w:r w:rsidR="00626036">
        <w:rPr>
          <w:rFonts w:ascii="Arial" w:eastAsia="Arial" w:hAnsi="Arial" w:cs="Arial"/>
          <w:color w:val="000000" w:themeColor="text1"/>
        </w:rPr>
        <w:t xml:space="preserve"> de primera instancia</w:t>
      </w:r>
      <w:r w:rsidRPr="001D441E">
        <w:rPr>
          <w:rFonts w:ascii="Arial" w:eastAsia="Arial" w:hAnsi="Arial" w:cs="Arial"/>
          <w:color w:val="000000" w:themeColor="text1"/>
        </w:rPr>
        <w:t xml:space="preserve"> </w:t>
      </w:r>
      <w:r w:rsidR="00906793">
        <w:rPr>
          <w:rFonts w:ascii="Arial" w:eastAsia="Arial" w:hAnsi="Arial" w:cs="Arial"/>
          <w:color w:val="000000" w:themeColor="text1"/>
        </w:rPr>
        <w:t>S/N</w:t>
      </w:r>
      <w:r w:rsidRPr="001D441E">
        <w:rPr>
          <w:rFonts w:ascii="Arial" w:eastAsia="Arial" w:hAnsi="Arial" w:cs="Arial"/>
          <w:color w:val="000000" w:themeColor="text1"/>
        </w:rPr>
        <w:t xml:space="preserve"> </w:t>
      </w:r>
      <w:r w:rsidR="008906BF">
        <w:rPr>
          <w:rFonts w:ascii="Arial" w:eastAsia="Arial" w:hAnsi="Arial" w:cs="Arial"/>
          <w:color w:val="000000" w:themeColor="text1"/>
        </w:rPr>
        <w:t xml:space="preserve">del </w:t>
      </w:r>
      <w:r w:rsidR="00906793">
        <w:rPr>
          <w:rFonts w:ascii="Arial" w:eastAsia="Arial" w:hAnsi="Arial" w:cs="Arial"/>
          <w:color w:val="000000" w:themeColor="text1"/>
        </w:rPr>
        <w:t>16</w:t>
      </w:r>
      <w:r w:rsidR="008906BF">
        <w:rPr>
          <w:rFonts w:ascii="Arial" w:eastAsia="Arial" w:hAnsi="Arial" w:cs="Arial"/>
          <w:color w:val="000000" w:themeColor="text1"/>
        </w:rPr>
        <w:t xml:space="preserve"> de </w:t>
      </w:r>
      <w:r w:rsidR="00906793">
        <w:rPr>
          <w:rFonts w:ascii="Arial" w:eastAsia="Arial" w:hAnsi="Arial" w:cs="Arial"/>
          <w:color w:val="000000" w:themeColor="text1"/>
        </w:rPr>
        <w:t>diciem</w:t>
      </w:r>
      <w:r w:rsidR="008906BF">
        <w:rPr>
          <w:rFonts w:ascii="Arial" w:eastAsia="Arial" w:hAnsi="Arial" w:cs="Arial"/>
          <w:color w:val="000000" w:themeColor="text1"/>
        </w:rPr>
        <w:t xml:space="preserve">bre </w:t>
      </w:r>
      <w:r w:rsidRPr="001D441E">
        <w:rPr>
          <w:rFonts w:ascii="Arial" w:eastAsia="Arial" w:hAnsi="Arial" w:cs="Arial"/>
          <w:color w:val="000000" w:themeColor="text1"/>
        </w:rPr>
        <w:t xml:space="preserve">de 2024, de conformidad con lo </w:t>
      </w:r>
      <w:r w:rsidR="0019632E">
        <w:rPr>
          <w:rFonts w:ascii="Arial" w:eastAsia="Arial" w:hAnsi="Arial" w:cs="Arial"/>
          <w:color w:val="000000" w:themeColor="text1"/>
        </w:rPr>
        <w:t>expuesto a continuación</w:t>
      </w:r>
      <w:r w:rsidRPr="001D441E">
        <w:rPr>
          <w:rFonts w:ascii="Arial" w:eastAsia="Arial" w:hAnsi="Arial" w:cs="Arial"/>
          <w:color w:val="000000" w:themeColor="text1"/>
        </w:rPr>
        <w:t>:</w:t>
      </w:r>
    </w:p>
    <w:p w14:paraId="44E50E48" w14:textId="77777777" w:rsidR="00314594" w:rsidRPr="001D441E" w:rsidRDefault="00314594" w:rsidP="00037D51">
      <w:pPr>
        <w:spacing w:line="312" w:lineRule="auto"/>
        <w:jc w:val="both"/>
        <w:rPr>
          <w:rFonts w:ascii="Arial" w:eastAsia="Arial" w:hAnsi="Arial" w:cs="Arial"/>
          <w:color w:val="000000" w:themeColor="text1"/>
        </w:rPr>
      </w:pPr>
    </w:p>
    <w:p w14:paraId="2261B653" w14:textId="77777777" w:rsidR="00314594" w:rsidRPr="001D441E" w:rsidRDefault="00314594" w:rsidP="00037D51">
      <w:pPr>
        <w:pStyle w:val="Prrafodelista"/>
        <w:numPr>
          <w:ilvl w:val="0"/>
          <w:numId w:val="19"/>
        </w:numPr>
        <w:spacing w:line="312" w:lineRule="auto"/>
        <w:jc w:val="center"/>
        <w:rPr>
          <w:rFonts w:ascii="Arial" w:eastAsia="Arial" w:hAnsi="Arial" w:cs="Arial"/>
          <w:b/>
          <w:bCs/>
          <w:color w:val="000000" w:themeColor="text1"/>
          <w:u w:val="single"/>
        </w:rPr>
      </w:pPr>
      <w:r w:rsidRPr="001D441E">
        <w:rPr>
          <w:rFonts w:ascii="Arial" w:eastAsia="Arial" w:hAnsi="Arial" w:cs="Arial"/>
          <w:b/>
          <w:bCs/>
          <w:color w:val="000000" w:themeColor="text1"/>
          <w:u w:val="single"/>
        </w:rPr>
        <w:t xml:space="preserve">OPORTUNIDAD </w:t>
      </w:r>
    </w:p>
    <w:p w14:paraId="199C63A6" w14:textId="5D4107DA" w:rsidR="00314594" w:rsidRDefault="00314594" w:rsidP="00037D51">
      <w:pPr>
        <w:spacing w:line="312" w:lineRule="auto"/>
        <w:jc w:val="both"/>
        <w:rPr>
          <w:rFonts w:ascii="Arial" w:eastAsia="Calibri" w:hAnsi="Arial" w:cs="Arial"/>
        </w:rPr>
      </w:pPr>
      <w:r w:rsidRPr="001D441E">
        <w:rPr>
          <w:rFonts w:ascii="Arial" w:eastAsia="Calibri" w:hAnsi="Arial" w:cs="Arial"/>
        </w:rPr>
        <w:t>Mediante Sentencia</w:t>
      </w:r>
      <w:r w:rsidR="00F33865" w:rsidRPr="001D441E">
        <w:rPr>
          <w:rFonts w:ascii="Arial" w:eastAsia="Calibri" w:hAnsi="Arial" w:cs="Arial"/>
        </w:rPr>
        <w:t xml:space="preserve"> </w:t>
      </w:r>
      <w:r w:rsidR="00106677">
        <w:rPr>
          <w:rFonts w:ascii="Arial" w:eastAsia="Calibri" w:hAnsi="Arial" w:cs="Arial"/>
        </w:rPr>
        <w:t>S/</w:t>
      </w:r>
      <w:r w:rsidRPr="001D441E">
        <w:rPr>
          <w:rFonts w:ascii="Arial" w:eastAsia="Calibri" w:hAnsi="Arial" w:cs="Arial"/>
        </w:rPr>
        <w:t>N</w:t>
      </w:r>
      <w:r w:rsidR="00106677">
        <w:rPr>
          <w:rFonts w:ascii="Arial" w:eastAsia="Calibri" w:hAnsi="Arial" w:cs="Arial"/>
        </w:rPr>
        <w:t xml:space="preserve"> </w:t>
      </w:r>
      <w:r w:rsidRPr="001D441E">
        <w:rPr>
          <w:rFonts w:ascii="Arial" w:eastAsia="Calibri" w:hAnsi="Arial" w:cs="Arial"/>
        </w:rPr>
        <w:t xml:space="preserve">o. </w:t>
      </w:r>
      <w:r w:rsidR="00655D69">
        <w:rPr>
          <w:rFonts w:ascii="Arial" w:eastAsia="Arial" w:hAnsi="Arial" w:cs="Arial"/>
          <w:color w:val="000000" w:themeColor="text1"/>
        </w:rPr>
        <w:t>199</w:t>
      </w:r>
      <w:r w:rsidR="00655D69" w:rsidRPr="001D441E">
        <w:rPr>
          <w:rFonts w:ascii="Arial" w:eastAsia="Arial" w:hAnsi="Arial" w:cs="Arial"/>
          <w:color w:val="000000" w:themeColor="text1"/>
        </w:rPr>
        <w:t xml:space="preserve"> </w:t>
      </w:r>
      <w:r w:rsidR="00106677">
        <w:rPr>
          <w:rFonts w:ascii="Arial" w:eastAsia="Arial" w:hAnsi="Arial" w:cs="Arial"/>
          <w:color w:val="000000" w:themeColor="text1"/>
        </w:rPr>
        <w:t xml:space="preserve">del 16 de diciembre </w:t>
      </w:r>
      <w:r w:rsidR="00106677" w:rsidRPr="001D441E">
        <w:rPr>
          <w:rFonts w:ascii="Arial" w:eastAsia="Arial" w:hAnsi="Arial" w:cs="Arial"/>
          <w:color w:val="000000" w:themeColor="text1"/>
        </w:rPr>
        <w:t>de 2024</w:t>
      </w:r>
      <w:r w:rsidRPr="001D441E">
        <w:rPr>
          <w:rFonts w:ascii="Arial" w:eastAsia="Calibri" w:hAnsi="Arial" w:cs="Arial"/>
        </w:rPr>
        <w:t xml:space="preserve">, el despacho resolvió en primera instancia el proceso de </w:t>
      </w:r>
      <w:r w:rsidR="00822112">
        <w:rPr>
          <w:rFonts w:ascii="Arial" w:eastAsia="Calibri" w:hAnsi="Arial" w:cs="Arial"/>
        </w:rPr>
        <w:t>controversias contractuales</w:t>
      </w:r>
      <w:r w:rsidRPr="001D441E">
        <w:rPr>
          <w:rFonts w:ascii="Arial" w:eastAsia="Calibri" w:hAnsi="Arial" w:cs="Arial"/>
        </w:rPr>
        <w:t xml:space="preserve"> de la referencia. Dicha providencia fue notificada por correo electrónico el </w:t>
      </w:r>
      <w:r w:rsidR="00822112">
        <w:rPr>
          <w:rFonts w:ascii="Arial" w:eastAsia="Calibri" w:hAnsi="Arial" w:cs="Arial"/>
        </w:rPr>
        <w:t>18</w:t>
      </w:r>
      <w:r w:rsidR="00F33865" w:rsidRPr="001D441E">
        <w:rPr>
          <w:rFonts w:ascii="Arial" w:eastAsia="Calibri" w:hAnsi="Arial" w:cs="Arial"/>
        </w:rPr>
        <w:t xml:space="preserve"> de </w:t>
      </w:r>
      <w:r w:rsidR="00822112">
        <w:rPr>
          <w:rFonts w:ascii="Arial" w:eastAsia="Calibri" w:hAnsi="Arial" w:cs="Arial"/>
        </w:rPr>
        <w:t>diciem</w:t>
      </w:r>
      <w:r w:rsidR="00F33865" w:rsidRPr="001D441E">
        <w:rPr>
          <w:rFonts w:ascii="Arial" w:eastAsia="Calibri" w:hAnsi="Arial" w:cs="Arial"/>
        </w:rPr>
        <w:t xml:space="preserve">bre </w:t>
      </w:r>
      <w:r w:rsidRPr="001D441E">
        <w:rPr>
          <w:rFonts w:ascii="Arial" w:eastAsia="Calibri" w:hAnsi="Arial" w:cs="Arial"/>
        </w:rPr>
        <w:t xml:space="preserve">de 2024, </w:t>
      </w:r>
      <w:r w:rsidR="00626036">
        <w:rPr>
          <w:rFonts w:ascii="Arial" w:eastAsia="Calibri" w:hAnsi="Arial" w:cs="Arial"/>
        </w:rPr>
        <w:t>tal como se observa</w:t>
      </w:r>
      <w:r w:rsidRPr="001D441E">
        <w:rPr>
          <w:rFonts w:ascii="Arial" w:eastAsia="Calibri" w:hAnsi="Arial" w:cs="Arial"/>
        </w:rPr>
        <w:t>:</w:t>
      </w:r>
    </w:p>
    <w:p w14:paraId="11101603" w14:textId="77777777" w:rsidR="001C071D" w:rsidRPr="001D441E" w:rsidRDefault="001C071D" w:rsidP="00037D51">
      <w:pPr>
        <w:spacing w:line="312" w:lineRule="auto"/>
        <w:jc w:val="both"/>
        <w:rPr>
          <w:rFonts w:ascii="Arial" w:eastAsia="Calibri" w:hAnsi="Arial" w:cs="Arial"/>
        </w:rPr>
      </w:pPr>
    </w:p>
    <w:p w14:paraId="1FA79473" w14:textId="5476CFC6" w:rsidR="00314594" w:rsidRPr="001D441E" w:rsidRDefault="00822112" w:rsidP="00037D51">
      <w:pPr>
        <w:spacing w:line="312" w:lineRule="auto"/>
        <w:jc w:val="center"/>
        <w:rPr>
          <w:rFonts w:ascii="Arial" w:eastAsia="Arial" w:hAnsi="Arial" w:cs="Arial"/>
          <w:color w:val="000000" w:themeColor="text1"/>
        </w:rPr>
      </w:pPr>
      <w:r w:rsidRPr="00822112">
        <w:rPr>
          <w:rFonts w:ascii="Arial" w:eastAsia="Arial" w:hAnsi="Arial" w:cs="Arial"/>
          <w:noProof/>
          <w:color w:val="000000" w:themeColor="text1"/>
          <w:lang w:val="es-CO" w:eastAsia="es-CO"/>
        </w:rPr>
        <w:drawing>
          <wp:inline distT="0" distB="0" distL="0" distR="0" wp14:anchorId="6D0DCAF9" wp14:editId="2881E2EC">
            <wp:extent cx="6049107" cy="2303780"/>
            <wp:effectExtent l="0" t="0" r="8890" b="1270"/>
            <wp:docPr id="1711567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67436" name=""/>
                    <pic:cNvPicPr/>
                  </pic:nvPicPr>
                  <pic:blipFill>
                    <a:blip r:embed="rId9"/>
                    <a:stretch>
                      <a:fillRect/>
                    </a:stretch>
                  </pic:blipFill>
                  <pic:spPr>
                    <a:xfrm>
                      <a:off x="0" y="0"/>
                      <a:ext cx="6080719" cy="2315819"/>
                    </a:xfrm>
                    <a:prstGeom prst="rect">
                      <a:avLst/>
                    </a:prstGeom>
                  </pic:spPr>
                </pic:pic>
              </a:graphicData>
            </a:graphic>
          </wp:inline>
        </w:drawing>
      </w:r>
    </w:p>
    <w:p w14:paraId="15917C24" w14:textId="77777777" w:rsidR="001C071D" w:rsidRDefault="001C071D" w:rsidP="00037D51">
      <w:pPr>
        <w:spacing w:line="312" w:lineRule="auto"/>
        <w:jc w:val="both"/>
        <w:rPr>
          <w:rFonts w:ascii="Arial" w:eastAsia="Calibri" w:hAnsi="Arial" w:cs="Arial"/>
        </w:rPr>
      </w:pPr>
    </w:p>
    <w:p w14:paraId="018B1B62" w14:textId="63C4EF01" w:rsidR="001C071D" w:rsidRPr="001D441E" w:rsidRDefault="00314594" w:rsidP="00037D51">
      <w:pPr>
        <w:spacing w:line="312" w:lineRule="auto"/>
        <w:jc w:val="both"/>
        <w:rPr>
          <w:rFonts w:ascii="Arial" w:eastAsia="Calibri" w:hAnsi="Arial" w:cs="Arial"/>
        </w:rPr>
      </w:pPr>
      <w:r w:rsidRPr="001D441E">
        <w:rPr>
          <w:rFonts w:ascii="Arial" w:eastAsia="Calibri" w:hAnsi="Arial" w:cs="Arial"/>
        </w:rPr>
        <w:t xml:space="preserve">De conformidad con el artículo 247 de la Ley 1437 del 2011, el término para interponer el recurso de apelación en contra de la sentencia de primera instancia será de diez (10) días siguientes a la notificación. En este sentido, la Sentencia fue </w:t>
      </w:r>
      <w:r w:rsidR="00F33865" w:rsidRPr="001D441E">
        <w:rPr>
          <w:rFonts w:ascii="Arial" w:eastAsia="Calibri" w:hAnsi="Arial" w:cs="Arial"/>
        </w:rPr>
        <w:t>notificada</w:t>
      </w:r>
      <w:r w:rsidRPr="001D441E">
        <w:rPr>
          <w:rFonts w:ascii="Arial" w:eastAsia="Calibri" w:hAnsi="Arial" w:cs="Arial"/>
        </w:rPr>
        <w:t xml:space="preserve"> el</w:t>
      </w:r>
      <w:r w:rsidR="00F33865" w:rsidRPr="001D441E">
        <w:rPr>
          <w:rFonts w:ascii="Arial" w:eastAsia="Calibri" w:hAnsi="Arial" w:cs="Arial"/>
        </w:rPr>
        <w:t xml:space="preserve"> </w:t>
      </w:r>
      <w:r w:rsidR="00822112">
        <w:rPr>
          <w:rFonts w:ascii="Arial" w:eastAsia="Calibri" w:hAnsi="Arial" w:cs="Arial"/>
        </w:rPr>
        <w:t>18</w:t>
      </w:r>
      <w:r w:rsidRPr="001D441E">
        <w:rPr>
          <w:rFonts w:ascii="Arial" w:eastAsia="Calibri" w:hAnsi="Arial" w:cs="Arial"/>
        </w:rPr>
        <w:t xml:space="preserve"> de </w:t>
      </w:r>
      <w:r w:rsidR="00822112">
        <w:rPr>
          <w:rFonts w:ascii="Arial" w:eastAsia="Calibri" w:hAnsi="Arial" w:cs="Arial"/>
        </w:rPr>
        <w:t>diciem</w:t>
      </w:r>
      <w:r w:rsidRPr="001D441E">
        <w:rPr>
          <w:rFonts w:ascii="Arial" w:eastAsia="Calibri" w:hAnsi="Arial" w:cs="Arial"/>
        </w:rPr>
        <w:t>bre de 202</w:t>
      </w:r>
      <w:r w:rsidR="00822112">
        <w:rPr>
          <w:rFonts w:ascii="Arial" w:eastAsia="Calibri" w:hAnsi="Arial" w:cs="Arial"/>
        </w:rPr>
        <w:t>4</w:t>
      </w:r>
      <w:r w:rsidRPr="001D441E">
        <w:rPr>
          <w:rFonts w:ascii="Arial" w:eastAsia="Calibri" w:hAnsi="Arial" w:cs="Arial"/>
        </w:rPr>
        <w:t xml:space="preserve">, </w:t>
      </w:r>
      <w:r w:rsidR="00F33865" w:rsidRPr="001D441E">
        <w:rPr>
          <w:rFonts w:ascii="Arial" w:eastAsia="Calibri" w:hAnsi="Arial" w:cs="Arial"/>
        </w:rPr>
        <w:t xml:space="preserve">por lo que </w:t>
      </w:r>
      <w:r w:rsidRPr="001D441E">
        <w:rPr>
          <w:rFonts w:ascii="Arial" w:eastAsia="Calibri" w:hAnsi="Arial" w:cs="Arial"/>
        </w:rPr>
        <w:t xml:space="preserve">el término comenzó a correr desde el </w:t>
      </w:r>
      <w:r w:rsidR="00822112">
        <w:rPr>
          <w:rFonts w:ascii="Arial" w:eastAsia="Calibri" w:hAnsi="Arial" w:cs="Arial"/>
        </w:rPr>
        <w:t>19</w:t>
      </w:r>
      <w:r w:rsidRPr="001D441E">
        <w:rPr>
          <w:rFonts w:ascii="Arial" w:eastAsia="Calibri" w:hAnsi="Arial" w:cs="Arial"/>
        </w:rPr>
        <w:t xml:space="preserve"> de </w:t>
      </w:r>
      <w:r w:rsidR="00822112">
        <w:rPr>
          <w:rFonts w:ascii="Arial" w:eastAsia="Calibri" w:hAnsi="Arial" w:cs="Arial"/>
        </w:rPr>
        <w:t>dic</w:t>
      </w:r>
      <w:r w:rsidR="00356E5F">
        <w:rPr>
          <w:rFonts w:ascii="Arial" w:eastAsia="Calibri" w:hAnsi="Arial" w:cs="Arial"/>
        </w:rPr>
        <w:t>iem</w:t>
      </w:r>
      <w:r w:rsidRPr="001D441E">
        <w:rPr>
          <w:rFonts w:ascii="Arial" w:eastAsia="Calibri" w:hAnsi="Arial" w:cs="Arial"/>
        </w:rPr>
        <w:t>bre de 2024</w:t>
      </w:r>
      <w:r w:rsidR="00356E5F">
        <w:rPr>
          <w:rFonts w:ascii="Arial" w:eastAsia="Calibri" w:hAnsi="Arial" w:cs="Arial"/>
        </w:rPr>
        <w:t>, así 1</w:t>
      </w:r>
      <w:r w:rsidR="00822112">
        <w:rPr>
          <w:rFonts w:ascii="Arial" w:eastAsia="Calibri" w:hAnsi="Arial" w:cs="Arial"/>
        </w:rPr>
        <w:t>9 y</w:t>
      </w:r>
      <w:r w:rsidR="00356E5F">
        <w:rPr>
          <w:rFonts w:ascii="Arial" w:eastAsia="Calibri" w:hAnsi="Arial" w:cs="Arial"/>
        </w:rPr>
        <w:t xml:space="preserve"> </w:t>
      </w:r>
      <w:r w:rsidR="00822112">
        <w:rPr>
          <w:rFonts w:ascii="Arial" w:eastAsia="Calibri" w:hAnsi="Arial" w:cs="Arial"/>
        </w:rPr>
        <w:t>20 de diciembre</w:t>
      </w:r>
      <w:r w:rsidR="00356E5F">
        <w:rPr>
          <w:rFonts w:ascii="Arial" w:eastAsia="Calibri" w:hAnsi="Arial" w:cs="Arial"/>
        </w:rPr>
        <w:t xml:space="preserve">, </w:t>
      </w:r>
      <w:r w:rsidR="00822112">
        <w:rPr>
          <w:rFonts w:ascii="Arial" w:eastAsia="Calibri" w:hAnsi="Arial" w:cs="Arial"/>
        </w:rPr>
        <w:t>13</w:t>
      </w:r>
      <w:r w:rsidR="00356E5F">
        <w:rPr>
          <w:rFonts w:ascii="Arial" w:eastAsia="Calibri" w:hAnsi="Arial" w:cs="Arial"/>
        </w:rPr>
        <w:t xml:space="preserve">, </w:t>
      </w:r>
      <w:r w:rsidR="00822112">
        <w:rPr>
          <w:rFonts w:ascii="Arial" w:eastAsia="Calibri" w:hAnsi="Arial" w:cs="Arial"/>
        </w:rPr>
        <w:t>14</w:t>
      </w:r>
      <w:r w:rsidR="00356E5F">
        <w:rPr>
          <w:rFonts w:ascii="Arial" w:eastAsia="Calibri" w:hAnsi="Arial" w:cs="Arial"/>
        </w:rPr>
        <w:t>, 1</w:t>
      </w:r>
      <w:r w:rsidR="00822112">
        <w:rPr>
          <w:rFonts w:ascii="Arial" w:eastAsia="Calibri" w:hAnsi="Arial" w:cs="Arial"/>
        </w:rPr>
        <w:t>5</w:t>
      </w:r>
      <w:r w:rsidR="00356E5F">
        <w:rPr>
          <w:rFonts w:ascii="Arial" w:eastAsia="Calibri" w:hAnsi="Arial" w:cs="Arial"/>
        </w:rPr>
        <w:t>, 1</w:t>
      </w:r>
      <w:r w:rsidR="00822112">
        <w:rPr>
          <w:rFonts w:ascii="Arial" w:eastAsia="Calibri" w:hAnsi="Arial" w:cs="Arial"/>
        </w:rPr>
        <w:t>6</w:t>
      </w:r>
      <w:r w:rsidR="00356E5F">
        <w:rPr>
          <w:rFonts w:ascii="Arial" w:eastAsia="Calibri" w:hAnsi="Arial" w:cs="Arial"/>
        </w:rPr>
        <w:t>, 1</w:t>
      </w:r>
      <w:r w:rsidR="00822112">
        <w:rPr>
          <w:rFonts w:ascii="Arial" w:eastAsia="Calibri" w:hAnsi="Arial" w:cs="Arial"/>
        </w:rPr>
        <w:t>7</w:t>
      </w:r>
      <w:r w:rsidR="00356E5F">
        <w:rPr>
          <w:rFonts w:ascii="Arial" w:eastAsia="Calibri" w:hAnsi="Arial" w:cs="Arial"/>
        </w:rPr>
        <w:t xml:space="preserve">, </w:t>
      </w:r>
      <w:r w:rsidR="00822112">
        <w:rPr>
          <w:rFonts w:ascii="Arial" w:eastAsia="Calibri" w:hAnsi="Arial" w:cs="Arial"/>
        </w:rPr>
        <w:t>20,21</w:t>
      </w:r>
      <w:r w:rsidRPr="001D441E">
        <w:rPr>
          <w:rFonts w:ascii="Arial" w:eastAsia="Calibri" w:hAnsi="Arial" w:cs="Arial"/>
        </w:rPr>
        <w:t xml:space="preserve"> hasta el </w:t>
      </w:r>
      <w:r w:rsidR="00822112">
        <w:rPr>
          <w:rFonts w:ascii="Arial" w:eastAsia="Calibri" w:hAnsi="Arial" w:cs="Arial"/>
          <w:b/>
          <w:bCs/>
          <w:u w:val="single"/>
        </w:rPr>
        <w:t>22</w:t>
      </w:r>
      <w:r w:rsidRPr="001D441E">
        <w:rPr>
          <w:rFonts w:ascii="Arial" w:eastAsia="Calibri" w:hAnsi="Arial" w:cs="Arial"/>
          <w:b/>
          <w:bCs/>
          <w:u w:val="single"/>
        </w:rPr>
        <w:t xml:space="preserve"> de </w:t>
      </w:r>
      <w:r w:rsidR="00822112">
        <w:rPr>
          <w:rFonts w:ascii="Arial" w:eastAsia="Calibri" w:hAnsi="Arial" w:cs="Arial"/>
          <w:b/>
          <w:bCs/>
          <w:u w:val="single"/>
        </w:rPr>
        <w:t>enero</w:t>
      </w:r>
      <w:r w:rsidRPr="001D441E">
        <w:rPr>
          <w:rFonts w:ascii="Arial" w:eastAsia="Calibri" w:hAnsi="Arial" w:cs="Arial"/>
          <w:b/>
          <w:bCs/>
          <w:u w:val="single"/>
        </w:rPr>
        <w:t xml:space="preserve"> de 202</w:t>
      </w:r>
      <w:r w:rsidR="00822112">
        <w:rPr>
          <w:rFonts w:ascii="Arial" w:eastAsia="Calibri" w:hAnsi="Arial" w:cs="Arial"/>
          <w:b/>
          <w:bCs/>
          <w:u w:val="single"/>
        </w:rPr>
        <w:t>5</w:t>
      </w:r>
      <w:r w:rsidR="00A1779D">
        <w:rPr>
          <w:rStyle w:val="Refdenotaalpie"/>
          <w:rFonts w:ascii="Arial" w:eastAsia="Calibri" w:hAnsi="Arial" w:cs="Arial"/>
          <w:b/>
          <w:bCs/>
          <w:u w:val="single"/>
        </w:rPr>
        <w:footnoteReference w:id="1"/>
      </w:r>
      <w:r w:rsidRPr="001D441E">
        <w:rPr>
          <w:rFonts w:ascii="Arial" w:eastAsia="Calibri" w:hAnsi="Arial" w:cs="Arial"/>
        </w:rPr>
        <w:t xml:space="preserve">. Por lo anterior, el presente escrito se radica dentro del término previsto. </w:t>
      </w:r>
    </w:p>
    <w:p w14:paraId="39D7621F" w14:textId="77777777" w:rsidR="00314594" w:rsidRPr="001D441E" w:rsidRDefault="00314594" w:rsidP="00037D51">
      <w:pPr>
        <w:pStyle w:val="Prrafodelista"/>
        <w:numPr>
          <w:ilvl w:val="0"/>
          <w:numId w:val="19"/>
        </w:numPr>
        <w:spacing w:line="312" w:lineRule="auto"/>
        <w:jc w:val="center"/>
        <w:rPr>
          <w:rFonts w:ascii="Arial" w:eastAsia="Arial" w:hAnsi="Arial" w:cs="Arial"/>
          <w:b/>
          <w:bCs/>
          <w:color w:val="000000" w:themeColor="text1"/>
          <w:u w:val="single"/>
        </w:rPr>
      </w:pPr>
      <w:r w:rsidRPr="001D441E">
        <w:rPr>
          <w:rFonts w:ascii="Arial" w:eastAsia="Arial" w:hAnsi="Arial" w:cs="Arial"/>
          <w:b/>
          <w:bCs/>
          <w:color w:val="000000" w:themeColor="text1"/>
          <w:u w:val="single"/>
        </w:rPr>
        <w:lastRenderedPageBreak/>
        <w:t>FRENTE A LA SENTENCIA DE PRIMERA INSTANCIA</w:t>
      </w:r>
    </w:p>
    <w:p w14:paraId="10ED21DE" w14:textId="4C7F4CB3" w:rsidR="00687A94" w:rsidRPr="001D441E" w:rsidRDefault="00314594" w:rsidP="00A4313A">
      <w:pPr>
        <w:spacing w:line="312" w:lineRule="auto"/>
        <w:rPr>
          <w:rFonts w:ascii="Arial" w:eastAsia="Arial" w:hAnsi="Arial" w:cs="Arial"/>
          <w:color w:val="000000" w:themeColor="text1"/>
        </w:rPr>
      </w:pPr>
      <w:r w:rsidRPr="001D441E">
        <w:rPr>
          <w:rFonts w:ascii="Arial" w:eastAsia="Arial" w:hAnsi="Arial" w:cs="Arial"/>
          <w:color w:val="000000" w:themeColor="text1"/>
        </w:rPr>
        <w:t xml:space="preserve">El </w:t>
      </w:r>
      <w:r w:rsidR="00A4313A" w:rsidRPr="00A4313A">
        <w:rPr>
          <w:rFonts w:ascii="Arial" w:eastAsia="Arial" w:hAnsi="Arial" w:cs="Arial"/>
          <w:color w:val="000000" w:themeColor="text1"/>
        </w:rPr>
        <w:t xml:space="preserve">Juzgado Segundo Administrativo </w:t>
      </w:r>
      <w:r w:rsidR="00A4313A">
        <w:rPr>
          <w:rFonts w:ascii="Arial" w:eastAsia="Arial" w:hAnsi="Arial" w:cs="Arial"/>
          <w:color w:val="000000" w:themeColor="text1"/>
        </w:rPr>
        <w:t>d</w:t>
      </w:r>
      <w:r w:rsidR="00A4313A" w:rsidRPr="00A4313A">
        <w:rPr>
          <w:rFonts w:ascii="Arial" w:eastAsia="Arial" w:hAnsi="Arial" w:cs="Arial"/>
          <w:color w:val="000000" w:themeColor="text1"/>
        </w:rPr>
        <w:t>el Circuito</w:t>
      </w:r>
      <w:r w:rsidR="00A4313A">
        <w:rPr>
          <w:rFonts w:ascii="Arial" w:eastAsia="Arial" w:hAnsi="Arial" w:cs="Arial"/>
          <w:color w:val="000000" w:themeColor="text1"/>
        </w:rPr>
        <w:t xml:space="preserve"> d</w:t>
      </w:r>
      <w:r w:rsidR="00A4313A" w:rsidRPr="00A4313A">
        <w:rPr>
          <w:rFonts w:ascii="Arial" w:eastAsia="Arial" w:hAnsi="Arial" w:cs="Arial"/>
          <w:color w:val="000000" w:themeColor="text1"/>
        </w:rPr>
        <w:t xml:space="preserve">e Guadalajara </w:t>
      </w:r>
      <w:r w:rsidR="00A4313A">
        <w:rPr>
          <w:rFonts w:ascii="Arial" w:eastAsia="Arial" w:hAnsi="Arial" w:cs="Arial"/>
          <w:color w:val="000000" w:themeColor="text1"/>
        </w:rPr>
        <w:t>d</w:t>
      </w:r>
      <w:r w:rsidR="00A4313A" w:rsidRPr="00A4313A">
        <w:rPr>
          <w:rFonts w:ascii="Arial" w:eastAsia="Arial" w:hAnsi="Arial" w:cs="Arial"/>
          <w:color w:val="000000" w:themeColor="text1"/>
        </w:rPr>
        <w:t>e Buga V</w:t>
      </w:r>
      <w:r w:rsidR="00A4313A">
        <w:rPr>
          <w:rFonts w:ascii="Arial" w:eastAsia="Arial" w:hAnsi="Arial" w:cs="Arial"/>
          <w:color w:val="000000" w:themeColor="text1"/>
        </w:rPr>
        <w:t>alle del Cauca</w:t>
      </w:r>
      <w:r w:rsidR="00A240E7">
        <w:rPr>
          <w:rFonts w:ascii="Arial" w:eastAsia="Arial" w:hAnsi="Arial" w:cs="Arial"/>
          <w:color w:val="000000" w:themeColor="text1"/>
        </w:rPr>
        <w:t xml:space="preserve">, </w:t>
      </w:r>
      <w:r w:rsidRPr="001D441E">
        <w:rPr>
          <w:rFonts w:ascii="Arial" w:eastAsia="Arial" w:hAnsi="Arial" w:cs="Arial"/>
          <w:color w:val="000000" w:themeColor="text1"/>
        </w:rPr>
        <w:t xml:space="preserve">mediante Sentencia </w:t>
      </w:r>
      <w:r w:rsidR="00A4313A">
        <w:rPr>
          <w:rFonts w:ascii="Arial" w:eastAsia="Arial" w:hAnsi="Arial" w:cs="Arial"/>
          <w:color w:val="000000" w:themeColor="text1"/>
        </w:rPr>
        <w:t>S/N</w:t>
      </w:r>
      <w:r w:rsidR="00A240E7" w:rsidRPr="001D441E">
        <w:rPr>
          <w:rFonts w:ascii="Arial" w:eastAsia="Arial" w:hAnsi="Arial" w:cs="Arial"/>
          <w:color w:val="000000" w:themeColor="text1"/>
        </w:rPr>
        <w:t xml:space="preserve"> </w:t>
      </w:r>
      <w:r w:rsidR="00A240E7">
        <w:rPr>
          <w:rFonts w:ascii="Arial" w:eastAsia="Arial" w:hAnsi="Arial" w:cs="Arial"/>
          <w:color w:val="000000" w:themeColor="text1"/>
        </w:rPr>
        <w:t xml:space="preserve">del </w:t>
      </w:r>
      <w:r w:rsidR="00A4313A">
        <w:rPr>
          <w:rFonts w:ascii="Arial" w:eastAsia="Arial" w:hAnsi="Arial" w:cs="Arial"/>
          <w:color w:val="000000" w:themeColor="text1"/>
        </w:rPr>
        <w:t>16</w:t>
      </w:r>
      <w:r w:rsidR="00A240E7">
        <w:rPr>
          <w:rFonts w:ascii="Arial" w:eastAsia="Arial" w:hAnsi="Arial" w:cs="Arial"/>
          <w:color w:val="000000" w:themeColor="text1"/>
        </w:rPr>
        <w:t xml:space="preserve"> de </w:t>
      </w:r>
      <w:r w:rsidR="00A4313A">
        <w:rPr>
          <w:rFonts w:ascii="Arial" w:eastAsia="Arial" w:hAnsi="Arial" w:cs="Arial"/>
          <w:color w:val="000000" w:themeColor="text1"/>
        </w:rPr>
        <w:t>diciem</w:t>
      </w:r>
      <w:r w:rsidR="00A240E7">
        <w:rPr>
          <w:rFonts w:ascii="Arial" w:eastAsia="Arial" w:hAnsi="Arial" w:cs="Arial"/>
          <w:color w:val="000000" w:themeColor="text1"/>
        </w:rPr>
        <w:t xml:space="preserve">bre </w:t>
      </w:r>
      <w:r w:rsidR="00A240E7" w:rsidRPr="001D441E">
        <w:rPr>
          <w:rFonts w:ascii="Arial" w:eastAsia="Arial" w:hAnsi="Arial" w:cs="Arial"/>
          <w:color w:val="000000" w:themeColor="text1"/>
        </w:rPr>
        <w:t>de 2024</w:t>
      </w:r>
      <w:r w:rsidR="00A240E7">
        <w:rPr>
          <w:rFonts w:ascii="Arial" w:eastAsia="Arial" w:hAnsi="Arial" w:cs="Arial"/>
          <w:color w:val="000000" w:themeColor="text1"/>
        </w:rPr>
        <w:t xml:space="preserve">, </w:t>
      </w:r>
      <w:r w:rsidRPr="001D441E">
        <w:rPr>
          <w:rFonts w:ascii="Arial" w:eastAsia="Arial" w:hAnsi="Arial" w:cs="Arial"/>
          <w:color w:val="000000" w:themeColor="text1"/>
        </w:rPr>
        <w:t xml:space="preserve">resolvió: </w:t>
      </w:r>
    </w:p>
    <w:p w14:paraId="493A519F" w14:textId="4AAE5BF9" w:rsidR="00687A94" w:rsidRPr="001D441E" w:rsidRDefault="00687A94" w:rsidP="00037D51">
      <w:pPr>
        <w:spacing w:line="312" w:lineRule="auto"/>
        <w:jc w:val="center"/>
        <w:rPr>
          <w:rFonts w:ascii="Arial" w:eastAsia="Calibri" w:hAnsi="Arial" w:cs="Arial"/>
        </w:rPr>
      </w:pPr>
    </w:p>
    <w:p w14:paraId="6D32149B" w14:textId="33E1AD83" w:rsidR="00851A2B" w:rsidRDefault="00A4313A" w:rsidP="00037D51">
      <w:pPr>
        <w:spacing w:line="312" w:lineRule="auto"/>
        <w:jc w:val="center"/>
        <w:rPr>
          <w:rFonts w:ascii="Arial" w:eastAsia="Calibri" w:hAnsi="Arial" w:cs="Arial"/>
        </w:rPr>
      </w:pPr>
      <w:r w:rsidRPr="00A4313A">
        <w:rPr>
          <w:rFonts w:ascii="Arial" w:eastAsia="Calibri" w:hAnsi="Arial" w:cs="Arial"/>
          <w:noProof/>
          <w:lang w:val="es-CO" w:eastAsia="es-CO"/>
        </w:rPr>
        <w:drawing>
          <wp:inline distT="0" distB="0" distL="0" distR="0" wp14:anchorId="73CA44C4" wp14:editId="31BD0CAA">
            <wp:extent cx="5982535" cy="2724530"/>
            <wp:effectExtent l="0" t="0" r="0" b="0"/>
            <wp:docPr id="1971271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71904" name=""/>
                    <pic:cNvPicPr/>
                  </pic:nvPicPr>
                  <pic:blipFill>
                    <a:blip r:embed="rId10"/>
                    <a:stretch>
                      <a:fillRect/>
                    </a:stretch>
                  </pic:blipFill>
                  <pic:spPr>
                    <a:xfrm>
                      <a:off x="0" y="0"/>
                      <a:ext cx="5982535" cy="2724530"/>
                    </a:xfrm>
                    <a:prstGeom prst="rect">
                      <a:avLst/>
                    </a:prstGeom>
                  </pic:spPr>
                </pic:pic>
              </a:graphicData>
            </a:graphic>
          </wp:inline>
        </w:drawing>
      </w:r>
    </w:p>
    <w:p w14:paraId="6C9688CF" w14:textId="303D234D" w:rsidR="00D804AE" w:rsidRDefault="00D804AE" w:rsidP="00037D51">
      <w:pPr>
        <w:spacing w:line="312" w:lineRule="auto"/>
        <w:jc w:val="center"/>
        <w:rPr>
          <w:rFonts w:ascii="Arial" w:eastAsia="Calibri" w:hAnsi="Arial" w:cs="Arial"/>
        </w:rPr>
      </w:pPr>
    </w:p>
    <w:p w14:paraId="2A52F9C6" w14:textId="4429F391" w:rsidR="00B0461E" w:rsidRPr="001D441E" w:rsidRDefault="00CA5C4F" w:rsidP="00037D51">
      <w:pPr>
        <w:spacing w:line="312" w:lineRule="auto"/>
        <w:rPr>
          <w:rFonts w:ascii="Arial" w:eastAsia="Calibri" w:hAnsi="Arial" w:cs="Arial"/>
        </w:rPr>
      </w:pPr>
      <w:r w:rsidRPr="001D441E">
        <w:rPr>
          <w:rFonts w:ascii="Arial" w:eastAsia="Calibri" w:hAnsi="Arial" w:cs="Arial"/>
        </w:rPr>
        <w:t xml:space="preserve">Lo anterior, con fundamento en lo siguiente: </w:t>
      </w:r>
      <w:r w:rsidR="00B0461E">
        <w:rPr>
          <w:rFonts w:ascii="Arial" w:eastAsia="Calibri" w:hAnsi="Arial" w:cs="Arial"/>
        </w:rPr>
        <w:br/>
      </w:r>
    </w:p>
    <w:p w14:paraId="310012F6" w14:textId="77777777" w:rsidR="00A4313A" w:rsidRDefault="004364D5" w:rsidP="00037D51">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A4313A">
        <w:rPr>
          <w:rFonts w:ascii="Arial" w:eastAsia="Calibri" w:hAnsi="Arial" w:cs="Arial"/>
          <w:i/>
          <w:iCs/>
          <w:sz w:val="20"/>
          <w:szCs w:val="20"/>
        </w:rPr>
        <w:t>l</w:t>
      </w:r>
      <w:r w:rsidR="00A4313A" w:rsidRPr="00A4313A">
        <w:rPr>
          <w:rFonts w:ascii="Arial" w:eastAsia="Calibri" w:hAnsi="Arial" w:cs="Arial"/>
          <w:i/>
          <w:iCs/>
          <w:sz w:val="20"/>
          <w:szCs w:val="20"/>
        </w:rPr>
        <w:t>as partes, haciendo uso de su autonomía, fijaron un primer plazo de dos (2) meses siguientes a la terminación para liquidar de mutuo acuerdo el convenio. Si no hubiere acuerdo en dicho lapso, acordaron acogerse a lo dispuesto en el artículo 11 de la ley 1150 de 2007, es decir, a los plazos de dos (2) meses más para que el Municipio liquide unilateralmente el contrato y dos (2) años a partir del vencimiento de este para liquidarlo en cualquiera de las dos modalidades</w:t>
      </w:r>
      <w:r w:rsidR="001D441E" w:rsidRPr="00392E46">
        <w:rPr>
          <w:rFonts w:ascii="Arial" w:eastAsia="Calibri" w:hAnsi="Arial" w:cs="Arial"/>
          <w:i/>
          <w:iCs/>
          <w:sz w:val="20"/>
          <w:szCs w:val="20"/>
        </w:rPr>
        <w:t>.</w:t>
      </w:r>
    </w:p>
    <w:p w14:paraId="4E846402" w14:textId="77777777" w:rsidR="00A4313A" w:rsidRDefault="00A4313A" w:rsidP="00037D51">
      <w:pPr>
        <w:spacing w:line="312" w:lineRule="auto"/>
        <w:ind w:left="567" w:right="567"/>
        <w:jc w:val="both"/>
        <w:rPr>
          <w:rFonts w:ascii="Arial" w:eastAsia="Calibri" w:hAnsi="Arial" w:cs="Arial"/>
          <w:i/>
          <w:iCs/>
          <w:sz w:val="20"/>
          <w:szCs w:val="20"/>
        </w:rPr>
      </w:pPr>
    </w:p>
    <w:p w14:paraId="3E134D8E" w14:textId="77777777" w:rsidR="00A4313A" w:rsidRDefault="00A4313A" w:rsidP="00037D51">
      <w:pPr>
        <w:spacing w:line="312" w:lineRule="auto"/>
        <w:ind w:left="567" w:right="567"/>
        <w:jc w:val="both"/>
        <w:rPr>
          <w:rFonts w:ascii="Arial" w:eastAsia="Calibri" w:hAnsi="Arial" w:cs="Arial"/>
          <w:i/>
          <w:iCs/>
          <w:sz w:val="20"/>
          <w:szCs w:val="20"/>
        </w:rPr>
      </w:pPr>
      <w:r w:rsidRPr="00A4313A">
        <w:rPr>
          <w:rFonts w:ascii="Arial" w:eastAsia="Calibri" w:hAnsi="Arial" w:cs="Arial"/>
          <w:i/>
          <w:iCs/>
          <w:sz w:val="20"/>
          <w:szCs w:val="20"/>
        </w:rPr>
        <w:t>En el presente caso las partes fijaron el término de liquidación bilateral o de mutuo acuerdo, por tanto, no resulta aplicable el plazo supletorio de los cuatro (4) meses y en consecuencia los términos para liquidar el contrato de manera unilateral serán el de dos (2) meses que otorga la ley a las entidades estatales y el subsiguiente de dos (2) años que igualmente establece la norma para liquidar el contrato en cualquiera de las dos modalidades</w:t>
      </w:r>
      <w:r>
        <w:rPr>
          <w:rFonts w:ascii="Arial" w:eastAsia="Calibri" w:hAnsi="Arial" w:cs="Arial"/>
          <w:i/>
          <w:iCs/>
          <w:sz w:val="20"/>
          <w:szCs w:val="20"/>
        </w:rPr>
        <w:t>.</w:t>
      </w:r>
    </w:p>
    <w:p w14:paraId="75501173" w14:textId="77777777" w:rsidR="00A4313A" w:rsidRDefault="00A4313A" w:rsidP="00037D51">
      <w:pPr>
        <w:spacing w:line="312" w:lineRule="auto"/>
        <w:ind w:left="567" w:right="567"/>
        <w:jc w:val="both"/>
        <w:rPr>
          <w:rFonts w:ascii="Arial" w:eastAsia="Calibri" w:hAnsi="Arial" w:cs="Arial"/>
          <w:i/>
          <w:iCs/>
          <w:sz w:val="20"/>
          <w:szCs w:val="20"/>
        </w:rPr>
      </w:pPr>
    </w:p>
    <w:p w14:paraId="4BABB09D" w14:textId="53C3604B" w:rsidR="001D441E" w:rsidRPr="00392E46" w:rsidRDefault="00A4313A" w:rsidP="00037D51">
      <w:pPr>
        <w:spacing w:line="312" w:lineRule="auto"/>
        <w:ind w:left="567" w:right="567"/>
        <w:jc w:val="both"/>
        <w:rPr>
          <w:rFonts w:ascii="Arial" w:eastAsia="Calibri" w:hAnsi="Arial" w:cs="Arial"/>
          <w:i/>
          <w:iCs/>
          <w:sz w:val="20"/>
          <w:szCs w:val="20"/>
        </w:rPr>
      </w:pPr>
      <w:r w:rsidRPr="00A4313A">
        <w:rPr>
          <w:rFonts w:ascii="Arial" w:eastAsia="Calibri" w:hAnsi="Arial" w:cs="Arial"/>
          <w:i/>
          <w:iCs/>
          <w:sz w:val="20"/>
          <w:szCs w:val="20"/>
        </w:rPr>
        <w:t>Las partes no suscribieron acta de terminación que dejara constancia de tal evento, razón por la cual, de acuerdo con el artículo 1551 del Código Civil según el cual “El plazo es la época que se fija para el cumplimiento de la obligación”, la fecha de terminación del convenio realmente sería el 10 de junio de 2015 por vencimiento del plazo; por lo tanto, tomando en cuenta los términos establecidos en la cláusula decima primera del convenio el primer término para liquidar de mutuo acuerdo, es decir, los dos (2) meses fijados por las partes venció el 10 de agosto de 2015 y, posteriormente, el 10 de octubre de 2015 expiró el plazo para liquidar unilateralmente el convenio. A partir de esa fecha inicia el conteo de los dos años (2) que vencieron el 10 de octubre de 2017. Así las cosas, la Resolución 465 de 17 de agosto de 2017 que declaró la liquidación unilateral del convenio, resulta expedida dentro del término previsto en el artículo 11 de la Ley 1150 de 2007, por lo tanto, el Municipio conservó la competencia para la expedición del acto administrativo</w:t>
      </w:r>
      <w:r>
        <w:rPr>
          <w:rFonts w:ascii="Arial" w:eastAsia="Calibri" w:hAnsi="Arial" w:cs="Arial"/>
          <w:i/>
          <w:iCs/>
          <w:sz w:val="20"/>
          <w:szCs w:val="20"/>
        </w:rPr>
        <w:t>.</w:t>
      </w:r>
      <w:r w:rsidR="001D441E" w:rsidRPr="00392E46">
        <w:rPr>
          <w:rFonts w:ascii="Arial" w:eastAsia="Calibri" w:hAnsi="Arial" w:cs="Arial"/>
          <w:i/>
          <w:iCs/>
          <w:sz w:val="20"/>
          <w:szCs w:val="20"/>
        </w:rPr>
        <w:t xml:space="preserve"> </w:t>
      </w:r>
    </w:p>
    <w:p w14:paraId="1876BF0E" w14:textId="77777777" w:rsidR="001D441E" w:rsidRPr="00392E46" w:rsidRDefault="001D441E" w:rsidP="00037D51">
      <w:pPr>
        <w:spacing w:line="312" w:lineRule="auto"/>
        <w:ind w:left="567" w:right="567"/>
        <w:jc w:val="both"/>
        <w:rPr>
          <w:rFonts w:ascii="Arial" w:eastAsia="Calibri" w:hAnsi="Arial" w:cs="Arial"/>
          <w:i/>
          <w:iCs/>
          <w:sz w:val="20"/>
          <w:szCs w:val="20"/>
        </w:rPr>
      </w:pPr>
    </w:p>
    <w:p w14:paraId="4C4F4E31" w14:textId="396891BB" w:rsidR="001B5628" w:rsidRPr="00392E46" w:rsidRDefault="001B5628" w:rsidP="00037D51">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p>
    <w:p w14:paraId="7E86A222" w14:textId="77777777" w:rsidR="001B5628" w:rsidRPr="00392E46" w:rsidRDefault="001B5628" w:rsidP="00037D51">
      <w:pPr>
        <w:spacing w:line="312" w:lineRule="auto"/>
        <w:ind w:left="567" w:right="567"/>
        <w:jc w:val="both"/>
        <w:rPr>
          <w:rFonts w:ascii="Arial" w:eastAsia="Calibri" w:hAnsi="Arial" w:cs="Arial"/>
          <w:i/>
          <w:iCs/>
          <w:sz w:val="20"/>
          <w:szCs w:val="20"/>
        </w:rPr>
      </w:pPr>
    </w:p>
    <w:p w14:paraId="1E548638" w14:textId="6FB4577E" w:rsidR="001B5628" w:rsidRPr="00392E46" w:rsidRDefault="004D62FB" w:rsidP="00037D51">
      <w:pPr>
        <w:spacing w:line="312" w:lineRule="auto"/>
        <w:ind w:left="567" w:right="567"/>
        <w:jc w:val="both"/>
        <w:rPr>
          <w:rFonts w:ascii="Arial" w:eastAsia="Calibri" w:hAnsi="Arial" w:cs="Arial"/>
          <w:i/>
          <w:iCs/>
          <w:sz w:val="20"/>
          <w:szCs w:val="20"/>
        </w:rPr>
      </w:pPr>
      <w:r w:rsidRPr="004D62FB">
        <w:rPr>
          <w:rFonts w:ascii="Arial" w:eastAsia="Calibri" w:hAnsi="Arial" w:cs="Arial"/>
          <w:i/>
          <w:iCs/>
          <w:sz w:val="20"/>
          <w:szCs w:val="20"/>
        </w:rPr>
        <w:lastRenderedPageBreak/>
        <w:t xml:space="preserve">En cuanto a la declaratoria del siniestro de incumplimiento y efectividad de la póliza y cláusula penal, como se expuso ampliamente con la jurisprudencia citada en líneas precedentes, </w:t>
      </w:r>
      <w:r w:rsidRPr="004D62FB">
        <w:rPr>
          <w:rFonts w:ascii="Arial" w:eastAsia="Calibri" w:hAnsi="Arial" w:cs="Arial"/>
          <w:b/>
          <w:bCs/>
          <w:i/>
          <w:iCs/>
          <w:sz w:val="20"/>
          <w:szCs w:val="20"/>
        </w:rPr>
        <w:t>no requieren</w:t>
      </w:r>
      <w:r w:rsidRPr="004D62FB">
        <w:rPr>
          <w:rFonts w:ascii="Arial" w:eastAsia="Calibri" w:hAnsi="Arial" w:cs="Arial"/>
          <w:i/>
          <w:iCs/>
          <w:sz w:val="20"/>
          <w:szCs w:val="20"/>
        </w:rPr>
        <w:t xml:space="preserve"> del procedimiento sancionatorio. Por lo tanto, no viene al caso la aplicación del procedimiento establecido en el artículo 86 de la Ley 1474 de 2011, ni la exigencia de la citación a la aseguradora como garante del convenio, pues, se itera, en este caso, no se trata de un procedimiento sancionatorio, sino de la liquidación del convenio, cuya realización no precisa de la presencia del garante, solo concierne a las partes contractuales</w:t>
      </w:r>
      <w:r w:rsidR="001B5628" w:rsidRPr="00392E46">
        <w:rPr>
          <w:rFonts w:ascii="Arial" w:eastAsia="Calibri" w:hAnsi="Arial" w:cs="Arial"/>
          <w:i/>
          <w:iCs/>
          <w:sz w:val="20"/>
          <w:szCs w:val="20"/>
        </w:rPr>
        <w:t xml:space="preserve">” </w:t>
      </w:r>
      <w:r w:rsidR="001B5628" w:rsidRPr="004D62FB">
        <w:rPr>
          <w:rFonts w:ascii="Arial" w:eastAsia="Calibri" w:hAnsi="Arial" w:cs="Arial"/>
          <w:sz w:val="20"/>
          <w:szCs w:val="20"/>
        </w:rPr>
        <w:t>(</w:t>
      </w:r>
      <w:r w:rsidR="00CF51C2">
        <w:rPr>
          <w:rFonts w:ascii="Arial" w:eastAsia="Calibri" w:hAnsi="Arial" w:cs="Arial"/>
          <w:sz w:val="20"/>
          <w:szCs w:val="20"/>
        </w:rPr>
        <w:t>Negrillas</w:t>
      </w:r>
      <w:r w:rsidR="001B5628" w:rsidRPr="004D62FB">
        <w:rPr>
          <w:rFonts w:ascii="Arial" w:eastAsia="Calibri" w:hAnsi="Arial" w:cs="Arial"/>
          <w:sz w:val="20"/>
          <w:szCs w:val="20"/>
        </w:rPr>
        <w:t xml:space="preserve"> del despacho)</w:t>
      </w:r>
    </w:p>
    <w:p w14:paraId="57B24DE4" w14:textId="77777777" w:rsidR="001D441E" w:rsidRDefault="001D441E" w:rsidP="00037D51">
      <w:pPr>
        <w:spacing w:line="312" w:lineRule="auto"/>
        <w:ind w:left="567" w:right="567"/>
        <w:jc w:val="both"/>
        <w:rPr>
          <w:rFonts w:ascii="Arial" w:eastAsia="Calibri" w:hAnsi="Arial" w:cs="Arial"/>
          <w:i/>
          <w:iCs/>
          <w:sz w:val="20"/>
          <w:szCs w:val="20"/>
        </w:rPr>
      </w:pPr>
    </w:p>
    <w:p w14:paraId="10BCA026" w14:textId="39BD3599" w:rsidR="00F11A75" w:rsidRDefault="00F11A75" w:rsidP="00037D51">
      <w:pPr>
        <w:spacing w:line="312" w:lineRule="auto"/>
        <w:ind w:left="567" w:right="567"/>
        <w:jc w:val="both"/>
        <w:rPr>
          <w:rFonts w:ascii="Arial" w:eastAsia="Calibri" w:hAnsi="Arial" w:cs="Arial"/>
          <w:i/>
          <w:iCs/>
          <w:sz w:val="20"/>
          <w:szCs w:val="20"/>
        </w:rPr>
      </w:pPr>
      <w:r w:rsidRPr="00F11A75">
        <w:rPr>
          <w:rFonts w:ascii="Arial" w:eastAsia="Calibri" w:hAnsi="Arial" w:cs="Arial"/>
          <w:i/>
          <w:iCs/>
          <w:sz w:val="20"/>
          <w:szCs w:val="20"/>
        </w:rPr>
        <w:t>Conforme a lo anterior, no están llamados a prosperar los cargos alusivos al incumplimiento del procedimiento establecido en el artículo 86 de la Ley 1474 de 2011, a la falta de competencia de la entidad para efectuar la liquidación unilateral del convenio interadministrativo y a la no citación del garante</w:t>
      </w:r>
      <w:r>
        <w:rPr>
          <w:rFonts w:ascii="Arial" w:eastAsia="Calibri" w:hAnsi="Arial" w:cs="Arial"/>
          <w:i/>
          <w:iCs/>
          <w:sz w:val="20"/>
          <w:szCs w:val="20"/>
        </w:rPr>
        <w:t>.</w:t>
      </w:r>
    </w:p>
    <w:p w14:paraId="5561BF68" w14:textId="77777777" w:rsidR="00F11A75" w:rsidRPr="00392E46" w:rsidRDefault="00F11A75" w:rsidP="00037D51">
      <w:pPr>
        <w:spacing w:line="312" w:lineRule="auto"/>
        <w:ind w:left="567" w:right="567"/>
        <w:jc w:val="both"/>
        <w:rPr>
          <w:rFonts w:ascii="Arial" w:eastAsia="Calibri" w:hAnsi="Arial" w:cs="Arial"/>
          <w:i/>
          <w:iCs/>
          <w:sz w:val="20"/>
          <w:szCs w:val="20"/>
        </w:rPr>
      </w:pPr>
    </w:p>
    <w:p w14:paraId="7ABED4C0" w14:textId="77777777" w:rsidR="004C1BCA" w:rsidRDefault="001B5628" w:rsidP="00037D51">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p>
    <w:p w14:paraId="1AAF6A7E" w14:textId="77777777" w:rsidR="004C1BCA" w:rsidRDefault="004C1BCA" w:rsidP="00037D51">
      <w:pPr>
        <w:spacing w:line="312" w:lineRule="auto"/>
        <w:ind w:left="567" w:right="567"/>
        <w:jc w:val="both"/>
        <w:rPr>
          <w:rFonts w:ascii="Arial" w:eastAsia="Calibri" w:hAnsi="Arial" w:cs="Arial"/>
          <w:i/>
          <w:iCs/>
          <w:sz w:val="20"/>
          <w:szCs w:val="20"/>
        </w:rPr>
      </w:pPr>
    </w:p>
    <w:p w14:paraId="04BFE686" w14:textId="302FB22B" w:rsidR="004C1BCA" w:rsidRPr="004C1BCA" w:rsidRDefault="004C1BCA" w:rsidP="00037D51">
      <w:pPr>
        <w:spacing w:line="312" w:lineRule="auto"/>
        <w:ind w:left="567" w:right="567"/>
        <w:jc w:val="both"/>
        <w:rPr>
          <w:rFonts w:ascii="Arial" w:eastAsia="Calibri" w:hAnsi="Arial" w:cs="Arial"/>
          <w:sz w:val="20"/>
          <w:szCs w:val="20"/>
        </w:rPr>
      </w:pPr>
      <w:r w:rsidRPr="004C1BCA">
        <w:rPr>
          <w:rFonts w:ascii="Arial" w:eastAsia="Calibri" w:hAnsi="Arial" w:cs="Arial"/>
          <w:i/>
          <w:iCs/>
          <w:sz w:val="20"/>
          <w:szCs w:val="20"/>
        </w:rPr>
        <w:t xml:space="preserve">Necesario resulta también pronunciarse frente a la acusación que el demandante hace sobre la indebida notificación del acto administrativo, que si bien es cierto, obran en el expediente citaciones para notificación personal y notificación por aviso, no se logra establecer si en dichas diligencias se hizo la entrega de copia íntegra, auténtica y gratuita de la Resolución 465 de 14 de agosto de 2017, lo que deja ver que la falta de este requisito invalida la notificación en los términos establecidos en el artículo 67 de la ley 1437 de 2011. </w:t>
      </w:r>
      <w:r w:rsidRPr="004C1BCA">
        <w:rPr>
          <w:rFonts w:ascii="Arial" w:eastAsia="Calibri" w:hAnsi="Arial" w:cs="Arial"/>
          <w:b/>
          <w:bCs/>
          <w:i/>
          <w:iCs/>
          <w:sz w:val="20"/>
          <w:szCs w:val="20"/>
          <w:u w:val="single"/>
        </w:rPr>
        <w:t>De la misma manera no se evidencia la publicación del aviso con copia del acto administrativo en la página electrónica del Municipio, tal como lo ordena el artículo 69 ídem</w:t>
      </w:r>
      <w:r>
        <w:rPr>
          <w:rFonts w:ascii="Arial" w:eastAsia="Calibri" w:hAnsi="Arial" w:cs="Arial"/>
          <w:i/>
          <w:iCs/>
          <w:sz w:val="20"/>
          <w:szCs w:val="20"/>
        </w:rPr>
        <w:t xml:space="preserve">. </w:t>
      </w:r>
      <w:r>
        <w:rPr>
          <w:rFonts w:ascii="Arial" w:eastAsia="Calibri" w:hAnsi="Arial" w:cs="Arial"/>
          <w:sz w:val="20"/>
          <w:szCs w:val="20"/>
        </w:rPr>
        <w:t>(Negrillas y resaltado fuera del texto original)</w:t>
      </w:r>
    </w:p>
    <w:p w14:paraId="548F94ED" w14:textId="77777777" w:rsidR="004C1BCA" w:rsidRDefault="004C1BCA" w:rsidP="00037D51">
      <w:pPr>
        <w:spacing w:line="312" w:lineRule="auto"/>
        <w:ind w:left="567" w:right="567"/>
        <w:jc w:val="both"/>
        <w:rPr>
          <w:rFonts w:ascii="Arial" w:eastAsia="Calibri" w:hAnsi="Arial" w:cs="Arial"/>
          <w:i/>
          <w:iCs/>
          <w:sz w:val="20"/>
          <w:szCs w:val="20"/>
        </w:rPr>
      </w:pPr>
    </w:p>
    <w:p w14:paraId="5FDB225F" w14:textId="654C45E7" w:rsidR="001B5628" w:rsidRDefault="00A04A43" w:rsidP="00037D51">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r w:rsidR="00CF51C2">
        <w:rPr>
          <w:rFonts w:ascii="Arial" w:eastAsia="Calibri" w:hAnsi="Arial" w:cs="Arial"/>
          <w:i/>
          <w:iCs/>
          <w:sz w:val="20"/>
          <w:szCs w:val="20"/>
        </w:rPr>
        <w:t xml:space="preserve"> </w:t>
      </w:r>
      <w:r w:rsidR="00CF51C2" w:rsidRPr="00CF51C2">
        <w:rPr>
          <w:rFonts w:ascii="Arial" w:eastAsia="Calibri" w:hAnsi="Arial" w:cs="Arial"/>
          <w:i/>
          <w:iCs/>
          <w:sz w:val="20"/>
          <w:szCs w:val="20"/>
        </w:rPr>
        <w:t>ha dicho la jurisprudencia que el acto administrativo notificado irregularmente o no notificado sigue siendo “existente y valido” pero queda viciada de ilegalidad la operación administrativa contra la cual procede la acción de reparación directa</w:t>
      </w:r>
      <w:r w:rsidR="00CF51C2">
        <w:rPr>
          <w:rFonts w:ascii="Arial" w:eastAsia="Calibri" w:hAnsi="Arial" w:cs="Arial"/>
          <w:i/>
          <w:iCs/>
          <w:sz w:val="20"/>
          <w:szCs w:val="20"/>
        </w:rPr>
        <w:t>.</w:t>
      </w:r>
    </w:p>
    <w:p w14:paraId="5FC1AF50" w14:textId="77777777" w:rsidR="00CF51C2" w:rsidRDefault="00CF51C2" w:rsidP="00037D51">
      <w:pPr>
        <w:spacing w:line="312" w:lineRule="auto"/>
        <w:ind w:left="567" w:right="567"/>
        <w:jc w:val="both"/>
        <w:rPr>
          <w:rFonts w:ascii="Arial" w:eastAsia="Calibri" w:hAnsi="Arial" w:cs="Arial"/>
          <w:i/>
          <w:iCs/>
          <w:sz w:val="20"/>
          <w:szCs w:val="20"/>
        </w:rPr>
      </w:pPr>
    </w:p>
    <w:p w14:paraId="5B18DE4F" w14:textId="2D8C2AB7" w:rsidR="00CF51C2" w:rsidRDefault="00CF51C2" w:rsidP="00037D51">
      <w:pPr>
        <w:spacing w:line="312" w:lineRule="auto"/>
        <w:ind w:left="567" w:right="567"/>
        <w:jc w:val="both"/>
        <w:rPr>
          <w:rFonts w:ascii="Arial" w:eastAsia="Calibri" w:hAnsi="Arial" w:cs="Arial"/>
          <w:i/>
          <w:iCs/>
          <w:sz w:val="20"/>
          <w:szCs w:val="20"/>
        </w:rPr>
      </w:pPr>
      <w:r w:rsidRPr="00CF51C2">
        <w:rPr>
          <w:rFonts w:ascii="Arial" w:eastAsia="Calibri" w:hAnsi="Arial" w:cs="Arial"/>
          <w:i/>
          <w:iCs/>
          <w:sz w:val="20"/>
          <w:szCs w:val="20"/>
        </w:rPr>
        <w:t>Descendiendo al caso concreto, el actor si bien acudió al medio de control de controversias contractuales lo hizo con el fin de declarar la nulidad del acto administrativo Resolución 465 de 14 de agosto de 2017, más no atacó la legalidad de la operación administrativa que finalmente derivó en la conminación a efectivizar la póliza y la cláusula penal</w:t>
      </w:r>
      <w:r>
        <w:rPr>
          <w:rFonts w:ascii="Arial" w:eastAsia="Calibri" w:hAnsi="Arial" w:cs="Arial"/>
          <w:i/>
          <w:iCs/>
          <w:sz w:val="20"/>
          <w:szCs w:val="20"/>
        </w:rPr>
        <w:t>.</w:t>
      </w:r>
    </w:p>
    <w:p w14:paraId="7D27F8D0" w14:textId="77777777" w:rsidR="00CF51C2" w:rsidRDefault="00CF51C2" w:rsidP="00037D51">
      <w:pPr>
        <w:spacing w:line="312" w:lineRule="auto"/>
        <w:ind w:left="567" w:right="567"/>
        <w:jc w:val="both"/>
        <w:rPr>
          <w:rFonts w:ascii="Arial" w:eastAsia="Calibri" w:hAnsi="Arial" w:cs="Arial"/>
          <w:i/>
          <w:iCs/>
          <w:sz w:val="20"/>
          <w:szCs w:val="20"/>
        </w:rPr>
      </w:pPr>
    </w:p>
    <w:p w14:paraId="5836BAC2" w14:textId="1E121824" w:rsidR="00CF51C2" w:rsidRDefault="00CF51C2" w:rsidP="00037D51">
      <w:pPr>
        <w:spacing w:line="312" w:lineRule="auto"/>
        <w:ind w:left="567" w:right="567"/>
        <w:jc w:val="both"/>
        <w:rPr>
          <w:rFonts w:ascii="Arial" w:eastAsia="Calibri" w:hAnsi="Arial" w:cs="Arial"/>
          <w:i/>
          <w:iCs/>
          <w:sz w:val="20"/>
          <w:szCs w:val="20"/>
        </w:rPr>
      </w:pPr>
      <w:r w:rsidRPr="00CF51C2">
        <w:rPr>
          <w:rFonts w:ascii="Arial" w:eastAsia="Calibri" w:hAnsi="Arial" w:cs="Arial"/>
          <w:i/>
          <w:iCs/>
          <w:sz w:val="20"/>
          <w:szCs w:val="20"/>
        </w:rPr>
        <w:t>Esta causa petendi, por sí sola, determina, de conformidad con lo anteriormente expresado, que el cargo de nulidad por indebida notificación esté destinado a fracasar. Esto se debe a que la notificación de un acto administrativo es un presupuesto de eficacia final y, por ende, los vicios en su publicidad no afectan su existencia ni su validez, y, por lo tanto, no conducen a su nulidad. Además, el medio de control para atacar la legalidad de la operación administrativa se establece mediante la reparación directa y no por el medio de control que revisa el Despacho</w:t>
      </w:r>
      <w:r>
        <w:rPr>
          <w:rFonts w:ascii="Arial" w:eastAsia="Calibri" w:hAnsi="Arial" w:cs="Arial"/>
          <w:i/>
          <w:iCs/>
          <w:sz w:val="20"/>
          <w:szCs w:val="20"/>
        </w:rPr>
        <w:t>.</w:t>
      </w:r>
    </w:p>
    <w:p w14:paraId="0672ABDF" w14:textId="77777777" w:rsidR="00CF51C2" w:rsidRDefault="00CF51C2" w:rsidP="00037D51">
      <w:pPr>
        <w:spacing w:line="312" w:lineRule="auto"/>
        <w:ind w:left="567" w:right="567"/>
        <w:jc w:val="both"/>
        <w:rPr>
          <w:rFonts w:ascii="Arial" w:eastAsia="Calibri" w:hAnsi="Arial" w:cs="Arial"/>
          <w:i/>
          <w:iCs/>
          <w:sz w:val="20"/>
          <w:szCs w:val="20"/>
        </w:rPr>
      </w:pPr>
    </w:p>
    <w:p w14:paraId="207377E5" w14:textId="2EF7A726" w:rsidR="00CF51C2" w:rsidRPr="00392E46" w:rsidRDefault="00CF51C2" w:rsidP="00037D51">
      <w:pPr>
        <w:spacing w:line="312" w:lineRule="auto"/>
        <w:ind w:left="567" w:right="567"/>
        <w:jc w:val="both"/>
        <w:rPr>
          <w:rFonts w:ascii="Arial" w:eastAsia="Calibri" w:hAnsi="Arial" w:cs="Arial"/>
          <w:i/>
          <w:iCs/>
          <w:sz w:val="20"/>
          <w:szCs w:val="20"/>
        </w:rPr>
      </w:pPr>
      <w:r>
        <w:rPr>
          <w:rFonts w:ascii="Arial" w:eastAsia="Calibri" w:hAnsi="Arial" w:cs="Arial"/>
          <w:i/>
          <w:iCs/>
          <w:sz w:val="20"/>
          <w:szCs w:val="20"/>
        </w:rPr>
        <w:t>(…)</w:t>
      </w:r>
    </w:p>
    <w:p w14:paraId="4A51997E" w14:textId="77777777" w:rsidR="004364D5" w:rsidRPr="00392E46" w:rsidRDefault="004364D5" w:rsidP="00037D51">
      <w:pPr>
        <w:spacing w:line="312" w:lineRule="auto"/>
        <w:ind w:left="567" w:right="567"/>
        <w:jc w:val="both"/>
        <w:rPr>
          <w:rFonts w:ascii="Arial" w:eastAsia="Calibri" w:hAnsi="Arial" w:cs="Arial"/>
          <w:i/>
          <w:iCs/>
          <w:sz w:val="20"/>
          <w:szCs w:val="20"/>
        </w:rPr>
      </w:pPr>
    </w:p>
    <w:p w14:paraId="4BFD18F5" w14:textId="54BA769A" w:rsidR="00CF51C2" w:rsidRDefault="00CF51C2" w:rsidP="00037D51">
      <w:pPr>
        <w:spacing w:line="312" w:lineRule="auto"/>
        <w:ind w:left="567" w:right="567"/>
        <w:jc w:val="both"/>
        <w:rPr>
          <w:rFonts w:ascii="Arial" w:eastAsia="Calibri" w:hAnsi="Arial" w:cs="Arial"/>
          <w:i/>
          <w:iCs/>
          <w:sz w:val="20"/>
          <w:szCs w:val="20"/>
        </w:rPr>
      </w:pPr>
      <w:r w:rsidRPr="00CF51C2">
        <w:rPr>
          <w:rFonts w:ascii="Arial" w:eastAsia="Calibri" w:hAnsi="Arial" w:cs="Arial"/>
          <w:i/>
          <w:iCs/>
          <w:sz w:val="20"/>
          <w:szCs w:val="20"/>
        </w:rPr>
        <w:t xml:space="preserve">Respecto a la disminución judicial de la cláusula penal pecuniaria, el Consejo de Estado ha establecido que cuando se pretenda la disminución de </w:t>
      </w:r>
      <w:proofErr w:type="gramStart"/>
      <w:r w:rsidRPr="00CF51C2">
        <w:rPr>
          <w:rFonts w:ascii="Arial" w:eastAsia="Calibri" w:hAnsi="Arial" w:cs="Arial"/>
          <w:i/>
          <w:iCs/>
          <w:sz w:val="20"/>
          <w:szCs w:val="20"/>
        </w:rPr>
        <w:t>la misma</w:t>
      </w:r>
      <w:proofErr w:type="gramEnd"/>
      <w:r w:rsidRPr="00CF51C2">
        <w:rPr>
          <w:rFonts w:ascii="Arial" w:eastAsia="Calibri" w:hAnsi="Arial" w:cs="Arial"/>
          <w:i/>
          <w:iCs/>
          <w:sz w:val="20"/>
          <w:szCs w:val="20"/>
        </w:rPr>
        <w:t xml:space="preserve">, las partes deben </w:t>
      </w:r>
      <w:r w:rsidRPr="00CF51C2">
        <w:rPr>
          <w:rFonts w:ascii="Arial" w:eastAsia="Calibri" w:hAnsi="Arial" w:cs="Arial"/>
          <w:b/>
          <w:bCs/>
          <w:i/>
          <w:iCs/>
          <w:sz w:val="20"/>
          <w:szCs w:val="20"/>
        </w:rPr>
        <w:t>solicitar</w:t>
      </w:r>
      <w:r w:rsidRPr="00CF51C2">
        <w:rPr>
          <w:rFonts w:ascii="Arial" w:eastAsia="Calibri" w:hAnsi="Arial" w:cs="Arial"/>
          <w:i/>
          <w:iCs/>
          <w:sz w:val="20"/>
          <w:szCs w:val="20"/>
        </w:rPr>
        <w:t xml:space="preserve"> al juez que determine el valor definitivo que una parte le debe pagar a la otra. </w:t>
      </w:r>
      <w:r w:rsidRPr="004D62FB">
        <w:rPr>
          <w:rFonts w:ascii="Arial" w:eastAsia="Calibri" w:hAnsi="Arial" w:cs="Arial"/>
          <w:sz w:val="20"/>
          <w:szCs w:val="20"/>
        </w:rPr>
        <w:t>(</w:t>
      </w:r>
      <w:r>
        <w:rPr>
          <w:rFonts w:ascii="Arial" w:eastAsia="Calibri" w:hAnsi="Arial" w:cs="Arial"/>
          <w:sz w:val="20"/>
          <w:szCs w:val="20"/>
        </w:rPr>
        <w:t>Negrillas</w:t>
      </w:r>
      <w:r w:rsidRPr="004D62FB">
        <w:rPr>
          <w:rFonts w:ascii="Arial" w:eastAsia="Calibri" w:hAnsi="Arial" w:cs="Arial"/>
          <w:sz w:val="20"/>
          <w:szCs w:val="20"/>
        </w:rPr>
        <w:t xml:space="preserve"> del despacho)</w:t>
      </w:r>
    </w:p>
    <w:p w14:paraId="459C4585" w14:textId="77777777" w:rsidR="00CF51C2" w:rsidRDefault="00CF51C2" w:rsidP="00037D51">
      <w:pPr>
        <w:spacing w:line="312" w:lineRule="auto"/>
        <w:ind w:left="567" w:right="567"/>
        <w:jc w:val="both"/>
        <w:rPr>
          <w:rFonts w:ascii="Arial" w:eastAsia="Calibri" w:hAnsi="Arial" w:cs="Arial"/>
          <w:i/>
          <w:iCs/>
          <w:sz w:val="20"/>
          <w:szCs w:val="20"/>
        </w:rPr>
      </w:pPr>
    </w:p>
    <w:p w14:paraId="66085EEC" w14:textId="47B353A2" w:rsidR="004364D5" w:rsidRPr="00392E46" w:rsidRDefault="00CF51C2" w:rsidP="00037D51">
      <w:pPr>
        <w:spacing w:line="312" w:lineRule="auto"/>
        <w:ind w:left="567" w:right="567"/>
        <w:jc w:val="both"/>
        <w:rPr>
          <w:rFonts w:ascii="Arial" w:eastAsia="Calibri" w:hAnsi="Arial" w:cs="Arial"/>
          <w:i/>
          <w:iCs/>
          <w:sz w:val="20"/>
          <w:szCs w:val="20"/>
        </w:rPr>
      </w:pPr>
      <w:r w:rsidRPr="00CF51C2">
        <w:rPr>
          <w:rFonts w:ascii="Arial" w:eastAsia="Calibri" w:hAnsi="Arial" w:cs="Arial"/>
          <w:i/>
          <w:iCs/>
          <w:sz w:val="20"/>
          <w:szCs w:val="20"/>
        </w:rPr>
        <w:t xml:space="preserve">En este caso, la parte actora no solicitó la disminución del monto de la cláusula penal pecuniaria. Por consiguiente, en lo que concierne a la configuración de falsa motivación, en este caso está demostrado en el plenario que la decisión se fundamenta en el incumplimiento del contratista, el </w:t>
      </w:r>
      <w:r w:rsidRPr="00CF51C2">
        <w:rPr>
          <w:rFonts w:ascii="Arial" w:eastAsia="Calibri" w:hAnsi="Arial" w:cs="Arial"/>
          <w:i/>
          <w:iCs/>
          <w:sz w:val="20"/>
          <w:szCs w:val="20"/>
        </w:rPr>
        <w:lastRenderedPageBreak/>
        <w:t>cual está demostrado en los informes de interventoría que relaciona el acto acusado y en la aceptación que de ello hizo el contratista en las diferentes diligencias previas a la liquidación unilateral del convenio, por lo cual el cargo no está llamado a prosperar.</w:t>
      </w:r>
      <w:r w:rsidR="004364D5" w:rsidRPr="00392E46">
        <w:rPr>
          <w:rFonts w:ascii="Arial" w:eastAsia="Calibri" w:hAnsi="Arial" w:cs="Arial"/>
          <w:i/>
          <w:iCs/>
          <w:sz w:val="20"/>
          <w:szCs w:val="20"/>
        </w:rPr>
        <w:t xml:space="preserve"> </w:t>
      </w:r>
    </w:p>
    <w:p w14:paraId="0FF0E044" w14:textId="77777777" w:rsidR="004364D5" w:rsidRPr="00392E46" w:rsidRDefault="004364D5" w:rsidP="00037D51">
      <w:pPr>
        <w:spacing w:line="312" w:lineRule="auto"/>
        <w:ind w:left="567" w:right="567"/>
        <w:jc w:val="both"/>
        <w:rPr>
          <w:rFonts w:ascii="Arial" w:eastAsia="Calibri" w:hAnsi="Arial" w:cs="Arial"/>
          <w:i/>
          <w:iCs/>
          <w:sz w:val="20"/>
          <w:szCs w:val="20"/>
        </w:rPr>
      </w:pPr>
    </w:p>
    <w:p w14:paraId="5E2FEC6F" w14:textId="622596AF" w:rsidR="001B5628" w:rsidRPr="00392E46" w:rsidRDefault="00950F24" w:rsidP="00037D51">
      <w:pPr>
        <w:spacing w:line="312" w:lineRule="auto"/>
        <w:ind w:left="567" w:right="567"/>
        <w:jc w:val="both"/>
        <w:rPr>
          <w:rFonts w:ascii="Arial" w:eastAsia="Calibri" w:hAnsi="Arial" w:cs="Arial"/>
          <w:i/>
          <w:iCs/>
          <w:sz w:val="20"/>
          <w:szCs w:val="20"/>
        </w:rPr>
      </w:pPr>
      <w:r w:rsidRPr="00950F24">
        <w:rPr>
          <w:rFonts w:ascii="Arial" w:eastAsia="Calibri" w:hAnsi="Arial" w:cs="Arial"/>
          <w:i/>
          <w:iCs/>
          <w:sz w:val="20"/>
          <w:szCs w:val="20"/>
        </w:rPr>
        <w:t xml:space="preserve">Según lo manifiesta la parte demandante, es en la fecha de vencimiento del plazo del contrato, el 10 de junio de 2015, cuando el demandado “tuvo o debió tener conocimiento del incumplimiento”. Sin embargo, teniendo en cuenta </w:t>
      </w:r>
      <w:r w:rsidRPr="00950F24">
        <w:rPr>
          <w:rFonts w:ascii="Arial" w:eastAsia="Calibri" w:hAnsi="Arial" w:cs="Arial"/>
          <w:b/>
          <w:bCs/>
          <w:i/>
          <w:iCs/>
          <w:sz w:val="20"/>
          <w:szCs w:val="20"/>
          <w:u w:val="single"/>
        </w:rPr>
        <w:t>los informes de visita técnica a la obra realizados por la interventoría, se tiene que formalmente el Municipio conoció del estado de ejecución del proyecto el 2 y 17 de diciembre de 2015</w:t>
      </w:r>
      <w:r w:rsidRPr="00950F24">
        <w:rPr>
          <w:rFonts w:ascii="Arial" w:eastAsia="Calibri" w:hAnsi="Arial" w:cs="Arial"/>
          <w:i/>
          <w:iCs/>
          <w:sz w:val="20"/>
          <w:szCs w:val="20"/>
        </w:rPr>
        <w:t>. Esto significa, en primer lugar, que el siniestro debió ocurrir dentro de la vigencia de la póliza, es decir, hasta el 4 de junio de 2016, y que la declaración del siniestro, aunque posterior a la vigencia de la garantía, se produzca dentro de los dos (2) años siguientes, como lo establece la ley comercial</w:t>
      </w:r>
      <w:r w:rsidR="0062246F" w:rsidRPr="00392E46">
        <w:rPr>
          <w:rFonts w:ascii="Arial" w:eastAsia="Calibri" w:hAnsi="Arial" w:cs="Arial"/>
          <w:i/>
          <w:iCs/>
          <w:sz w:val="20"/>
          <w:szCs w:val="20"/>
        </w:rPr>
        <w:t xml:space="preserve">. </w:t>
      </w:r>
      <w:r w:rsidR="0062246F" w:rsidRPr="00664E8B">
        <w:rPr>
          <w:rFonts w:ascii="Arial" w:eastAsia="Calibri" w:hAnsi="Arial" w:cs="Arial"/>
          <w:sz w:val="20"/>
          <w:szCs w:val="20"/>
        </w:rPr>
        <w:t>(</w:t>
      </w:r>
      <w:r>
        <w:rPr>
          <w:rFonts w:ascii="Arial" w:eastAsia="Calibri" w:hAnsi="Arial" w:cs="Arial"/>
          <w:sz w:val="20"/>
          <w:szCs w:val="20"/>
        </w:rPr>
        <w:t>Negrillas</w:t>
      </w:r>
      <w:r w:rsidR="0062246F" w:rsidRPr="00664E8B">
        <w:rPr>
          <w:rFonts w:ascii="Arial" w:eastAsia="Calibri" w:hAnsi="Arial" w:cs="Arial"/>
          <w:sz w:val="20"/>
          <w:szCs w:val="20"/>
        </w:rPr>
        <w:t xml:space="preserve"> y </w:t>
      </w:r>
      <w:r>
        <w:rPr>
          <w:rFonts w:ascii="Arial" w:eastAsia="Calibri" w:hAnsi="Arial" w:cs="Arial"/>
          <w:sz w:val="20"/>
          <w:szCs w:val="20"/>
        </w:rPr>
        <w:t>resaltado</w:t>
      </w:r>
      <w:r w:rsidR="0062246F" w:rsidRPr="00664E8B">
        <w:rPr>
          <w:rFonts w:ascii="Arial" w:eastAsia="Calibri" w:hAnsi="Arial" w:cs="Arial"/>
          <w:sz w:val="20"/>
          <w:szCs w:val="20"/>
        </w:rPr>
        <w:t xml:space="preserve"> fuera del texto original)</w:t>
      </w:r>
    </w:p>
    <w:p w14:paraId="6AD52238" w14:textId="77777777" w:rsidR="0062246F" w:rsidRPr="00392E46" w:rsidRDefault="0062246F" w:rsidP="00037D51">
      <w:pPr>
        <w:spacing w:line="312" w:lineRule="auto"/>
        <w:ind w:left="567" w:right="567"/>
        <w:jc w:val="both"/>
        <w:rPr>
          <w:rFonts w:ascii="Arial" w:eastAsia="Calibri" w:hAnsi="Arial" w:cs="Arial"/>
          <w:i/>
          <w:iCs/>
          <w:sz w:val="20"/>
          <w:szCs w:val="20"/>
        </w:rPr>
      </w:pPr>
    </w:p>
    <w:p w14:paraId="340D7BDA" w14:textId="77777777" w:rsidR="003A0054" w:rsidRDefault="0024599F" w:rsidP="00037D51">
      <w:pPr>
        <w:spacing w:line="312" w:lineRule="auto"/>
        <w:ind w:left="567" w:right="567"/>
        <w:jc w:val="both"/>
        <w:rPr>
          <w:rFonts w:ascii="Arial" w:eastAsia="Calibri" w:hAnsi="Arial" w:cs="Arial"/>
          <w:i/>
          <w:iCs/>
          <w:sz w:val="20"/>
          <w:szCs w:val="20"/>
        </w:rPr>
      </w:pPr>
      <w:r w:rsidRPr="00392E46">
        <w:rPr>
          <w:rFonts w:ascii="Arial" w:eastAsia="Calibri" w:hAnsi="Arial" w:cs="Arial"/>
          <w:i/>
          <w:iCs/>
          <w:sz w:val="20"/>
          <w:szCs w:val="20"/>
        </w:rPr>
        <w:t xml:space="preserve">(…) </w:t>
      </w:r>
    </w:p>
    <w:p w14:paraId="5197E783" w14:textId="77777777" w:rsidR="003A0054" w:rsidRDefault="003A0054" w:rsidP="00037D51">
      <w:pPr>
        <w:spacing w:line="312" w:lineRule="auto"/>
        <w:ind w:left="567" w:right="567"/>
        <w:jc w:val="both"/>
        <w:rPr>
          <w:rFonts w:ascii="Arial" w:eastAsia="Calibri" w:hAnsi="Arial" w:cs="Arial"/>
          <w:i/>
          <w:iCs/>
          <w:sz w:val="20"/>
          <w:szCs w:val="20"/>
        </w:rPr>
      </w:pPr>
    </w:p>
    <w:p w14:paraId="602C5A48" w14:textId="4B0D7489" w:rsidR="0024599F" w:rsidRPr="00392E46" w:rsidRDefault="003A0054" w:rsidP="00037D51">
      <w:pPr>
        <w:spacing w:line="312" w:lineRule="auto"/>
        <w:ind w:left="567" w:right="567"/>
        <w:jc w:val="both"/>
        <w:rPr>
          <w:rFonts w:ascii="Arial" w:eastAsia="Calibri" w:hAnsi="Arial" w:cs="Arial"/>
          <w:i/>
          <w:iCs/>
          <w:sz w:val="20"/>
          <w:szCs w:val="20"/>
        </w:rPr>
      </w:pPr>
      <w:r w:rsidRPr="003A0054">
        <w:rPr>
          <w:rFonts w:ascii="Arial" w:eastAsia="Calibri" w:hAnsi="Arial" w:cs="Arial"/>
          <w:i/>
          <w:iCs/>
          <w:sz w:val="20"/>
          <w:szCs w:val="20"/>
        </w:rPr>
        <w:t xml:space="preserve">En este caso concreto, </w:t>
      </w:r>
      <w:r w:rsidRPr="00B82796">
        <w:rPr>
          <w:rFonts w:ascii="Arial" w:eastAsia="Calibri" w:hAnsi="Arial" w:cs="Arial"/>
          <w:b/>
          <w:bCs/>
          <w:i/>
          <w:iCs/>
          <w:sz w:val="20"/>
          <w:szCs w:val="20"/>
          <w:u w:val="single"/>
        </w:rPr>
        <w:t>la vigencia de la póliza iba hasta el 4 de junio de 2016, el siniestro –incumplimiento</w:t>
      </w:r>
      <w:r w:rsidR="00B82796" w:rsidRPr="00B82796">
        <w:rPr>
          <w:rFonts w:ascii="Arial" w:eastAsia="Calibri" w:hAnsi="Arial" w:cs="Arial"/>
          <w:b/>
          <w:bCs/>
          <w:i/>
          <w:iCs/>
          <w:sz w:val="20"/>
          <w:szCs w:val="20"/>
          <w:u w:val="single"/>
        </w:rPr>
        <w:t xml:space="preserve"> </w:t>
      </w:r>
      <w:r w:rsidRPr="00B82796">
        <w:rPr>
          <w:rFonts w:ascii="Arial" w:eastAsia="Calibri" w:hAnsi="Arial" w:cs="Arial"/>
          <w:b/>
          <w:bCs/>
          <w:i/>
          <w:iCs/>
          <w:sz w:val="20"/>
          <w:szCs w:val="20"/>
          <w:u w:val="single"/>
        </w:rPr>
        <w:t>ocurrió bajo su vigencia, cuando venció el plazo del convenio -10 de junio de 2015- , el Municipio conoció del estado de ejecución del proyecto el 2 y 17 de diciembre de 2015 y la Resolución 465 es del 17 de agosto de 2017, lo que permite inferir con claridad que no se encuentra prescrita la garantía</w:t>
      </w:r>
      <w:r w:rsidR="00B82796">
        <w:rPr>
          <w:rFonts w:ascii="Arial" w:eastAsia="Calibri" w:hAnsi="Arial" w:cs="Arial"/>
          <w:i/>
          <w:iCs/>
          <w:sz w:val="20"/>
          <w:szCs w:val="20"/>
        </w:rPr>
        <w:t xml:space="preserve">. </w:t>
      </w:r>
      <w:r w:rsidR="00B82796">
        <w:rPr>
          <w:rFonts w:ascii="Arial" w:eastAsia="Calibri" w:hAnsi="Arial" w:cs="Arial"/>
          <w:sz w:val="20"/>
          <w:szCs w:val="20"/>
        </w:rPr>
        <w:t>(Negrillas</w:t>
      </w:r>
      <w:r w:rsidR="00B82796" w:rsidRPr="00664E8B">
        <w:rPr>
          <w:rFonts w:ascii="Arial" w:eastAsia="Calibri" w:hAnsi="Arial" w:cs="Arial"/>
          <w:sz w:val="20"/>
          <w:szCs w:val="20"/>
        </w:rPr>
        <w:t xml:space="preserve"> y </w:t>
      </w:r>
      <w:r w:rsidR="00B82796">
        <w:rPr>
          <w:rFonts w:ascii="Arial" w:eastAsia="Calibri" w:hAnsi="Arial" w:cs="Arial"/>
          <w:sz w:val="20"/>
          <w:szCs w:val="20"/>
        </w:rPr>
        <w:t>resaltado</w:t>
      </w:r>
      <w:r w:rsidR="00B82796" w:rsidRPr="00664E8B">
        <w:rPr>
          <w:rFonts w:ascii="Arial" w:eastAsia="Calibri" w:hAnsi="Arial" w:cs="Arial"/>
          <w:sz w:val="20"/>
          <w:szCs w:val="20"/>
        </w:rPr>
        <w:t xml:space="preserve"> fuera del texto original)</w:t>
      </w:r>
    </w:p>
    <w:p w14:paraId="5C540867" w14:textId="77777777" w:rsidR="0024599F" w:rsidRPr="00392E46" w:rsidRDefault="0024599F" w:rsidP="00037D51">
      <w:pPr>
        <w:spacing w:line="312" w:lineRule="auto"/>
        <w:ind w:left="567" w:right="567"/>
        <w:jc w:val="both"/>
        <w:rPr>
          <w:rFonts w:ascii="Arial" w:eastAsia="Calibri" w:hAnsi="Arial" w:cs="Arial"/>
          <w:i/>
          <w:iCs/>
          <w:sz w:val="20"/>
          <w:szCs w:val="20"/>
        </w:rPr>
      </w:pPr>
    </w:p>
    <w:p w14:paraId="79748853" w14:textId="631FDECE" w:rsidR="001D441E" w:rsidRDefault="00826287" w:rsidP="00037D51">
      <w:pPr>
        <w:spacing w:line="312" w:lineRule="auto"/>
        <w:ind w:left="567" w:right="567"/>
        <w:jc w:val="both"/>
        <w:rPr>
          <w:rFonts w:ascii="Arial" w:eastAsia="Calibri" w:hAnsi="Arial" w:cs="Arial"/>
          <w:i/>
          <w:iCs/>
          <w:sz w:val="20"/>
          <w:szCs w:val="20"/>
        </w:rPr>
      </w:pPr>
      <w:r w:rsidRPr="00826287">
        <w:rPr>
          <w:rFonts w:ascii="Arial" w:eastAsia="Calibri" w:hAnsi="Arial" w:cs="Arial"/>
          <w:i/>
          <w:iCs/>
          <w:sz w:val="20"/>
          <w:szCs w:val="20"/>
        </w:rPr>
        <w:t>Conforme a lo anterior, no está llamado a prosperar el cargo alusivo a la prescripción de las acciones derivadas del contrato de seguro.</w:t>
      </w:r>
    </w:p>
    <w:p w14:paraId="0173206C" w14:textId="77777777" w:rsidR="00826287" w:rsidRDefault="00826287" w:rsidP="00037D51">
      <w:pPr>
        <w:spacing w:line="312" w:lineRule="auto"/>
        <w:ind w:left="567" w:right="567"/>
        <w:jc w:val="both"/>
        <w:rPr>
          <w:rFonts w:ascii="Arial" w:eastAsia="Calibri" w:hAnsi="Arial" w:cs="Arial"/>
          <w:i/>
          <w:iCs/>
          <w:sz w:val="20"/>
          <w:szCs w:val="20"/>
        </w:rPr>
      </w:pPr>
    </w:p>
    <w:p w14:paraId="42445A20" w14:textId="7C57904D" w:rsidR="00826287" w:rsidRPr="00392E46" w:rsidRDefault="00826287" w:rsidP="00037D51">
      <w:pPr>
        <w:spacing w:line="312" w:lineRule="auto"/>
        <w:ind w:left="567" w:right="567"/>
        <w:jc w:val="both"/>
        <w:rPr>
          <w:rFonts w:ascii="Arial" w:eastAsia="Calibri" w:hAnsi="Arial" w:cs="Arial"/>
          <w:i/>
          <w:iCs/>
          <w:sz w:val="20"/>
          <w:szCs w:val="20"/>
        </w:rPr>
      </w:pPr>
      <w:r>
        <w:rPr>
          <w:rFonts w:ascii="Arial" w:eastAsia="Calibri" w:hAnsi="Arial" w:cs="Arial"/>
          <w:i/>
          <w:iCs/>
          <w:sz w:val="20"/>
          <w:szCs w:val="20"/>
        </w:rPr>
        <w:t>(…)</w:t>
      </w:r>
    </w:p>
    <w:p w14:paraId="62415B7E" w14:textId="77777777" w:rsidR="00687A94" w:rsidRDefault="00687A94" w:rsidP="00037D51">
      <w:pPr>
        <w:spacing w:line="312" w:lineRule="auto"/>
        <w:rPr>
          <w:rFonts w:ascii="Arial" w:eastAsia="Calibri" w:hAnsi="Arial" w:cs="Arial"/>
        </w:rPr>
      </w:pPr>
    </w:p>
    <w:p w14:paraId="52CADC70" w14:textId="77777777" w:rsidR="00C62676" w:rsidRDefault="00B0461E" w:rsidP="00037D51">
      <w:pPr>
        <w:spacing w:line="312" w:lineRule="auto"/>
        <w:jc w:val="both"/>
        <w:rPr>
          <w:rFonts w:ascii="Arial" w:eastAsia="Calibri" w:hAnsi="Arial" w:cs="Arial"/>
        </w:rPr>
      </w:pPr>
      <w:r>
        <w:rPr>
          <w:rFonts w:ascii="Arial" w:eastAsia="Calibri" w:hAnsi="Arial" w:cs="Arial"/>
        </w:rPr>
        <w:t xml:space="preserve">Frente al planteamiento del </w:t>
      </w:r>
      <w:r w:rsidRPr="00CF5D9D">
        <w:rPr>
          <w:rFonts w:ascii="Arial" w:eastAsia="Calibri" w:hAnsi="Arial" w:cs="Arial"/>
          <w:i/>
          <w:iCs/>
        </w:rPr>
        <w:t>a quo</w:t>
      </w:r>
      <w:r>
        <w:rPr>
          <w:rFonts w:ascii="Arial" w:eastAsia="Calibri" w:hAnsi="Arial" w:cs="Arial"/>
        </w:rPr>
        <w:t>, es necesario manifestar que el despacho incur</w:t>
      </w:r>
      <w:r w:rsidR="00A72C7A">
        <w:rPr>
          <w:rFonts w:ascii="Arial" w:eastAsia="Calibri" w:hAnsi="Arial" w:cs="Arial"/>
        </w:rPr>
        <w:t>rió</w:t>
      </w:r>
      <w:r>
        <w:rPr>
          <w:rFonts w:ascii="Arial" w:eastAsia="Calibri" w:hAnsi="Arial" w:cs="Arial"/>
        </w:rPr>
        <w:t xml:space="preserve"> en </w:t>
      </w:r>
      <w:r w:rsidR="008C1C98">
        <w:rPr>
          <w:rFonts w:ascii="Arial" w:eastAsia="Calibri" w:hAnsi="Arial" w:cs="Arial"/>
        </w:rPr>
        <w:t>diferentes</w:t>
      </w:r>
      <w:r>
        <w:rPr>
          <w:rFonts w:ascii="Arial" w:eastAsia="Calibri" w:hAnsi="Arial" w:cs="Arial"/>
        </w:rPr>
        <w:t xml:space="preserve"> yerro</w:t>
      </w:r>
      <w:r w:rsidR="008C1C98">
        <w:rPr>
          <w:rFonts w:ascii="Arial" w:eastAsia="Calibri" w:hAnsi="Arial" w:cs="Arial"/>
        </w:rPr>
        <w:t>s</w:t>
      </w:r>
      <w:r>
        <w:rPr>
          <w:rFonts w:ascii="Arial" w:eastAsia="Calibri" w:hAnsi="Arial" w:cs="Arial"/>
        </w:rPr>
        <w:t xml:space="preserve"> al </w:t>
      </w:r>
      <w:r w:rsidR="008C1C98">
        <w:rPr>
          <w:rFonts w:ascii="Arial" w:eastAsia="Calibri" w:hAnsi="Arial" w:cs="Arial"/>
        </w:rPr>
        <w:t>desatender los planteamientos hechos por la parte demandante</w:t>
      </w:r>
      <w:r w:rsidR="0024599F">
        <w:rPr>
          <w:rFonts w:ascii="Arial" w:eastAsia="Calibri" w:hAnsi="Arial" w:cs="Arial"/>
        </w:rPr>
        <w:t>, por cuanto</w:t>
      </w:r>
      <w:r w:rsidR="00F04D19">
        <w:rPr>
          <w:rFonts w:ascii="Arial" w:eastAsia="Calibri" w:hAnsi="Arial" w:cs="Arial"/>
        </w:rPr>
        <w:t>,</w:t>
      </w:r>
      <w:r w:rsidR="00A72C7A">
        <w:rPr>
          <w:rFonts w:ascii="Arial" w:eastAsia="Calibri" w:hAnsi="Arial" w:cs="Arial"/>
        </w:rPr>
        <w:t xml:space="preserve"> </w:t>
      </w:r>
      <w:r w:rsidR="008C1C98">
        <w:rPr>
          <w:rFonts w:ascii="Arial" w:eastAsia="Calibri" w:hAnsi="Arial" w:cs="Arial"/>
        </w:rPr>
        <w:t xml:space="preserve">incluso en sus propios argumentos deja en evidencia que </w:t>
      </w:r>
      <w:r w:rsidR="00A72C7A">
        <w:rPr>
          <w:rFonts w:ascii="Arial" w:eastAsia="Calibri" w:hAnsi="Arial" w:cs="Arial"/>
        </w:rPr>
        <w:t>en el proceso quedó acreditad</w:t>
      </w:r>
      <w:r w:rsidR="008C1C98">
        <w:rPr>
          <w:rFonts w:ascii="Arial" w:eastAsia="Calibri" w:hAnsi="Arial" w:cs="Arial"/>
        </w:rPr>
        <w:t xml:space="preserve">o que la entidad demandada no contaba con la facultad </w:t>
      </w:r>
      <w:r w:rsidR="00F04D19">
        <w:rPr>
          <w:rFonts w:ascii="Arial" w:eastAsia="Calibri" w:hAnsi="Arial" w:cs="Arial"/>
        </w:rPr>
        <w:t xml:space="preserve">de declarar el incumplimiento y de exigir la garantía de manera unilateral porque el asunto de marras gira en torno a la figura del convenio interadministrativo, el cual difiere tanto en su esencia como en sus finalidades del contrato interadministrativo, de igual manera yerra al desatender los planteamientos </w:t>
      </w:r>
      <w:r w:rsidR="0042528E">
        <w:rPr>
          <w:rFonts w:ascii="Arial" w:eastAsia="Calibri" w:hAnsi="Arial" w:cs="Arial"/>
        </w:rPr>
        <w:t xml:space="preserve">expuestos sobre </w:t>
      </w:r>
      <w:r w:rsidR="00A60EFC">
        <w:rPr>
          <w:rFonts w:ascii="Arial" w:eastAsia="Calibri" w:hAnsi="Arial" w:cs="Arial"/>
        </w:rPr>
        <w:t xml:space="preserve">la indebida notificación del </w:t>
      </w:r>
      <w:r w:rsidR="004153F9">
        <w:rPr>
          <w:rFonts w:ascii="Arial" w:eastAsia="Calibri" w:hAnsi="Arial" w:cs="Arial"/>
        </w:rPr>
        <w:t xml:space="preserve">acto administrativo, pues desconoce que la misma está ligada a uno de los principios que rige la </w:t>
      </w:r>
      <w:r w:rsidR="00A051D4">
        <w:rPr>
          <w:rFonts w:ascii="Arial" w:eastAsia="Calibri" w:hAnsi="Arial" w:cs="Arial"/>
        </w:rPr>
        <w:t xml:space="preserve">contratación estatal en particular y el derecho colombiano en general, como es el del debido proceso, y finalmente yerra de igual manera al desatender los argumentos frente a la prescripción del contrato de seguro, pues </w:t>
      </w:r>
      <w:r w:rsidR="00D22E77">
        <w:rPr>
          <w:rFonts w:ascii="Arial" w:eastAsia="Calibri" w:hAnsi="Arial" w:cs="Arial"/>
        </w:rPr>
        <w:t xml:space="preserve">amplía el término de contabilizar la figura </w:t>
      </w:r>
      <w:r w:rsidR="007573A0">
        <w:rPr>
          <w:rFonts w:ascii="Arial" w:eastAsia="Calibri" w:hAnsi="Arial" w:cs="Arial"/>
        </w:rPr>
        <w:t>prescriptiva basándose en que la entidad conoció del siniestro mucho después de la finalización del plazo debido a los informes de interventoría, cuando los mismos estaban a cargo del en territorial y eran su obligación</w:t>
      </w:r>
      <w:r w:rsidR="00C62676">
        <w:rPr>
          <w:rFonts w:ascii="Arial" w:eastAsia="Calibri" w:hAnsi="Arial" w:cs="Arial"/>
        </w:rPr>
        <w:t>.</w:t>
      </w:r>
    </w:p>
    <w:p w14:paraId="469AAC15" w14:textId="77777777" w:rsidR="00C62676" w:rsidRDefault="00C62676" w:rsidP="00037D51">
      <w:pPr>
        <w:spacing w:line="312" w:lineRule="auto"/>
        <w:jc w:val="both"/>
        <w:rPr>
          <w:rFonts w:ascii="Arial" w:eastAsia="Calibri" w:hAnsi="Arial" w:cs="Arial"/>
        </w:rPr>
      </w:pPr>
    </w:p>
    <w:p w14:paraId="4A3D83C1" w14:textId="1E84908A" w:rsidR="00A72C7A" w:rsidRDefault="00C62676" w:rsidP="00C62676">
      <w:pPr>
        <w:spacing w:line="312" w:lineRule="auto"/>
        <w:jc w:val="both"/>
        <w:rPr>
          <w:rFonts w:ascii="Arial" w:eastAsia="Calibri" w:hAnsi="Arial" w:cs="Arial"/>
        </w:rPr>
      </w:pPr>
      <w:r>
        <w:rPr>
          <w:rFonts w:ascii="Arial" w:eastAsia="Calibri" w:hAnsi="Arial" w:cs="Arial"/>
        </w:rPr>
        <w:t>Las</w:t>
      </w:r>
      <w:r w:rsidR="007573A0">
        <w:rPr>
          <w:rFonts w:ascii="Arial" w:eastAsia="Calibri" w:hAnsi="Arial" w:cs="Arial"/>
        </w:rPr>
        <w:t xml:space="preserve"> situaciones </w:t>
      </w:r>
      <w:r>
        <w:rPr>
          <w:rFonts w:ascii="Arial" w:eastAsia="Calibri" w:hAnsi="Arial" w:cs="Arial"/>
        </w:rPr>
        <w:t>anteriormente referenciadas</w:t>
      </w:r>
      <w:r w:rsidR="007573A0">
        <w:rPr>
          <w:rFonts w:ascii="Arial" w:eastAsia="Calibri" w:hAnsi="Arial" w:cs="Arial"/>
        </w:rPr>
        <w:t xml:space="preserve"> </w:t>
      </w:r>
      <w:r>
        <w:rPr>
          <w:rFonts w:ascii="Arial" w:eastAsia="Calibri" w:hAnsi="Arial" w:cs="Arial"/>
        </w:rPr>
        <w:t>permiten determinar sin lugar a miramientos</w:t>
      </w:r>
      <w:r w:rsidR="007573A0">
        <w:rPr>
          <w:rFonts w:ascii="Arial" w:eastAsia="Calibri" w:hAnsi="Arial" w:cs="Arial"/>
        </w:rPr>
        <w:t xml:space="preserve"> que la decisión del </w:t>
      </w:r>
      <w:r w:rsidR="007573A0">
        <w:rPr>
          <w:rFonts w:ascii="Arial" w:eastAsia="Calibri" w:hAnsi="Arial" w:cs="Arial"/>
          <w:i/>
          <w:iCs/>
        </w:rPr>
        <w:t xml:space="preserve">a quo </w:t>
      </w:r>
      <w:r w:rsidR="007573A0">
        <w:rPr>
          <w:rFonts w:ascii="Arial" w:eastAsia="Calibri" w:hAnsi="Arial" w:cs="Arial"/>
        </w:rPr>
        <w:t>adole</w:t>
      </w:r>
      <w:r>
        <w:rPr>
          <w:rFonts w:ascii="Arial" w:eastAsia="Calibri" w:hAnsi="Arial" w:cs="Arial"/>
        </w:rPr>
        <w:t>ce</w:t>
      </w:r>
      <w:r w:rsidR="007573A0">
        <w:rPr>
          <w:rFonts w:ascii="Arial" w:eastAsia="Calibri" w:hAnsi="Arial" w:cs="Arial"/>
        </w:rPr>
        <w:t xml:space="preserve"> de defectos que afectan </w:t>
      </w:r>
      <w:r>
        <w:rPr>
          <w:rFonts w:ascii="Arial" w:eastAsia="Calibri" w:hAnsi="Arial" w:cs="Arial"/>
        </w:rPr>
        <w:t xml:space="preserve">directamente </w:t>
      </w:r>
      <w:r w:rsidR="007573A0">
        <w:rPr>
          <w:rFonts w:ascii="Arial" w:eastAsia="Calibri" w:hAnsi="Arial" w:cs="Arial"/>
        </w:rPr>
        <w:t xml:space="preserve">tanto su forma como su fondo, y es por ello que </w:t>
      </w:r>
      <w:r>
        <w:rPr>
          <w:rFonts w:ascii="Arial" w:eastAsia="Calibri" w:hAnsi="Arial" w:cs="Arial"/>
        </w:rPr>
        <w:t>resulta</w:t>
      </w:r>
      <w:r w:rsidR="00A72C7A">
        <w:rPr>
          <w:rFonts w:ascii="Arial" w:eastAsia="Calibri" w:hAnsi="Arial" w:cs="Arial"/>
        </w:rPr>
        <w:t xml:space="preserve"> imperativo alejarse de los planteamientos expuestos </w:t>
      </w:r>
      <w:r>
        <w:rPr>
          <w:rFonts w:ascii="Arial" w:eastAsia="Calibri" w:hAnsi="Arial" w:cs="Arial"/>
        </w:rPr>
        <w:t xml:space="preserve">en la determinación tomada por el despacho en el asunto que nos ocupa, y en su lugar </w:t>
      </w:r>
      <w:r w:rsidR="00A72C7A">
        <w:rPr>
          <w:rFonts w:ascii="Arial" w:eastAsia="Calibri" w:hAnsi="Arial" w:cs="Arial"/>
        </w:rPr>
        <w:t>considerar los argumentos</w:t>
      </w:r>
      <w:r>
        <w:rPr>
          <w:rFonts w:ascii="Arial" w:eastAsia="Calibri" w:hAnsi="Arial" w:cs="Arial"/>
        </w:rPr>
        <w:t xml:space="preserve"> que </w:t>
      </w:r>
      <w:r w:rsidR="00471C4B">
        <w:rPr>
          <w:rFonts w:ascii="Arial" w:eastAsia="Calibri" w:hAnsi="Arial" w:cs="Arial"/>
        </w:rPr>
        <w:t>sustentan la posición del suscrito</w:t>
      </w:r>
      <w:r w:rsidR="005F0F69">
        <w:rPr>
          <w:rFonts w:ascii="Arial" w:eastAsia="Calibri" w:hAnsi="Arial" w:cs="Arial"/>
        </w:rPr>
        <w:t xml:space="preserve">, que justifican el señalamiento que se hace a los yerros referidos anteriormente y que </w:t>
      </w:r>
      <w:r>
        <w:rPr>
          <w:rFonts w:ascii="Arial" w:eastAsia="Calibri" w:hAnsi="Arial" w:cs="Arial"/>
        </w:rPr>
        <w:t>a continuación s</w:t>
      </w:r>
      <w:r w:rsidR="00471C4B">
        <w:rPr>
          <w:rFonts w:ascii="Arial" w:eastAsia="Calibri" w:hAnsi="Arial" w:cs="Arial"/>
        </w:rPr>
        <w:t>e presentan</w:t>
      </w:r>
      <w:r w:rsidR="00A72C7A">
        <w:rPr>
          <w:rFonts w:ascii="Arial" w:eastAsia="Calibri" w:hAnsi="Arial" w:cs="Arial"/>
        </w:rPr>
        <w:t xml:space="preserve">: </w:t>
      </w:r>
    </w:p>
    <w:p w14:paraId="2C3D1AE3" w14:textId="4E959EC3" w:rsidR="00C34622" w:rsidRDefault="00C34622" w:rsidP="00037D51">
      <w:pPr>
        <w:spacing w:line="312" w:lineRule="auto"/>
        <w:rPr>
          <w:rFonts w:ascii="Arial" w:eastAsia="Calibri" w:hAnsi="Arial" w:cs="Arial"/>
        </w:rPr>
      </w:pPr>
    </w:p>
    <w:p w14:paraId="147F9DFB" w14:textId="5CBD0808" w:rsidR="00C34622" w:rsidRPr="00FA21E6" w:rsidRDefault="0015362E" w:rsidP="00037D51">
      <w:pPr>
        <w:pStyle w:val="Prrafodelista"/>
        <w:numPr>
          <w:ilvl w:val="0"/>
          <w:numId w:val="22"/>
        </w:numPr>
        <w:spacing w:line="312" w:lineRule="auto"/>
        <w:jc w:val="both"/>
        <w:rPr>
          <w:rFonts w:ascii="Arial" w:eastAsia="Calibri" w:hAnsi="Arial" w:cs="Arial"/>
          <w:b/>
          <w:bCs/>
        </w:rPr>
      </w:pPr>
      <w:r>
        <w:rPr>
          <w:rFonts w:ascii="Arial" w:eastAsia="Calibri" w:hAnsi="Arial" w:cs="Arial"/>
          <w:b/>
          <w:bCs/>
        </w:rPr>
        <w:lastRenderedPageBreak/>
        <w:t>AL TRATARSE DE UN CONVENIO INTERADMINISTRATIVO EL MUNICIPIO DE BUGALAGRANDE NO TENÍA FACULTAD PARA LIQUIDAR EL CONTRATO</w:t>
      </w:r>
      <w:r w:rsidR="009D0742">
        <w:rPr>
          <w:rFonts w:ascii="Arial" w:eastAsia="Calibri" w:hAnsi="Arial" w:cs="Arial"/>
          <w:b/>
          <w:bCs/>
        </w:rPr>
        <w:t xml:space="preserve"> UNILATERALMENTE</w:t>
      </w:r>
      <w:r>
        <w:rPr>
          <w:rFonts w:ascii="Arial" w:eastAsia="Calibri" w:hAnsi="Arial" w:cs="Arial"/>
          <w:b/>
          <w:bCs/>
        </w:rPr>
        <w:t xml:space="preserve">, DECLARAR LA OCURRENCIA DEL SINIESTRO </w:t>
      </w:r>
      <w:r w:rsidR="009D0742">
        <w:rPr>
          <w:rFonts w:ascii="Arial" w:eastAsia="Calibri" w:hAnsi="Arial" w:cs="Arial"/>
          <w:b/>
          <w:bCs/>
        </w:rPr>
        <w:t>UNILATERALMENTE NI</w:t>
      </w:r>
      <w:r>
        <w:rPr>
          <w:rFonts w:ascii="Arial" w:eastAsia="Calibri" w:hAnsi="Arial" w:cs="Arial"/>
          <w:b/>
          <w:bCs/>
        </w:rPr>
        <w:t xml:space="preserve"> HACER EFECTIVA LA GARANTÍA UNILATERALMENTE</w:t>
      </w:r>
      <w:r w:rsidRPr="00FA21E6">
        <w:rPr>
          <w:rFonts w:ascii="Arial" w:eastAsia="Calibri" w:hAnsi="Arial" w:cs="Arial"/>
          <w:b/>
          <w:bCs/>
        </w:rPr>
        <w:t xml:space="preserve"> </w:t>
      </w:r>
    </w:p>
    <w:p w14:paraId="62C6500A" w14:textId="0E658F63" w:rsidR="00CF641B" w:rsidRDefault="0015362E" w:rsidP="00037D51">
      <w:pPr>
        <w:spacing w:line="312" w:lineRule="auto"/>
        <w:jc w:val="both"/>
        <w:rPr>
          <w:rFonts w:ascii="Arial" w:eastAsia="Calibri" w:hAnsi="Arial" w:cs="Arial"/>
        </w:rPr>
      </w:pPr>
      <w:r>
        <w:rPr>
          <w:rFonts w:ascii="Arial" w:eastAsia="Calibri" w:hAnsi="Arial" w:cs="Arial"/>
        </w:rPr>
        <w:t>Lo primero que se debe tener en cuenta en el presente asunto es que el despacho ha realizado una valoración equivoca de los supuestos de hecho y de derecho</w:t>
      </w:r>
      <w:r w:rsidR="009D0742">
        <w:rPr>
          <w:rFonts w:ascii="Arial" w:eastAsia="Calibri" w:hAnsi="Arial" w:cs="Arial"/>
        </w:rPr>
        <w:t>,</w:t>
      </w:r>
      <w:r>
        <w:rPr>
          <w:rFonts w:ascii="Arial" w:eastAsia="Calibri" w:hAnsi="Arial" w:cs="Arial"/>
        </w:rPr>
        <w:t xml:space="preserve"> toda vez que </w:t>
      </w:r>
      <w:r w:rsidR="009D0742">
        <w:rPr>
          <w:rFonts w:ascii="Arial" w:eastAsia="Calibri" w:hAnsi="Arial" w:cs="Arial"/>
        </w:rPr>
        <w:t xml:space="preserve">salta a la vista de sus argumentos y consideraciones en la demanda, que </w:t>
      </w:r>
      <w:r>
        <w:rPr>
          <w:rFonts w:ascii="Arial" w:eastAsia="Calibri" w:hAnsi="Arial" w:cs="Arial"/>
        </w:rPr>
        <w:t>desconoce la naturaleza particular de la figura utilizada para adelantar el acuerdo que nos ocupa, y ello es porque como bien se puede observar del material probatorio</w:t>
      </w:r>
      <w:r w:rsidR="00D3378D">
        <w:rPr>
          <w:rFonts w:ascii="Arial" w:eastAsia="Calibri" w:hAnsi="Arial" w:cs="Arial"/>
        </w:rPr>
        <w:t>,</w:t>
      </w:r>
      <w:r>
        <w:rPr>
          <w:rFonts w:ascii="Arial" w:eastAsia="Calibri" w:hAnsi="Arial" w:cs="Arial"/>
        </w:rPr>
        <w:t xml:space="preserve"> el caso gira en torno a un </w:t>
      </w:r>
      <w:r w:rsidRPr="004B562F">
        <w:rPr>
          <w:rFonts w:ascii="Arial" w:eastAsia="Calibri" w:hAnsi="Arial" w:cs="Arial"/>
          <w:b/>
          <w:bCs/>
          <w:u w:val="single"/>
        </w:rPr>
        <w:t>convenio</w:t>
      </w:r>
      <w:r>
        <w:rPr>
          <w:rFonts w:ascii="Arial" w:eastAsia="Calibri" w:hAnsi="Arial" w:cs="Arial"/>
        </w:rPr>
        <w:t xml:space="preserve"> interadministrativo el cual difiere</w:t>
      </w:r>
      <w:r w:rsidR="004B562F">
        <w:rPr>
          <w:rFonts w:ascii="Arial" w:eastAsia="Calibri" w:hAnsi="Arial" w:cs="Arial"/>
        </w:rPr>
        <w:t xml:space="preserve"> en su naturaleza,</w:t>
      </w:r>
      <w:r>
        <w:rPr>
          <w:rFonts w:ascii="Arial" w:eastAsia="Calibri" w:hAnsi="Arial" w:cs="Arial"/>
        </w:rPr>
        <w:t xml:space="preserve"> </w:t>
      </w:r>
      <w:r w:rsidR="004B562F" w:rsidRPr="004B562F">
        <w:rPr>
          <w:rFonts w:ascii="Arial" w:eastAsia="Calibri" w:hAnsi="Arial" w:cs="Arial"/>
        </w:rPr>
        <w:t>alcance, finalidades y características</w:t>
      </w:r>
      <w:r w:rsidR="004B562F">
        <w:rPr>
          <w:rFonts w:ascii="Arial" w:eastAsia="Calibri" w:hAnsi="Arial" w:cs="Arial"/>
        </w:rPr>
        <w:t xml:space="preserve"> de un </w:t>
      </w:r>
      <w:r w:rsidR="004B562F" w:rsidRPr="004B562F">
        <w:rPr>
          <w:rFonts w:ascii="Arial" w:eastAsia="Calibri" w:hAnsi="Arial" w:cs="Arial"/>
          <w:b/>
          <w:bCs/>
          <w:u w:val="single"/>
        </w:rPr>
        <w:t>contrato</w:t>
      </w:r>
      <w:r w:rsidR="004B562F">
        <w:rPr>
          <w:rFonts w:ascii="Arial" w:eastAsia="Calibri" w:hAnsi="Arial" w:cs="Arial"/>
        </w:rPr>
        <w:t xml:space="preserve"> interadministrativo, que </w:t>
      </w:r>
      <w:r w:rsidR="003901A4">
        <w:rPr>
          <w:rFonts w:ascii="Arial" w:eastAsia="Calibri" w:hAnsi="Arial" w:cs="Arial"/>
        </w:rPr>
        <w:t xml:space="preserve">es </w:t>
      </w:r>
      <w:r w:rsidR="004B562F">
        <w:rPr>
          <w:rFonts w:ascii="Arial" w:eastAsia="Calibri" w:hAnsi="Arial" w:cs="Arial"/>
        </w:rPr>
        <w:t>la figura respecto de la cual el despacho ha hecho el análisis del caso para fallar</w:t>
      </w:r>
      <w:r w:rsidR="008C3EED">
        <w:rPr>
          <w:rFonts w:ascii="Arial" w:eastAsia="Calibri" w:hAnsi="Arial" w:cs="Arial"/>
        </w:rPr>
        <w:t>.</w:t>
      </w:r>
      <w:r w:rsidR="004B562F">
        <w:rPr>
          <w:rFonts w:ascii="Arial" w:eastAsia="Calibri" w:hAnsi="Arial" w:cs="Arial"/>
        </w:rPr>
        <w:t xml:space="preserve"> En este sentido entonces es indispensable conceptualizar las diferencias entre ambas figuras contractuales para exhibir </w:t>
      </w:r>
      <w:r w:rsidR="000A0F9A">
        <w:rPr>
          <w:rFonts w:ascii="Arial" w:eastAsia="Calibri" w:hAnsi="Arial" w:cs="Arial"/>
        </w:rPr>
        <w:t>por qué</w:t>
      </w:r>
      <w:r w:rsidR="004B562F">
        <w:rPr>
          <w:rFonts w:ascii="Arial" w:eastAsia="Calibri" w:hAnsi="Arial" w:cs="Arial"/>
        </w:rPr>
        <w:t xml:space="preserve"> yerra el despacho al considerar </w:t>
      </w:r>
      <w:r w:rsidR="00256683">
        <w:rPr>
          <w:rFonts w:ascii="Arial" w:eastAsia="Calibri" w:hAnsi="Arial" w:cs="Arial"/>
        </w:rPr>
        <w:t>procedente que se haya liquidado el contrato, declarado la ocurrencia del siniestro y hecho efectiva la garantía, y todo ello de manera unilateral por parte del municipio de Bugalagrande.</w:t>
      </w:r>
    </w:p>
    <w:p w14:paraId="17CE4642" w14:textId="77777777" w:rsidR="00D4599B" w:rsidRDefault="00D4599B" w:rsidP="00037D51">
      <w:pPr>
        <w:spacing w:line="312" w:lineRule="auto"/>
        <w:jc w:val="both"/>
        <w:rPr>
          <w:rFonts w:ascii="Arial" w:eastAsia="Calibri" w:hAnsi="Arial" w:cs="Arial"/>
        </w:rPr>
      </w:pPr>
    </w:p>
    <w:p w14:paraId="2B4C469B" w14:textId="1AE2DECE" w:rsidR="0028227B" w:rsidRDefault="00BF25CE" w:rsidP="00037D51">
      <w:pPr>
        <w:spacing w:line="312" w:lineRule="auto"/>
        <w:jc w:val="both"/>
        <w:rPr>
          <w:rFonts w:ascii="Arial" w:eastAsia="Calibri" w:hAnsi="Arial" w:cs="Arial"/>
        </w:rPr>
      </w:pPr>
      <w:r>
        <w:rPr>
          <w:rFonts w:ascii="Arial" w:eastAsia="Calibri" w:hAnsi="Arial" w:cs="Arial"/>
        </w:rPr>
        <w:t>S</w:t>
      </w:r>
      <w:r w:rsidR="00F10262">
        <w:rPr>
          <w:rFonts w:ascii="Arial" w:eastAsia="Calibri" w:hAnsi="Arial" w:cs="Arial"/>
        </w:rPr>
        <w:t xml:space="preserve">obre </w:t>
      </w:r>
      <w:r w:rsidR="0028227B">
        <w:rPr>
          <w:rFonts w:ascii="Arial" w:eastAsia="Calibri" w:hAnsi="Arial" w:cs="Arial"/>
        </w:rPr>
        <w:t>el convenio interadministrativo</w:t>
      </w:r>
      <w:r w:rsidR="00F10262">
        <w:rPr>
          <w:rFonts w:ascii="Arial" w:eastAsia="Calibri" w:hAnsi="Arial" w:cs="Arial"/>
        </w:rPr>
        <w:t>,</w:t>
      </w:r>
      <w:r w:rsidR="0028227B" w:rsidRPr="0028227B">
        <w:rPr>
          <w:rFonts w:ascii="Arial" w:eastAsia="Calibri" w:hAnsi="Arial" w:cs="Arial"/>
        </w:rPr>
        <w:t xml:space="preserve"> Menéndez Rexach afirma que la “</w:t>
      </w:r>
      <w:r w:rsidR="0028227B" w:rsidRPr="0028227B">
        <w:rPr>
          <w:rFonts w:ascii="Arial" w:eastAsia="Calibri" w:hAnsi="Arial" w:cs="Arial"/>
          <w:i/>
          <w:iCs/>
        </w:rPr>
        <w:t xml:space="preserve">singularidad de los convenios interadministrativos de naturaleza contractual radica en que en ellos se mantiene plenamente la </w:t>
      </w:r>
      <w:r w:rsidR="0028227B" w:rsidRPr="0028227B">
        <w:rPr>
          <w:rFonts w:ascii="Arial" w:eastAsia="Calibri" w:hAnsi="Arial" w:cs="Arial"/>
          <w:i/>
          <w:iCs/>
          <w:u w:val="single"/>
        </w:rPr>
        <w:t>igualdad jurídica y la coordinación entre las partes</w:t>
      </w:r>
      <w:r w:rsidR="0028227B" w:rsidRPr="0028227B">
        <w:rPr>
          <w:rFonts w:ascii="Arial" w:eastAsia="Calibri" w:hAnsi="Arial" w:cs="Arial"/>
          <w:i/>
          <w:iCs/>
        </w:rPr>
        <w:t xml:space="preserve">, justamente porque esas relaciones no se insertan en el marco de la relación general de subordinación administración - administrado sino que se producen entre dos sujetos jurídicos que </w:t>
      </w:r>
      <w:r w:rsidR="0028227B" w:rsidRPr="0028227B">
        <w:rPr>
          <w:rFonts w:ascii="Arial" w:eastAsia="Calibri" w:hAnsi="Arial" w:cs="Arial"/>
          <w:i/>
          <w:iCs/>
          <w:u w:val="single"/>
        </w:rPr>
        <w:t>están en plano de igualdad porque ambos actúan en ejercicio del poder público</w:t>
      </w:r>
      <w:r w:rsidR="002B2EBE">
        <w:rPr>
          <w:rStyle w:val="Refdenotaalpie"/>
          <w:rFonts w:ascii="Arial" w:eastAsia="Calibri" w:hAnsi="Arial" w:cs="Arial"/>
          <w:i/>
          <w:iCs/>
          <w:u w:val="single"/>
        </w:rPr>
        <w:footnoteReference w:id="2"/>
      </w:r>
      <w:r w:rsidR="0028227B" w:rsidRPr="0028227B">
        <w:rPr>
          <w:rFonts w:ascii="Arial" w:eastAsia="Calibri" w:hAnsi="Arial" w:cs="Arial"/>
        </w:rPr>
        <w:t>” (Subraya</w:t>
      </w:r>
      <w:r w:rsidR="0028227B">
        <w:rPr>
          <w:rFonts w:ascii="Arial" w:eastAsia="Calibri" w:hAnsi="Arial" w:cs="Arial"/>
        </w:rPr>
        <w:t>do</w:t>
      </w:r>
      <w:r w:rsidR="0028227B" w:rsidRPr="0028227B">
        <w:rPr>
          <w:rFonts w:ascii="Arial" w:eastAsia="Calibri" w:hAnsi="Arial" w:cs="Arial"/>
        </w:rPr>
        <w:t xml:space="preserve"> </w:t>
      </w:r>
      <w:r w:rsidR="0028227B">
        <w:rPr>
          <w:rFonts w:ascii="Arial" w:eastAsia="Calibri" w:hAnsi="Arial" w:cs="Arial"/>
        </w:rPr>
        <w:t>fuera del texto original</w:t>
      </w:r>
      <w:r w:rsidR="0028227B" w:rsidRPr="0028227B">
        <w:rPr>
          <w:rFonts w:ascii="Arial" w:eastAsia="Calibri" w:hAnsi="Arial" w:cs="Arial"/>
        </w:rPr>
        <w:t>).</w:t>
      </w:r>
    </w:p>
    <w:p w14:paraId="5AB0FDBC" w14:textId="77777777" w:rsidR="0028227B" w:rsidRDefault="0028227B" w:rsidP="00037D51">
      <w:pPr>
        <w:spacing w:line="312" w:lineRule="auto"/>
        <w:jc w:val="both"/>
        <w:rPr>
          <w:rFonts w:ascii="Arial" w:eastAsia="Calibri" w:hAnsi="Arial" w:cs="Arial"/>
        </w:rPr>
      </w:pPr>
    </w:p>
    <w:p w14:paraId="27023F5F" w14:textId="5B6617CB" w:rsidR="0000518C" w:rsidRDefault="0016079C" w:rsidP="00037D51">
      <w:pPr>
        <w:spacing w:line="312" w:lineRule="auto"/>
        <w:jc w:val="both"/>
        <w:rPr>
          <w:rFonts w:ascii="Arial" w:eastAsia="Calibri" w:hAnsi="Arial" w:cs="Arial"/>
        </w:rPr>
      </w:pPr>
      <w:r>
        <w:rPr>
          <w:rFonts w:ascii="Arial" w:eastAsia="Calibri" w:hAnsi="Arial" w:cs="Arial"/>
        </w:rPr>
        <w:t xml:space="preserve">En consonancia con lo anterior el órgano de cierre de la jurisdicción contencioso administrativa acerca de la diferencia entre </w:t>
      </w:r>
      <w:proofErr w:type="gramStart"/>
      <w:r>
        <w:rPr>
          <w:rFonts w:ascii="Arial" w:eastAsia="Calibri" w:hAnsi="Arial" w:cs="Arial"/>
        </w:rPr>
        <w:t>contrato interadministrativo y convenio interadministrativo</w:t>
      </w:r>
      <w:proofErr w:type="gramEnd"/>
      <w:r>
        <w:rPr>
          <w:rFonts w:ascii="Arial" w:eastAsia="Calibri" w:hAnsi="Arial" w:cs="Arial"/>
        </w:rPr>
        <w:t xml:space="preserve">, </w:t>
      </w:r>
      <w:r w:rsidR="002D6A95">
        <w:rPr>
          <w:rFonts w:ascii="Arial" w:eastAsia="Calibri" w:hAnsi="Arial" w:cs="Arial"/>
        </w:rPr>
        <w:t>ha dicho</w:t>
      </w:r>
      <w:r>
        <w:rPr>
          <w:rFonts w:ascii="Arial" w:eastAsia="Calibri" w:hAnsi="Arial" w:cs="Arial"/>
        </w:rPr>
        <w:t>:</w:t>
      </w:r>
    </w:p>
    <w:p w14:paraId="40C3C9E6" w14:textId="77777777" w:rsidR="00A14D2A" w:rsidRDefault="00A14D2A" w:rsidP="00037D51">
      <w:pPr>
        <w:spacing w:line="312" w:lineRule="auto"/>
        <w:jc w:val="both"/>
        <w:rPr>
          <w:rFonts w:ascii="Arial" w:eastAsia="Calibri" w:hAnsi="Arial" w:cs="Arial"/>
        </w:rPr>
      </w:pPr>
    </w:p>
    <w:p w14:paraId="3DE443C6" w14:textId="7908C8FC" w:rsidR="0000518C" w:rsidRDefault="0000518C" w:rsidP="0000518C">
      <w:pPr>
        <w:spacing w:line="312" w:lineRule="auto"/>
        <w:ind w:left="567" w:right="567"/>
        <w:jc w:val="both"/>
        <w:rPr>
          <w:rFonts w:ascii="Arial" w:eastAsia="Calibri" w:hAnsi="Arial" w:cs="Arial"/>
        </w:rPr>
      </w:pPr>
      <w:r w:rsidRPr="007A12ED">
        <w:rPr>
          <w:rFonts w:ascii="Arial" w:eastAsia="Calibri" w:hAnsi="Arial" w:cs="Arial"/>
          <w:i/>
          <w:iCs/>
          <w:sz w:val="20"/>
          <w:szCs w:val="20"/>
        </w:rPr>
        <w:t xml:space="preserve">(…) </w:t>
      </w:r>
      <w:r w:rsidRPr="007A12ED">
        <w:rPr>
          <w:rFonts w:ascii="Arial" w:hAnsi="Arial" w:cs="Arial"/>
          <w:i/>
          <w:iCs/>
          <w:sz w:val="20"/>
          <w:szCs w:val="20"/>
        </w:rPr>
        <w:t>En consecuencia</w:t>
      </w:r>
      <w:r w:rsidRPr="00A14D2A">
        <w:rPr>
          <w:rFonts w:ascii="Arial" w:hAnsi="Arial" w:cs="Arial"/>
          <w:i/>
          <w:iCs/>
          <w:sz w:val="20"/>
          <w:szCs w:val="20"/>
        </w:rPr>
        <w:t xml:space="preserve">, </w:t>
      </w:r>
      <w:r w:rsidRPr="00E94D87">
        <w:rPr>
          <w:rFonts w:ascii="Arial" w:hAnsi="Arial" w:cs="Arial"/>
          <w:i/>
          <w:iCs/>
          <w:sz w:val="20"/>
          <w:szCs w:val="20"/>
          <w:u w:val="single"/>
        </w:rPr>
        <w:t>los convenios y los contratos interadministrativos se distinguen por su naturaleza y finalidad</w:t>
      </w:r>
      <w:r w:rsidRPr="007A12ED">
        <w:rPr>
          <w:rFonts w:ascii="Arial" w:hAnsi="Arial" w:cs="Arial"/>
          <w:i/>
          <w:iCs/>
          <w:sz w:val="20"/>
          <w:szCs w:val="20"/>
        </w:rPr>
        <w:t xml:space="preserve">. Ambas figuras son especies del género contrato estatal que como nota común tienen la de ser acuerdos de voluntades generadores de obligaciones entre dos entidades estatales (artículo 2, numeral 1, de la Ley 80 de 1993) y de ahí la locución formal “interadministrativos”. De esos acuerdos </w:t>
      </w:r>
      <w:r w:rsidRPr="00E94D87">
        <w:rPr>
          <w:rFonts w:ascii="Arial" w:hAnsi="Arial" w:cs="Arial"/>
          <w:b/>
          <w:bCs/>
          <w:i/>
          <w:iCs/>
          <w:sz w:val="20"/>
          <w:szCs w:val="20"/>
          <w:u w:val="single"/>
        </w:rPr>
        <w:t>unos tienen por objeto y finalidad “constituir, regular o extinguir entre ellas una relación patrimonial”, en los términos del artículo 864 del Código de Comercio y, por lo mismo, son contratos, y otros, son “acuerdos que permitan la autonomía de la voluntad” celebrados entre entidades estatales para el cumplimiento de fines que les son propios (fines estales) que no involucran una interlocución negocial fundada en un carácter patrimonial, los cuales conformarían la especie convenios</w:t>
      </w:r>
      <w:r>
        <w:rPr>
          <w:rStyle w:val="Refdenotaalpie"/>
          <w:rFonts w:ascii="Arial" w:eastAsia="Calibri" w:hAnsi="Arial" w:cs="Arial"/>
          <w:i/>
          <w:iCs/>
          <w:sz w:val="20"/>
          <w:szCs w:val="20"/>
        </w:rPr>
        <w:footnoteReference w:id="3"/>
      </w:r>
      <w:r>
        <w:rPr>
          <w:rFonts w:ascii="Arial" w:eastAsia="Calibri" w:hAnsi="Arial" w:cs="Arial"/>
          <w:i/>
          <w:iCs/>
          <w:sz w:val="20"/>
          <w:szCs w:val="20"/>
        </w:rPr>
        <w:t xml:space="preserve">. </w:t>
      </w:r>
      <w:r>
        <w:rPr>
          <w:rFonts w:ascii="Arial" w:eastAsia="Calibri" w:hAnsi="Arial" w:cs="Arial"/>
          <w:sz w:val="20"/>
          <w:szCs w:val="20"/>
        </w:rPr>
        <w:t>(Negrillas y subrayado fuera del texto original)</w:t>
      </w:r>
    </w:p>
    <w:p w14:paraId="3DA8B047" w14:textId="77777777" w:rsidR="00BB2FF6" w:rsidRDefault="00BB2FF6" w:rsidP="00037D51">
      <w:pPr>
        <w:spacing w:line="312" w:lineRule="auto"/>
        <w:jc w:val="both"/>
        <w:rPr>
          <w:rFonts w:ascii="Arial" w:eastAsia="Calibri" w:hAnsi="Arial" w:cs="Arial"/>
        </w:rPr>
      </w:pPr>
    </w:p>
    <w:p w14:paraId="3AA0127A" w14:textId="67881C87" w:rsidR="00CF641B" w:rsidRDefault="00A14D2A" w:rsidP="00037D51">
      <w:pPr>
        <w:spacing w:line="312" w:lineRule="auto"/>
        <w:jc w:val="both"/>
        <w:rPr>
          <w:rFonts w:ascii="Arial" w:eastAsia="Calibri" w:hAnsi="Arial" w:cs="Arial"/>
        </w:rPr>
      </w:pPr>
      <w:r>
        <w:rPr>
          <w:rFonts w:ascii="Arial" w:eastAsia="Calibri" w:hAnsi="Arial" w:cs="Arial"/>
        </w:rPr>
        <w:t xml:space="preserve">Dicha distinción que era necesaria traerla a la discusión, la atendió el </w:t>
      </w:r>
      <w:r w:rsidR="00E743C9">
        <w:rPr>
          <w:rFonts w:ascii="Arial" w:eastAsia="Calibri" w:hAnsi="Arial" w:cs="Arial"/>
        </w:rPr>
        <w:t xml:space="preserve">legislador cuándo, </w:t>
      </w:r>
      <w:r w:rsidR="00BB2275">
        <w:rPr>
          <w:rFonts w:ascii="Arial" w:eastAsia="Calibri" w:hAnsi="Arial" w:cs="Arial"/>
        </w:rPr>
        <w:t xml:space="preserve">respecto de la segunda categoría, verbigracia -convenios interadministrativos- al </w:t>
      </w:r>
      <w:r w:rsidR="002751CC">
        <w:rPr>
          <w:rFonts w:ascii="Arial" w:eastAsia="Calibri" w:hAnsi="Arial" w:cs="Arial"/>
        </w:rPr>
        <w:t xml:space="preserve">no concurrir </w:t>
      </w:r>
      <w:r w:rsidR="00E743C9" w:rsidRPr="00E743C9">
        <w:rPr>
          <w:rFonts w:ascii="Arial" w:eastAsia="Calibri" w:hAnsi="Arial" w:cs="Arial"/>
        </w:rPr>
        <w:t>como tal</w:t>
      </w:r>
      <w:r w:rsidR="002751CC">
        <w:rPr>
          <w:rFonts w:ascii="Arial" w:eastAsia="Calibri" w:hAnsi="Arial" w:cs="Arial"/>
          <w:i/>
          <w:iCs/>
        </w:rPr>
        <w:t xml:space="preserve"> </w:t>
      </w:r>
      <w:r w:rsidR="002751CC">
        <w:rPr>
          <w:rFonts w:ascii="Arial" w:eastAsia="Calibri" w:hAnsi="Arial" w:cs="Arial"/>
        </w:rPr>
        <w:t xml:space="preserve">posición de subordinación por ninguna de las partes, </w:t>
      </w:r>
      <w:r w:rsidR="00E743C9">
        <w:rPr>
          <w:rFonts w:ascii="Arial" w:eastAsia="Calibri" w:hAnsi="Arial" w:cs="Arial"/>
        </w:rPr>
        <w:t xml:space="preserve">consideró que </w:t>
      </w:r>
      <w:r w:rsidR="002751CC">
        <w:rPr>
          <w:rFonts w:ascii="Arial" w:eastAsia="Calibri" w:hAnsi="Arial" w:cs="Arial"/>
        </w:rPr>
        <w:t xml:space="preserve">no </w:t>
      </w:r>
      <w:r w:rsidR="00040752">
        <w:rPr>
          <w:rFonts w:ascii="Arial" w:eastAsia="Calibri" w:hAnsi="Arial" w:cs="Arial"/>
        </w:rPr>
        <w:t>pueden gozar de l</w:t>
      </w:r>
      <w:r w:rsidR="001C281D">
        <w:rPr>
          <w:rFonts w:ascii="Arial" w:eastAsia="Calibri" w:hAnsi="Arial" w:cs="Arial"/>
        </w:rPr>
        <w:t>o</w:t>
      </w:r>
      <w:r w:rsidR="00040752">
        <w:rPr>
          <w:rFonts w:ascii="Arial" w:eastAsia="Calibri" w:hAnsi="Arial" w:cs="Arial"/>
        </w:rPr>
        <w:t>s mi</w:t>
      </w:r>
      <w:r w:rsidR="00CF7C5E">
        <w:rPr>
          <w:rFonts w:ascii="Arial" w:eastAsia="Calibri" w:hAnsi="Arial" w:cs="Arial"/>
        </w:rPr>
        <w:t>s</w:t>
      </w:r>
      <w:r w:rsidR="00040752">
        <w:rPr>
          <w:rFonts w:ascii="Arial" w:eastAsia="Calibri" w:hAnsi="Arial" w:cs="Arial"/>
        </w:rPr>
        <w:t>m</w:t>
      </w:r>
      <w:r w:rsidR="001C281D">
        <w:rPr>
          <w:rFonts w:ascii="Arial" w:eastAsia="Calibri" w:hAnsi="Arial" w:cs="Arial"/>
        </w:rPr>
        <w:t>o</w:t>
      </w:r>
      <w:r w:rsidR="00040752">
        <w:rPr>
          <w:rFonts w:ascii="Arial" w:eastAsia="Calibri" w:hAnsi="Arial" w:cs="Arial"/>
        </w:rPr>
        <w:t xml:space="preserve">s </w:t>
      </w:r>
      <w:r w:rsidR="001C281D">
        <w:rPr>
          <w:rFonts w:ascii="Arial" w:eastAsia="Calibri" w:hAnsi="Arial" w:cs="Arial"/>
        </w:rPr>
        <w:t>privilegios</w:t>
      </w:r>
      <w:r w:rsidR="00905575">
        <w:rPr>
          <w:rFonts w:ascii="Arial" w:eastAsia="Calibri" w:hAnsi="Arial" w:cs="Arial"/>
        </w:rPr>
        <w:t xml:space="preserve"> </w:t>
      </w:r>
      <w:r w:rsidR="009C142F">
        <w:rPr>
          <w:rFonts w:ascii="Arial" w:eastAsia="Calibri" w:hAnsi="Arial" w:cs="Arial"/>
        </w:rPr>
        <w:t xml:space="preserve">de </w:t>
      </w:r>
      <w:r w:rsidR="00905575">
        <w:rPr>
          <w:rFonts w:ascii="Arial" w:eastAsia="Calibri" w:hAnsi="Arial" w:cs="Arial"/>
        </w:rPr>
        <w:t xml:space="preserve">que gozan los contratos </w:t>
      </w:r>
      <w:r w:rsidR="009C142F">
        <w:rPr>
          <w:rFonts w:ascii="Arial" w:eastAsia="Calibri" w:hAnsi="Arial" w:cs="Arial"/>
        </w:rPr>
        <w:t>estatales en general,</w:t>
      </w:r>
      <w:r w:rsidR="00905575">
        <w:rPr>
          <w:rFonts w:ascii="Arial" w:eastAsia="Calibri" w:hAnsi="Arial" w:cs="Arial"/>
        </w:rPr>
        <w:t xml:space="preserve"> en el entendido de que las prerrogativas </w:t>
      </w:r>
      <w:r w:rsidR="00E743C9">
        <w:rPr>
          <w:rFonts w:ascii="Arial" w:eastAsia="Calibri" w:hAnsi="Arial" w:cs="Arial"/>
        </w:rPr>
        <w:t xml:space="preserve">que </w:t>
      </w:r>
      <w:r w:rsidR="00905575">
        <w:rPr>
          <w:rFonts w:ascii="Arial" w:eastAsia="Calibri" w:hAnsi="Arial" w:cs="Arial"/>
        </w:rPr>
        <w:t>caracter</w:t>
      </w:r>
      <w:r w:rsidR="00E743C9">
        <w:rPr>
          <w:rFonts w:ascii="Arial" w:eastAsia="Calibri" w:hAnsi="Arial" w:cs="Arial"/>
        </w:rPr>
        <w:t>izan a</w:t>
      </w:r>
      <w:r w:rsidR="00905575">
        <w:rPr>
          <w:rFonts w:ascii="Arial" w:eastAsia="Calibri" w:hAnsi="Arial" w:cs="Arial"/>
        </w:rPr>
        <w:t xml:space="preserve"> la contratación estatal, tienen su fundamento en la necesidad de </w:t>
      </w:r>
      <w:r w:rsidR="00C30868">
        <w:rPr>
          <w:rFonts w:ascii="Arial" w:eastAsia="Calibri" w:hAnsi="Arial" w:cs="Arial"/>
        </w:rPr>
        <w:t xml:space="preserve">proteger -en términos generales- la prestación </w:t>
      </w:r>
      <w:r w:rsidR="00943775">
        <w:rPr>
          <w:rFonts w:ascii="Arial" w:eastAsia="Calibri" w:hAnsi="Arial" w:cs="Arial"/>
        </w:rPr>
        <w:t xml:space="preserve">eficiente </w:t>
      </w:r>
      <w:r w:rsidR="00C30868">
        <w:rPr>
          <w:rFonts w:ascii="Arial" w:eastAsia="Calibri" w:hAnsi="Arial" w:cs="Arial"/>
        </w:rPr>
        <w:t xml:space="preserve">del servicio, situación que no se aplica si </w:t>
      </w:r>
      <w:r w:rsidR="00DF7303">
        <w:rPr>
          <w:rFonts w:ascii="Arial" w:eastAsia="Calibri" w:hAnsi="Arial" w:cs="Arial"/>
        </w:rPr>
        <w:t xml:space="preserve">lo que se da es </w:t>
      </w:r>
      <w:r w:rsidR="00DF7303">
        <w:rPr>
          <w:rFonts w:ascii="Arial" w:eastAsia="Calibri" w:hAnsi="Arial" w:cs="Arial"/>
        </w:rPr>
        <w:lastRenderedPageBreak/>
        <w:t xml:space="preserve">una acuerdo en que dos entidades aúnan esfuerzos para un logro </w:t>
      </w:r>
      <w:r w:rsidR="00702A8D">
        <w:rPr>
          <w:rFonts w:ascii="Arial" w:eastAsia="Calibri" w:hAnsi="Arial" w:cs="Arial"/>
        </w:rPr>
        <w:t>de común beneficio, como es el caso del “</w:t>
      </w:r>
      <w:r w:rsidR="00702A8D" w:rsidRPr="00393299">
        <w:rPr>
          <w:rFonts w:ascii="Arial" w:eastAsia="Calibri" w:hAnsi="Arial" w:cs="Arial"/>
          <w:i/>
          <w:iCs/>
        </w:rPr>
        <w:t xml:space="preserve">Convenio Interadministrativo de Cooperación y Construcción suscrito entre el Municipio de Bugalagrande y la Fundación de Amigos de Colombia </w:t>
      </w:r>
      <w:r w:rsidR="00725A5C">
        <w:rPr>
          <w:rFonts w:ascii="Arial" w:eastAsia="Calibri" w:hAnsi="Arial" w:cs="Arial"/>
          <w:i/>
          <w:iCs/>
        </w:rPr>
        <w:t>-</w:t>
      </w:r>
      <w:r w:rsidR="00702A8D" w:rsidRPr="00393299">
        <w:rPr>
          <w:rFonts w:ascii="Arial" w:eastAsia="Calibri" w:hAnsi="Arial" w:cs="Arial"/>
          <w:i/>
          <w:iCs/>
        </w:rPr>
        <w:t>FUNDACOL</w:t>
      </w:r>
      <w:r w:rsidR="00725A5C">
        <w:rPr>
          <w:rFonts w:ascii="Arial" w:eastAsia="Calibri" w:hAnsi="Arial" w:cs="Arial"/>
          <w:i/>
          <w:iCs/>
        </w:rPr>
        <w:t>-</w:t>
      </w:r>
      <w:r w:rsidR="00702A8D">
        <w:rPr>
          <w:rFonts w:ascii="Arial" w:eastAsia="Calibri" w:hAnsi="Arial" w:cs="Arial"/>
        </w:rPr>
        <w:t>”</w:t>
      </w:r>
      <w:r w:rsidR="00E743C9">
        <w:rPr>
          <w:rFonts w:ascii="Arial" w:eastAsia="Calibri" w:hAnsi="Arial" w:cs="Arial"/>
        </w:rPr>
        <w:t>, en tal sentido establece el parágrafo del artículo 14 de la Ley 80 de 1993 que:</w:t>
      </w:r>
    </w:p>
    <w:p w14:paraId="1D9E09C5" w14:textId="77777777" w:rsidR="00E743C9" w:rsidRDefault="00E743C9" w:rsidP="00037D51">
      <w:pPr>
        <w:spacing w:line="312" w:lineRule="auto"/>
        <w:jc w:val="both"/>
        <w:rPr>
          <w:rFonts w:ascii="Arial" w:eastAsia="Calibri" w:hAnsi="Arial" w:cs="Arial"/>
        </w:rPr>
      </w:pPr>
    </w:p>
    <w:p w14:paraId="6480C78D" w14:textId="70CB045E" w:rsidR="00E743C9" w:rsidRPr="00E743C9" w:rsidRDefault="00E743C9" w:rsidP="00E743C9">
      <w:pPr>
        <w:spacing w:line="312" w:lineRule="auto"/>
        <w:ind w:left="567" w:right="567"/>
        <w:jc w:val="both"/>
        <w:rPr>
          <w:rFonts w:ascii="Arial" w:eastAsia="Calibri" w:hAnsi="Arial" w:cs="Arial"/>
          <w:i/>
          <w:iCs/>
          <w:sz w:val="20"/>
          <w:szCs w:val="20"/>
        </w:rPr>
      </w:pPr>
      <w:r w:rsidRPr="000D14D2">
        <w:rPr>
          <w:rFonts w:ascii="Arial" w:eastAsia="Calibri" w:hAnsi="Arial" w:cs="Arial"/>
          <w:b/>
          <w:bCs/>
          <w:i/>
          <w:iCs/>
          <w:sz w:val="20"/>
          <w:szCs w:val="20"/>
          <w:u w:val="single"/>
        </w:rPr>
        <w:t>En los contratos que se celebren con personas públicas internacionales, o de cooperación, ayuda o asistencia;</w:t>
      </w:r>
      <w:r w:rsidRPr="00E743C9">
        <w:rPr>
          <w:rFonts w:ascii="Arial" w:eastAsia="Calibri" w:hAnsi="Arial" w:cs="Arial"/>
          <w:i/>
          <w:iCs/>
          <w:sz w:val="20"/>
          <w:szCs w:val="20"/>
        </w:rPr>
        <w:t xml:space="preserve"> </w:t>
      </w:r>
      <w:r w:rsidRPr="00E743C9">
        <w:rPr>
          <w:rFonts w:ascii="Arial" w:eastAsia="Calibri" w:hAnsi="Arial" w:cs="Arial"/>
          <w:b/>
          <w:bCs/>
          <w:i/>
          <w:iCs/>
          <w:sz w:val="20"/>
          <w:szCs w:val="20"/>
          <w:u w:val="single"/>
        </w:rPr>
        <w:t>en los interadministrativos</w:t>
      </w:r>
      <w:r w:rsidRPr="00E743C9">
        <w:rPr>
          <w:rFonts w:ascii="Arial" w:eastAsia="Calibri" w:hAnsi="Arial" w:cs="Arial"/>
          <w:i/>
          <w:iCs/>
          <w:sz w:val="20"/>
          <w:szCs w:val="20"/>
        </w:rPr>
        <w:t xml:space="preserve">;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w:t>
      </w:r>
      <w:r w:rsidRPr="00E743C9">
        <w:rPr>
          <w:rFonts w:ascii="Arial" w:eastAsia="Calibri" w:hAnsi="Arial" w:cs="Arial"/>
          <w:b/>
          <w:bCs/>
          <w:i/>
          <w:iCs/>
          <w:sz w:val="20"/>
          <w:szCs w:val="20"/>
          <w:u w:val="single"/>
        </w:rPr>
        <w:t>se prescindirá de la utilización de las cláusulas o estipulaciones excepcionales</w:t>
      </w:r>
      <w:r w:rsidRPr="00E743C9">
        <w:rPr>
          <w:rFonts w:ascii="Arial" w:eastAsia="Calibri" w:hAnsi="Arial" w:cs="Arial"/>
          <w:i/>
          <w:iCs/>
          <w:sz w:val="20"/>
          <w:szCs w:val="20"/>
        </w:rPr>
        <w:t>.</w:t>
      </w:r>
      <w:r w:rsidR="000D14D2">
        <w:rPr>
          <w:rFonts w:ascii="Arial" w:eastAsia="Calibri" w:hAnsi="Arial" w:cs="Arial"/>
          <w:i/>
          <w:iCs/>
          <w:sz w:val="20"/>
          <w:szCs w:val="20"/>
        </w:rPr>
        <w:t xml:space="preserve"> </w:t>
      </w:r>
      <w:r w:rsidR="000D14D2">
        <w:rPr>
          <w:rFonts w:ascii="Arial" w:eastAsia="Calibri" w:hAnsi="Arial" w:cs="Arial"/>
          <w:sz w:val="20"/>
          <w:szCs w:val="20"/>
        </w:rPr>
        <w:t>(Negrillas y subrayado fuera del texto original)</w:t>
      </w:r>
    </w:p>
    <w:p w14:paraId="6BC9E763" w14:textId="77777777" w:rsidR="00E743C9" w:rsidRDefault="00E743C9" w:rsidP="00037D51">
      <w:pPr>
        <w:spacing w:line="312" w:lineRule="auto"/>
        <w:jc w:val="both"/>
        <w:rPr>
          <w:rFonts w:ascii="Arial" w:eastAsia="Calibri" w:hAnsi="Arial" w:cs="Arial"/>
        </w:rPr>
      </w:pPr>
    </w:p>
    <w:p w14:paraId="19927769" w14:textId="7C5EC00D" w:rsidR="008406BA" w:rsidRDefault="00E743C9" w:rsidP="00037D51">
      <w:pPr>
        <w:spacing w:line="312" w:lineRule="auto"/>
        <w:jc w:val="both"/>
        <w:rPr>
          <w:rFonts w:ascii="Arial" w:eastAsia="Calibri" w:hAnsi="Arial" w:cs="Arial"/>
        </w:rPr>
      </w:pPr>
      <w:r>
        <w:rPr>
          <w:rFonts w:ascii="Arial" w:eastAsia="Calibri" w:hAnsi="Arial" w:cs="Arial"/>
        </w:rPr>
        <w:t xml:space="preserve">Dicho lo cual, es claro que </w:t>
      </w:r>
      <w:r w:rsidR="000D14D2">
        <w:rPr>
          <w:rFonts w:ascii="Arial" w:eastAsia="Calibri" w:hAnsi="Arial" w:cs="Arial"/>
        </w:rPr>
        <w:t>nos</w:t>
      </w:r>
      <w:r>
        <w:rPr>
          <w:rFonts w:ascii="Arial" w:eastAsia="Calibri" w:hAnsi="Arial" w:cs="Arial"/>
        </w:rPr>
        <w:t xml:space="preserve"> encontrarnos en un caso en el que </w:t>
      </w:r>
      <w:r w:rsidR="000D14D2">
        <w:rPr>
          <w:rFonts w:ascii="Arial" w:eastAsia="Calibri" w:hAnsi="Arial" w:cs="Arial"/>
        </w:rPr>
        <w:t xml:space="preserve">no era posible, por expresa prohibición legal, </w:t>
      </w:r>
      <w:r w:rsidR="002343AB">
        <w:rPr>
          <w:rFonts w:ascii="Arial" w:eastAsia="Calibri" w:hAnsi="Arial" w:cs="Arial"/>
        </w:rPr>
        <w:t xml:space="preserve">pactarse clausulas o estipulaciones excepcionales, entiéndase las de aplicación unilateral. </w:t>
      </w:r>
      <w:r w:rsidR="008406BA">
        <w:rPr>
          <w:rFonts w:ascii="Arial" w:eastAsia="Calibri" w:hAnsi="Arial" w:cs="Arial"/>
        </w:rPr>
        <w:t>Corolario de lo cual es menester traer a colación el concepto ibidem</w:t>
      </w:r>
      <w:r w:rsidR="00A15041">
        <w:rPr>
          <w:rFonts w:ascii="Arial" w:eastAsia="Calibri" w:hAnsi="Arial" w:cs="Arial"/>
        </w:rPr>
        <w:t>,</w:t>
      </w:r>
      <w:r w:rsidR="008406BA">
        <w:rPr>
          <w:rFonts w:ascii="Arial" w:eastAsia="Calibri" w:hAnsi="Arial" w:cs="Arial"/>
        </w:rPr>
        <w:t xml:space="preserve"> </w:t>
      </w:r>
      <w:r w:rsidR="00A15041">
        <w:rPr>
          <w:rFonts w:ascii="Arial" w:eastAsia="Calibri" w:hAnsi="Arial" w:cs="Arial"/>
        </w:rPr>
        <w:t>el cual</w:t>
      </w:r>
      <w:r w:rsidR="008406BA">
        <w:rPr>
          <w:rFonts w:ascii="Arial" w:eastAsia="Calibri" w:hAnsi="Arial" w:cs="Arial"/>
        </w:rPr>
        <w:t xml:space="preserve"> explica de manera clara que:</w:t>
      </w:r>
    </w:p>
    <w:p w14:paraId="3065128A" w14:textId="77777777" w:rsidR="008406BA" w:rsidRDefault="008406BA" w:rsidP="00037D51">
      <w:pPr>
        <w:spacing w:line="312" w:lineRule="auto"/>
        <w:jc w:val="both"/>
        <w:rPr>
          <w:rFonts w:ascii="Arial" w:eastAsia="Calibri" w:hAnsi="Arial" w:cs="Arial"/>
        </w:rPr>
      </w:pPr>
    </w:p>
    <w:p w14:paraId="33B54044" w14:textId="77777777" w:rsidR="008B2EEF" w:rsidRDefault="008406BA" w:rsidP="008406BA">
      <w:pPr>
        <w:spacing w:line="312" w:lineRule="auto"/>
        <w:ind w:left="567" w:right="567"/>
        <w:jc w:val="both"/>
        <w:rPr>
          <w:rFonts w:ascii="Arial" w:eastAsia="Calibri" w:hAnsi="Arial" w:cs="Arial"/>
          <w:i/>
          <w:iCs/>
          <w:sz w:val="20"/>
          <w:szCs w:val="20"/>
        </w:rPr>
      </w:pPr>
      <w:r>
        <w:rPr>
          <w:rFonts w:ascii="Arial" w:eastAsia="Calibri" w:hAnsi="Arial" w:cs="Arial"/>
          <w:i/>
          <w:iCs/>
          <w:sz w:val="20"/>
          <w:szCs w:val="20"/>
        </w:rPr>
        <w:t xml:space="preserve">(…) </w:t>
      </w:r>
      <w:r w:rsidRPr="008406BA">
        <w:rPr>
          <w:rFonts w:ascii="Arial" w:eastAsia="Calibri" w:hAnsi="Arial" w:cs="Arial"/>
          <w:i/>
          <w:iCs/>
          <w:sz w:val="20"/>
          <w:szCs w:val="20"/>
        </w:rPr>
        <w:t xml:space="preserve">históricamente, según la comprensión de un sector de la doctrina y la jurisprudencia, se consideró que la restricción del artículo 14 de la Ley 80 de 1993 de pactar cláusulas excepcionales y ejercer las potestades derivadas de las mismas, abarcaba no solo las referidas en el texto del citado artículo, sino la declaratoria de incumplimiento para hacer efectiva la cláusula penal, la liquidación unilateral y la imposición de multas, entre otras; mientras, otro sector sostuvo que la cláusula penal y las multas no son cláusulas excepcionales y, por lo mismo, estaban excluidas de la prohibición contenida en el artículo 14 de la Ley 80, razón por la cual su estipulación y aplicación se regía por las normas del derecho privado y, por tanto, no podían hacerse efectivas unilateralmente mediante acto administrativo, “salvo que se haya pactado expresamente entre las partes esa posibilidad”. Menciona que, una tercera posición sobre la </w:t>
      </w:r>
      <w:r w:rsidR="00A15041" w:rsidRPr="008406BA">
        <w:rPr>
          <w:rFonts w:ascii="Arial" w:eastAsia="Calibri" w:hAnsi="Arial" w:cs="Arial"/>
          <w:i/>
          <w:iCs/>
          <w:sz w:val="20"/>
          <w:szCs w:val="20"/>
        </w:rPr>
        <w:t>materia</w:t>
      </w:r>
      <w:r w:rsidRPr="008406BA">
        <w:rPr>
          <w:rFonts w:ascii="Arial" w:eastAsia="Calibri" w:hAnsi="Arial" w:cs="Arial"/>
          <w:i/>
          <w:iCs/>
          <w:sz w:val="20"/>
          <w:szCs w:val="20"/>
        </w:rPr>
        <w:t xml:space="preserve"> coincide en que la cláusula penal y las multas se rigen por el derecho privado pero su efectividad solo podría exigirse ante el juez del contrato, tal como lo señaló la Sección Tercera del Consejo de Estado en la Sentencia de 20 de octubre de 2005, expediente 14.579. </w:t>
      </w:r>
    </w:p>
    <w:p w14:paraId="06E1EFCD" w14:textId="77777777" w:rsidR="008B2EEF" w:rsidRDefault="008B2EEF" w:rsidP="008406BA">
      <w:pPr>
        <w:spacing w:line="312" w:lineRule="auto"/>
        <w:ind w:left="567" w:right="567"/>
        <w:jc w:val="both"/>
        <w:rPr>
          <w:rFonts w:ascii="Arial" w:eastAsia="Calibri" w:hAnsi="Arial" w:cs="Arial"/>
          <w:i/>
          <w:iCs/>
          <w:sz w:val="20"/>
          <w:szCs w:val="20"/>
        </w:rPr>
      </w:pPr>
    </w:p>
    <w:p w14:paraId="07BD4B7D" w14:textId="77777777" w:rsidR="008B2EEF" w:rsidRDefault="008B2EEF" w:rsidP="008406BA">
      <w:pPr>
        <w:spacing w:line="312" w:lineRule="auto"/>
        <w:ind w:left="567" w:right="567"/>
        <w:jc w:val="both"/>
        <w:rPr>
          <w:rFonts w:ascii="Arial" w:eastAsia="Calibri" w:hAnsi="Arial" w:cs="Arial"/>
          <w:i/>
          <w:iCs/>
          <w:sz w:val="20"/>
          <w:szCs w:val="20"/>
        </w:rPr>
      </w:pPr>
      <w:r>
        <w:rPr>
          <w:rFonts w:ascii="Arial" w:eastAsia="Calibri" w:hAnsi="Arial" w:cs="Arial"/>
          <w:i/>
          <w:iCs/>
          <w:sz w:val="20"/>
          <w:szCs w:val="20"/>
        </w:rPr>
        <w:t>(…)</w:t>
      </w:r>
    </w:p>
    <w:p w14:paraId="6B25D587" w14:textId="77777777" w:rsidR="008B2EEF" w:rsidRDefault="008B2EEF" w:rsidP="008406BA">
      <w:pPr>
        <w:spacing w:line="312" w:lineRule="auto"/>
        <w:ind w:left="567" w:right="567"/>
        <w:jc w:val="both"/>
        <w:rPr>
          <w:rFonts w:ascii="Arial" w:eastAsia="Calibri" w:hAnsi="Arial" w:cs="Arial"/>
          <w:i/>
          <w:iCs/>
          <w:sz w:val="20"/>
          <w:szCs w:val="20"/>
        </w:rPr>
      </w:pPr>
    </w:p>
    <w:p w14:paraId="1CCF455C" w14:textId="7E2C769A" w:rsidR="00E743C9" w:rsidRPr="008B2EEF" w:rsidRDefault="008B2EEF" w:rsidP="008406BA">
      <w:pPr>
        <w:spacing w:line="312" w:lineRule="auto"/>
        <w:ind w:left="567" w:right="567"/>
        <w:jc w:val="both"/>
        <w:rPr>
          <w:rFonts w:ascii="Arial" w:eastAsia="Calibri" w:hAnsi="Arial" w:cs="Arial"/>
          <w:i/>
          <w:iCs/>
          <w:sz w:val="18"/>
          <w:szCs w:val="18"/>
        </w:rPr>
      </w:pPr>
      <w:r w:rsidRPr="008B2EEF">
        <w:rPr>
          <w:rFonts w:ascii="Arial" w:hAnsi="Arial" w:cs="Arial"/>
          <w:i/>
          <w:iCs/>
          <w:sz w:val="20"/>
          <w:szCs w:val="20"/>
        </w:rPr>
        <w:t xml:space="preserve">Si bien las obligaciones que surgen de los contratos y convenios son vinculantes, los medios con los que se cuenta para hacerlas efectivas difieren, en la medida en que </w:t>
      </w:r>
      <w:r w:rsidRPr="008B2EEF">
        <w:rPr>
          <w:rFonts w:ascii="Arial" w:hAnsi="Arial" w:cs="Arial"/>
          <w:b/>
          <w:bCs/>
          <w:i/>
          <w:iCs/>
          <w:sz w:val="20"/>
          <w:szCs w:val="20"/>
          <w:u w:val="single"/>
        </w:rPr>
        <w:t>en los convenios, en virtud del plano de igualdad en que se ejecutan, no pueden existir cláusulas excepcionales al derecho común (artículo 14 parágrafo, Ley 80 de 1993), ni potestades unilaterales para una de las partes</w:t>
      </w:r>
      <w:r w:rsidRPr="008B2EEF">
        <w:rPr>
          <w:rFonts w:ascii="Arial" w:hAnsi="Arial" w:cs="Arial"/>
          <w:i/>
          <w:iCs/>
          <w:sz w:val="20"/>
          <w:szCs w:val="20"/>
        </w:rPr>
        <w:t>, mientras que en los contratos, dado el ámbito de subordinación, no puede descartarse prima facie el ejercicio de potestades autorizadas por la ley a favor de la entidad estatal contratante.</w:t>
      </w:r>
      <w:r w:rsidR="000D14D2" w:rsidRPr="008B2EEF">
        <w:rPr>
          <w:rFonts w:ascii="Arial" w:eastAsia="Calibri" w:hAnsi="Arial" w:cs="Arial"/>
          <w:i/>
          <w:iCs/>
          <w:sz w:val="18"/>
          <w:szCs w:val="18"/>
        </w:rPr>
        <w:t xml:space="preserve"> </w:t>
      </w:r>
      <w:r>
        <w:rPr>
          <w:rFonts w:ascii="Arial" w:eastAsia="Calibri" w:hAnsi="Arial" w:cs="Arial"/>
          <w:sz w:val="20"/>
          <w:szCs w:val="20"/>
        </w:rPr>
        <w:t>(Negrillas y subrayado fuera del texto original)</w:t>
      </w:r>
    </w:p>
    <w:p w14:paraId="08D22A25" w14:textId="77777777" w:rsidR="00BB2275" w:rsidRDefault="00BB2275" w:rsidP="00037D51">
      <w:pPr>
        <w:spacing w:line="312" w:lineRule="auto"/>
        <w:jc w:val="both"/>
        <w:rPr>
          <w:rFonts w:ascii="Arial" w:eastAsia="Calibri" w:hAnsi="Arial" w:cs="Arial"/>
        </w:rPr>
      </w:pPr>
    </w:p>
    <w:p w14:paraId="61E463C8" w14:textId="77777777" w:rsidR="00DB2730" w:rsidRDefault="008406BA" w:rsidP="00037D51">
      <w:pPr>
        <w:spacing w:line="312" w:lineRule="auto"/>
        <w:jc w:val="both"/>
        <w:rPr>
          <w:rFonts w:ascii="Arial" w:eastAsia="Calibri" w:hAnsi="Arial" w:cs="Arial"/>
        </w:rPr>
      </w:pPr>
      <w:r>
        <w:rPr>
          <w:rFonts w:ascii="Arial" w:eastAsia="Calibri" w:hAnsi="Arial" w:cs="Arial"/>
        </w:rPr>
        <w:t>Lo cual indica</w:t>
      </w:r>
      <w:r w:rsidR="00A15041">
        <w:rPr>
          <w:rFonts w:ascii="Arial" w:eastAsia="Calibri" w:hAnsi="Arial" w:cs="Arial"/>
        </w:rPr>
        <w:t xml:space="preserve"> que</w:t>
      </w:r>
      <w:r w:rsidR="00F908A0">
        <w:rPr>
          <w:rFonts w:ascii="Arial" w:eastAsia="Calibri" w:hAnsi="Arial" w:cs="Arial"/>
        </w:rPr>
        <w:t xml:space="preserve"> </w:t>
      </w:r>
      <w:r w:rsidR="00A15041">
        <w:rPr>
          <w:rFonts w:ascii="Arial" w:eastAsia="Calibri" w:hAnsi="Arial" w:cs="Arial"/>
        </w:rPr>
        <w:t xml:space="preserve">el despacho </w:t>
      </w:r>
      <w:r w:rsidR="00F908A0">
        <w:rPr>
          <w:rFonts w:ascii="Arial" w:eastAsia="Calibri" w:hAnsi="Arial" w:cs="Arial"/>
        </w:rPr>
        <w:t>no advirtió que en</w:t>
      </w:r>
      <w:r w:rsidR="00A6648D">
        <w:rPr>
          <w:rFonts w:ascii="Arial" w:eastAsia="Calibri" w:hAnsi="Arial" w:cs="Arial"/>
        </w:rPr>
        <w:t xml:space="preserve"> el</w:t>
      </w:r>
      <w:r w:rsidR="00F908A0">
        <w:rPr>
          <w:rFonts w:ascii="Arial" w:eastAsia="Calibri" w:hAnsi="Arial" w:cs="Arial"/>
        </w:rPr>
        <w:t xml:space="preserve"> caso </w:t>
      </w:r>
      <w:r w:rsidR="00A6648D">
        <w:rPr>
          <w:rFonts w:ascii="Arial" w:eastAsia="Calibri" w:hAnsi="Arial" w:cs="Arial"/>
        </w:rPr>
        <w:t xml:space="preserve">de marras el ente territorial </w:t>
      </w:r>
      <w:r w:rsidR="00F908A0">
        <w:rPr>
          <w:rFonts w:ascii="Arial" w:eastAsia="Calibri" w:hAnsi="Arial" w:cs="Arial"/>
        </w:rPr>
        <w:t xml:space="preserve">no podía </w:t>
      </w:r>
      <w:r w:rsidR="00A6648D">
        <w:rPr>
          <w:rFonts w:ascii="Arial" w:eastAsia="Calibri" w:hAnsi="Arial" w:cs="Arial"/>
        </w:rPr>
        <w:t>incluir</w:t>
      </w:r>
      <w:r w:rsidR="00F908A0">
        <w:rPr>
          <w:rFonts w:ascii="Arial" w:eastAsia="Calibri" w:hAnsi="Arial" w:cs="Arial"/>
        </w:rPr>
        <w:t xml:space="preserve"> </w:t>
      </w:r>
      <w:r w:rsidR="00A15041">
        <w:rPr>
          <w:rFonts w:ascii="Arial" w:eastAsia="Calibri" w:hAnsi="Arial" w:cs="Arial"/>
        </w:rPr>
        <w:t xml:space="preserve">cláusulas excepcionales </w:t>
      </w:r>
      <w:r w:rsidR="00A6648D">
        <w:rPr>
          <w:rFonts w:ascii="Arial" w:eastAsia="Calibri" w:hAnsi="Arial" w:cs="Arial"/>
        </w:rPr>
        <w:t xml:space="preserve">en el convenio, </w:t>
      </w:r>
      <w:r w:rsidR="00F908A0">
        <w:rPr>
          <w:rFonts w:ascii="Arial" w:eastAsia="Calibri" w:hAnsi="Arial" w:cs="Arial"/>
        </w:rPr>
        <w:t>y en suplemento de ello, para poder ejercer</w:t>
      </w:r>
      <w:r w:rsidR="00A15041">
        <w:rPr>
          <w:rFonts w:ascii="Arial" w:eastAsia="Calibri" w:hAnsi="Arial" w:cs="Arial"/>
        </w:rPr>
        <w:t xml:space="preserve"> potestades excepcionales</w:t>
      </w:r>
      <w:r w:rsidR="00F908A0">
        <w:rPr>
          <w:rFonts w:ascii="Arial" w:eastAsia="Calibri" w:hAnsi="Arial" w:cs="Arial"/>
        </w:rPr>
        <w:t xml:space="preserve"> -como finalmente </w:t>
      </w:r>
      <w:r w:rsidR="00A6648D">
        <w:rPr>
          <w:rFonts w:ascii="Arial" w:eastAsia="Calibri" w:hAnsi="Arial" w:cs="Arial"/>
        </w:rPr>
        <w:t>lo</w:t>
      </w:r>
      <w:r w:rsidR="00F908A0">
        <w:rPr>
          <w:rFonts w:ascii="Arial" w:eastAsia="Calibri" w:hAnsi="Arial" w:cs="Arial"/>
        </w:rPr>
        <w:t xml:space="preserve"> hizo- las mismas debían pactarse expresamente</w:t>
      </w:r>
      <w:r w:rsidR="00A15041">
        <w:rPr>
          <w:rFonts w:ascii="Arial" w:eastAsia="Calibri" w:hAnsi="Arial" w:cs="Arial"/>
        </w:rPr>
        <w:t xml:space="preserve">, </w:t>
      </w:r>
      <w:r w:rsidR="009F6CFC">
        <w:rPr>
          <w:rFonts w:ascii="Arial" w:eastAsia="Calibri" w:hAnsi="Arial" w:cs="Arial"/>
        </w:rPr>
        <w:t>omisión</w:t>
      </w:r>
      <w:r w:rsidR="00F908A0">
        <w:rPr>
          <w:rFonts w:ascii="Arial" w:eastAsia="Calibri" w:hAnsi="Arial" w:cs="Arial"/>
        </w:rPr>
        <w:t xml:space="preserve"> </w:t>
      </w:r>
      <w:r w:rsidR="009F6CFC">
        <w:rPr>
          <w:rFonts w:ascii="Arial" w:eastAsia="Calibri" w:hAnsi="Arial" w:cs="Arial"/>
        </w:rPr>
        <w:t>que</w:t>
      </w:r>
      <w:r w:rsidR="00F908A0">
        <w:rPr>
          <w:rFonts w:ascii="Arial" w:eastAsia="Calibri" w:hAnsi="Arial" w:cs="Arial"/>
        </w:rPr>
        <w:t xml:space="preserve"> constituye un error de fondo en la decisión que nos ocupa, porque para el efecto,</w:t>
      </w:r>
      <w:r w:rsidR="00A15041">
        <w:rPr>
          <w:rFonts w:ascii="Arial" w:eastAsia="Calibri" w:hAnsi="Arial" w:cs="Arial"/>
        </w:rPr>
        <w:t xml:space="preserve"> ninguna </w:t>
      </w:r>
      <w:r w:rsidR="00F908A0">
        <w:rPr>
          <w:rFonts w:ascii="Arial" w:eastAsia="Calibri" w:hAnsi="Arial" w:cs="Arial"/>
        </w:rPr>
        <w:t xml:space="preserve">de las dos posibilidades </w:t>
      </w:r>
      <w:r w:rsidR="00A15041">
        <w:rPr>
          <w:rFonts w:ascii="Arial" w:eastAsia="Calibri" w:hAnsi="Arial" w:cs="Arial"/>
        </w:rPr>
        <w:t xml:space="preserve">era </w:t>
      </w:r>
      <w:r w:rsidR="00F908A0">
        <w:rPr>
          <w:rFonts w:ascii="Arial" w:eastAsia="Calibri" w:hAnsi="Arial" w:cs="Arial"/>
        </w:rPr>
        <w:t>válida</w:t>
      </w:r>
      <w:r w:rsidR="00A15041">
        <w:rPr>
          <w:rFonts w:ascii="Arial" w:eastAsia="Calibri" w:hAnsi="Arial" w:cs="Arial"/>
        </w:rPr>
        <w:t xml:space="preserve">, las primeras porque expresamente la ley las prohíbe para los </w:t>
      </w:r>
      <w:r w:rsidR="00F908A0">
        <w:rPr>
          <w:rFonts w:ascii="Arial" w:eastAsia="Calibri" w:hAnsi="Arial" w:cs="Arial"/>
        </w:rPr>
        <w:t xml:space="preserve">asuntos </w:t>
      </w:r>
      <w:r w:rsidR="00A15041">
        <w:rPr>
          <w:rFonts w:ascii="Arial" w:eastAsia="Calibri" w:hAnsi="Arial" w:cs="Arial"/>
        </w:rPr>
        <w:t>negoci</w:t>
      </w:r>
      <w:r w:rsidR="00F908A0">
        <w:rPr>
          <w:rFonts w:ascii="Arial" w:eastAsia="Calibri" w:hAnsi="Arial" w:cs="Arial"/>
        </w:rPr>
        <w:t>ales</w:t>
      </w:r>
      <w:r w:rsidR="00A15041">
        <w:rPr>
          <w:rFonts w:ascii="Arial" w:eastAsia="Calibri" w:hAnsi="Arial" w:cs="Arial"/>
        </w:rPr>
        <w:t xml:space="preserve"> interadministrativos como los convenios, y las segundas porque debían pactarse </w:t>
      </w:r>
      <w:r w:rsidR="00A15041">
        <w:rPr>
          <w:rFonts w:ascii="Arial" w:eastAsia="Calibri" w:hAnsi="Arial" w:cs="Arial"/>
        </w:rPr>
        <w:lastRenderedPageBreak/>
        <w:t xml:space="preserve">expresamente, y ello no se da. </w:t>
      </w:r>
    </w:p>
    <w:p w14:paraId="2C317413" w14:textId="77777777" w:rsidR="00DB2730" w:rsidRDefault="00DB2730" w:rsidP="00037D51">
      <w:pPr>
        <w:spacing w:line="312" w:lineRule="auto"/>
        <w:jc w:val="both"/>
        <w:rPr>
          <w:rFonts w:ascii="Arial" w:eastAsia="Calibri" w:hAnsi="Arial" w:cs="Arial"/>
        </w:rPr>
      </w:pPr>
    </w:p>
    <w:p w14:paraId="11239364" w14:textId="3DD9EEFE" w:rsidR="00BB2275" w:rsidRDefault="00A15041" w:rsidP="00037D51">
      <w:pPr>
        <w:spacing w:line="312" w:lineRule="auto"/>
        <w:jc w:val="both"/>
        <w:rPr>
          <w:rFonts w:ascii="Arial" w:eastAsia="Calibri" w:hAnsi="Arial" w:cs="Arial"/>
        </w:rPr>
      </w:pPr>
      <w:r>
        <w:rPr>
          <w:rFonts w:ascii="Arial" w:eastAsia="Calibri" w:hAnsi="Arial" w:cs="Arial"/>
        </w:rPr>
        <w:t xml:space="preserve">Véase que </w:t>
      </w:r>
      <w:r w:rsidR="00E371A2">
        <w:rPr>
          <w:rFonts w:ascii="Arial" w:eastAsia="Calibri" w:hAnsi="Arial" w:cs="Arial"/>
        </w:rPr>
        <w:t>el único pacto relacionado a la liquidación del contrato se da en la cláusula décimo primera, en la que</w:t>
      </w:r>
      <w:r w:rsidR="00F908A0">
        <w:rPr>
          <w:rFonts w:ascii="Arial" w:eastAsia="Calibri" w:hAnsi="Arial" w:cs="Arial"/>
        </w:rPr>
        <w:t xml:space="preserve"> lo único -válido</w:t>
      </w:r>
      <w:r w:rsidR="00D119C8">
        <w:rPr>
          <w:rStyle w:val="Refdenotaalpie"/>
          <w:rFonts w:ascii="Arial" w:eastAsia="Calibri" w:hAnsi="Arial" w:cs="Arial"/>
        </w:rPr>
        <w:footnoteReference w:id="4"/>
      </w:r>
      <w:r w:rsidR="00F908A0">
        <w:rPr>
          <w:rFonts w:ascii="Arial" w:eastAsia="Calibri" w:hAnsi="Arial" w:cs="Arial"/>
        </w:rPr>
        <w:t>- que se</w:t>
      </w:r>
      <w:r w:rsidR="00E371A2">
        <w:rPr>
          <w:rFonts w:ascii="Arial" w:eastAsia="Calibri" w:hAnsi="Arial" w:cs="Arial"/>
        </w:rPr>
        <w:t xml:space="preserve"> </w:t>
      </w:r>
      <w:r w:rsidR="00F908A0">
        <w:rPr>
          <w:rFonts w:ascii="Arial" w:eastAsia="Calibri" w:hAnsi="Arial" w:cs="Arial"/>
        </w:rPr>
        <w:t>indica, es que la liquidación tendrá que hacerse conforme lo previsto en el artículo 11 de la Ley 1150 de 2007:</w:t>
      </w:r>
    </w:p>
    <w:p w14:paraId="2978AAB8" w14:textId="77777777" w:rsidR="00F908A0" w:rsidRDefault="00F908A0" w:rsidP="00037D51">
      <w:pPr>
        <w:spacing w:line="312" w:lineRule="auto"/>
        <w:jc w:val="both"/>
        <w:rPr>
          <w:rFonts w:ascii="Arial" w:eastAsia="Calibri" w:hAnsi="Arial" w:cs="Arial"/>
        </w:rPr>
      </w:pPr>
    </w:p>
    <w:p w14:paraId="701E6F49" w14:textId="0F279F0B" w:rsidR="00F908A0" w:rsidRDefault="00F908A0" w:rsidP="00037D51">
      <w:pPr>
        <w:spacing w:line="312" w:lineRule="auto"/>
        <w:jc w:val="both"/>
        <w:rPr>
          <w:rFonts w:ascii="Arial" w:eastAsia="Calibri" w:hAnsi="Arial" w:cs="Arial"/>
        </w:rPr>
      </w:pPr>
      <w:r w:rsidRPr="00F908A0">
        <w:rPr>
          <w:rFonts w:ascii="Arial" w:eastAsia="Calibri" w:hAnsi="Arial" w:cs="Arial"/>
          <w:noProof/>
          <w:lang w:val="es-CO" w:eastAsia="es-CO"/>
        </w:rPr>
        <w:drawing>
          <wp:inline distT="0" distB="0" distL="0" distR="0" wp14:anchorId="7E0D2636" wp14:editId="59A3B424">
            <wp:extent cx="6116320" cy="1403985"/>
            <wp:effectExtent l="0" t="0" r="0" b="5715"/>
            <wp:docPr id="26978652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86529" name="Imagen 1" descr="Texto&#10;&#10;Descripción generada automáticamente"/>
                    <pic:cNvPicPr/>
                  </pic:nvPicPr>
                  <pic:blipFill>
                    <a:blip r:embed="rId11"/>
                    <a:stretch>
                      <a:fillRect/>
                    </a:stretch>
                  </pic:blipFill>
                  <pic:spPr>
                    <a:xfrm>
                      <a:off x="0" y="0"/>
                      <a:ext cx="6116320" cy="1403985"/>
                    </a:xfrm>
                    <a:prstGeom prst="rect">
                      <a:avLst/>
                    </a:prstGeom>
                  </pic:spPr>
                </pic:pic>
              </a:graphicData>
            </a:graphic>
          </wp:inline>
        </w:drawing>
      </w:r>
    </w:p>
    <w:p w14:paraId="189666C3" w14:textId="77777777" w:rsidR="00A14D2A" w:rsidRDefault="00A14D2A" w:rsidP="00037D51">
      <w:pPr>
        <w:spacing w:line="312" w:lineRule="auto"/>
        <w:jc w:val="both"/>
        <w:rPr>
          <w:rFonts w:ascii="Arial" w:eastAsia="Calibri" w:hAnsi="Arial" w:cs="Arial"/>
        </w:rPr>
      </w:pPr>
    </w:p>
    <w:p w14:paraId="052F970F" w14:textId="4CAB39A7" w:rsidR="00EB51BA" w:rsidRDefault="00F908A0" w:rsidP="00037D51">
      <w:pPr>
        <w:spacing w:line="312" w:lineRule="auto"/>
        <w:jc w:val="both"/>
        <w:rPr>
          <w:rFonts w:ascii="Arial" w:eastAsia="Calibri" w:hAnsi="Arial" w:cs="Arial"/>
        </w:rPr>
      </w:pPr>
      <w:r>
        <w:rPr>
          <w:rFonts w:ascii="Arial" w:eastAsia="Calibri" w:hAnsi="Arial" w:cs="Arial"/>
        </w:rPr>
        <w:t xml:space="preserve">De dicho contenido se extrae claramente que, en primer </w:t>
      </w:r>
      <w:r w:rsidR="009D1C2E">
        <w:rPr>
          <w:rFonts w:ascii="Arial" w:eastAsia="Calibri" w:hAnsi="Arial" w:cs="Arial"/>
        </w:rPr>
        <w:t>lugar,</w:t>
      </w:r>
      <w:r>
        <w:rPr>
          <w:rFonts w:ascii="Arial" w:eastAsia="Calibri" w:hAnsi="Arial" w:cs="Arial"/>
        </w:rPr>
        <w:t xml:space="preserve"> se hace mención </w:t>
      </w:r>
      <w:proofErr w:type="gramStart"/>
      <w:r>
        <w:rPr>
          <w:rFonts w:ascii="Arial" w:eastAsia="Calibri" w:hAnsi="Arial" w:cs="Arial"/>
        </w:rPr>
        <w:t>a</w:t>
      </w:r>
      <w:proofErr w:type="gramEnd"/>
      <w:r>
        <w:rPr>
          <w:rFonts w:ascii="Arial" w:eastAsia="Calibri" w:hAnsi="Arial" w:cs="Arial"/>
        </w:rPr>
        <w:t xml:space="preserve"> facultades exorbitantes prohibidas para este tipo de acuerdos</w:t>
      </w:r>
      <w:r w:rsidR="00F048BB">
        <w:rPr>
          <w:rFonts w:ascii="Arial" w:eastAsia="Calibri" w:hAnsi="Arial" w:cs="Arial"/>
        </w:rPr>
        <w:t xml:space="preserve"> (terminación unilateral y la declaración de caducidad) y en segundo lugar que</w:t>
      </w:r>
      <w:r>
        <w:rPr>
          <w:rFonts w:ascii="Arial" w:eastAsia="Calibri" w:hAnsi="Arial" w:cs="Arial"/>
        </w:rPr>
        <w:t xml:space="preserve"> no </w:t>
      </w:r>
      <w:r w:rsidR="00D119C8">
        <w:rPr>
          <w:rFonts w:ascii="Arial" w:eastAsia="Calibri" w:hAnsi="Arial" w:cs="Arial"/>
        </w:rPr>
        <w:t xml:space="preserve">se </w:t>
      </w:r>
      <w:r>
        <w:rPr>
          <w:rFonts w:ascii="Arial" w:eastAsia="Calibri" w:hAnsi="Arial" w:cs="Arial"/>
        </w:rPr>
        <w:t xml:space="preserve">pactó que la entidad tuviese la posibilidad de ejercer potestades excepcionales </w:t>
      </w:r>
      <w:r w:rsidR="00884F52">
        <w:rPr>
          <w:rFonts w:ascii="Arial" w:eastAsia="Calibri" w:hAnsi="Arial" w:cs="Arial"/>
        </w:rPr>
        <w:t>-</w:t>
      </w:r>
      <w:r w:rsidR="00F048BB">
        <w:rPr>
          <w:rFonts w:ascii="Arial" w:eastAsia="Calibri" w:hAnsi="Arial" w:cs="Arial"/>
        </w:rPr>
        <w:t>verbigracia liquidación unilateral, declaración unilateral de la ocurrencia del siniestro de incumplimiento y el hacer efectiva de manera unilateral la cláusula penal</w:t>
      </w:r>
      <w:r w:rsidR="00884F52">
        <w:rPr>
          <w:rFonts w:ascii="Arial" w:eastAsia="Calibri" w:hAnsi="Arial" w:cs="Arial"/>
        </w:rPr>
        <w:t>-</w:t>
      </w:r>
      <w:r w:rsidR="00F048BB">
        <w:rPr>
          <w:rFonts w:ascii="Arial" w:eastAsia="Calibri" w:hAnsi="Arial" w:cs="Arial"/>
        </w:rPr>
        <w:t>. Todo lo anterior implica que</w:t>
      </w:r>
      <w:r w:rsidR="009D1C2E">
        <w:rPr>
          <w:rFonts w:ascii="Arial" w:eastAsia="Calibri" w:hAnsi="Arial" w:cs="Arial"/>
        </w:rPr>
        <w:t xml:space="preserve"> estás últimas acciones </w:t>
      </w:r>
      <w:r w:rsidR="006C4867">
        <w:rPr>
          <w:rFonts w:ascii="Arial" w:eastAsia="Calibri" w:hAnsi="Arial" w:cs="Arial"/>
        </w:rPr>
        <w:t>debían ser</w:t>
      </w:r>
      <w:r w:rsidR="009D1C2E">
        <w:rPr>
          <w:rFonts w:ascii="Arial" w:eastAsia="Calibri" w:hAnsi="Arial" w:cs="Arial"/>
        </w:rPr>
        <w:t xml:space="preserve"> declara</w:t>
      </w:r>
      <w:r w:rsidR="006C4867">
        <w:rPr>
          <w:rFonts w:ascii="Arial" w:eastAsia="Calibri" w:hAnsi="Arial" w:cs="Arial"/>
        </w:rPr>
        <w:t>das</w:t>
      </w:r>
      <w:r w:rsidR="009D1C2E">
        <w:rPr>
          <w:rFonts w:ascii="Arial" w:eastAsia="Calibri" w:hAnsi="Arial" w:cs="Arial"/>
        </w:rPr>
        <w:t xml:space="preserve"> </w:t>
      </w:r>
      <w:r w:rsidR="006C4867">
        <w:rPr>
          <w:rFonts w:ascii="Arial" w:eastAsia="Calibri" w:hAnsi="Arial" w:cs="Arial"/>
        </w:rPr>
        <w:t>por el</w:t>
      </w:r>
      <w:r w:rsidR="009D1C2E">
        <w:rPr>
          <w:rFonts w:ascii="Arial" w:eastAsia="Calibri" w:hAnsi="Arial" w:cs="Arial"/>
        </w:rPr>
        <w:t xml:space="preserve"> juez del contrato, </w:t>
      </w:r>
      <w:r w:rsidR="001C69AB">
        <w:rPr>
          <w:rFonts w:ascii="Arial" w:eastAsia="Calibri" w:hAnsi="Arial" w:cs="Arial"/>
        </w:rPr>
        <w:t xml:space="preserve">y por tanto </w:t>
      </w:r>
      <w:r w:rsidR="009D1C2E">
        <w:rPr>
          <w:rFonts w:ascii="Arial" w:eastAsia="Calibri" w:hAnsi="Arial" w:cs="Arial"/>
        </w:rPr>
        <w:t xml:space="preserve">no </w:t>
      </w:r>
      <w:r w:rsidR="001C69AB">
        <w:rPr>
          <w:rFonts w:ascii="Arial" w:eastAsia="Calibri" w:hAnsi="Arial" w:cs="Arial"/>
        </w:rPr>
        <w:t xml:space="preserve">le correspondía tal facultad </w:t>
      </w:r>
      <w:r w:rsidR="009D1C2E">
        <w:rPr>
          <w:rFonts w:ascii="Arial" w:eastAsia="Calibri" w:hAnsi="Arial" w:cs="Arial"/>
        </w:rPr>
        <w:t>a la entidad</w:t>
      </w:r>
      <w:r w:rsidR="003D65D2">
        <w:rPr>
          <w:rFonts w:ascii="Arial" w:eastAsia="Calibri" w:hAnsi="Arial" w:cs="Arial"/>
        </w:rPr>
        <w:t>,</w:t>
      </w:r>
      <w:r w:rsidR="009D1C2E">
        <w:rPr>
          <w:rFonts w:ascii="Arial" w:eastAsia="Calibri" w:hAnsi="Arial" w:cs="Arial"/>
        </w:rPr>
        <w:t xml:space="preserve"> porque </w:t>
      </w:r>
      <w:r w:rsidR="00875FA2">
        <w:rPr>
          <w:rFonts w:ascii="Arial" w:eastAsia="Calibri" w:hAnsi="Arial" w:cs="Arial"/>
        </w:rPr>
        <w:t>ella no contaba con la</w:t>
      </w:r>
      <w:r w:rsidR="003D65D2">
        <w:rPr>
          <w:rFonts w:ascii="Arial" w:eastAsia="Calibri" w:hAnsi="Arial" w:cs="Arial"/>
        </w:rPr>
        <w:t xml:space="preserve"> atribución</w:t>
      </w:r>
      <w:r w:rsidR="00875FA2">
        <w:rPr>
          <w:rFonts w:ascii="Arial" w:eastAsia="Calibri" w:hAnsi="Arial" w:cs="Arial"/>
        </w:rPr>
        <w:t xml:space="preserve"> para ello, por expresa prohibición legal y por ausencia de </w:t>
      </w:r>
      <w:r w:rsidR="003D65D2">
        <w:rPr>
          <w:rFonts w:ascii="Arial" w:eastAsia="Calibri" w:hAnsi="Arial" w:cs="Arial"/>
        </w:rPr>
        <w:t>pacto</w:t>
      </w:r>
      <w:r w:rsidR="00875FA2">
        <w:rPr>
          <w:rFonts w:ascii="Arial" w:eastAsia="Calibri" w:hAnsi="Arial" w:cs="Arial"/>
        </w:rPr>
        <w:t xml:space="preserve"> contractual como ya se dejó en evidencia.</w:t>
      </w:r>
    </w:p>
    <w:p w14:paraId="676FE29D" w14:textId="77777777" w:rsidR="00FF2F9E" w:rsidRDefault="00FF2F9E" w:rsidP="00037D51">
      <w:pPr>
        <w:spacing w:line="312" w:lineRule="auto"/>
        <w:jc w:val="both"/>
        <w:rPr>
          <w:rFonts w:ascii="Arial" w:eastAsia="Calibri" w:hAnsi="Arial" w:cs="Arial"/>
        </w:rPr>
      </w:pPr>
    </w:p>
    <w:p w14:paraId="065A03A7" w14:textId="6CBF1520" w:rsidR="00EB51BA" w:rsidRDefault="00FF2F9E" w:rsidP="00037D51">
      <w:pPr>
        <w:spacing w:line="312" w:lineRule="auto"/>
        <w:jc w:val="both"/>
        <w:rPr>
          <w:rFonts w:ascii="Arial" w:eastAsia="Calibri" w:hAnsi="Arial" w:cs="Arial"/>
        </w:rPr>
      </w:pPr>
      <w:r>
        <w:rPr>
          <w:rFonts w:ascii="Arial" w:eastAsia="Calibri" w:hAnsi="Arial" w:cs="Arial"/>
        </w:rPr>
        <w:t xml:space="preserve">Ahora bien, como las anteriores precisiones recalan de manera directa y relevante en el punto uno de la decisión acerca de la competencia para liquidar el convenio, ha de decirse que todo aquel argumento también pierde sus bases, pues como resulta palmario de las consideraciones del despacho, éste utilizó el criterio de que no había pérdida de competencia para la liquidación </w:t>
      </w:r>
      <w:r w:rsidR="00A61328">
        <w:rPr>
          <w:rFonts w:ascii="Arial" w:eastAsia="Calibri" w:hAnsi="Arial" w:cs="Arial"/>
        </w:rPr>
        <w:t xml:space="preserve">sino extemporaneidad de ella, </w:t>
      </w:r>
      <w:r>
        <w:rPr>
          <w:rFonts w:ascii="Arial" w:eastAsia="Calibri" w:hAnsi="Arial" w:cs="Arial"/>
        </w:rPr>
        <w:t xml:space="preserve">porque </w:t>
      </w:r>
      <w:r w:rsidR="00A61328">
        <w:rPr>
          <w:rFonts w:ascii="Arial" w:eastAsia="Calibri" w:hAnsi="Arial" w:cs="Arial"/>
        </w:rPr>
        <w:t xml:space="preserve">en su criterio, aunque la liquidación se realizó vencidos los términos convencionales o supletorios, pero dentro del límite de los dos años que tiene la entidad para hacerlo unilateralmente, la misma se devenía en extemporánea y no en nula por falta de competencia, sin embargo como ya se explicó, la entidad, independientemente del criterio utilizado para el cálculo de términos convencionales o supletorios, no tenía la competencia para liquidar el convenio unilateralmente, ello le corresponde al juez del contrato, por lo tanto, </w:t>
      </w:r>
      <w:r w:rsidR="004F6018">
        <w:rPr>
          <w:rFonts w:ascii="Arial" w:eastAsia="Calibri" w:hAnsi="Arial" w:cs="Arial"/>
        </w:rPr>
        <w:t xml:space="preserve">la </w:t>
      </w:r>
      <w:r w:rsidR="00836F95" w:rsidRPr="00836F95">
        <w:rPr>
          <w:rFonts w:ascii="Arial" w:eastAsia="Calibri" w:hAnsi="Arial" w:cs="Arial"/>
        </w:rPr>
        <w:t xml:space="preserve">Resolución 465 de 14 de agosto de 2017 </w:t>
      </w:r>
      <w:r w:rsidR="00836F95">
        <w:rPr>
          <w:rFonts w:ascii="Arial" w:eastAsia="Calibri" w:hAnsi="Arial" w:cs="Arial"/>
        </w:rPr>
        <w:t xml:space="preserve">mediante la cual </w:t>
      </w:r>
      <w:r w:rsidR="00836F95" w:rsidRPr="00836F95">
        <w:rPr>
          <w:rFonts w:ascii="Arial" w:eastAsia="Calibri" w:hAnsi="Arial" w:cs="Arial"/>
        </w:rPr>
        <w:t>el Municipio de Bugalagrande liquidó unilateralmente el convenio interadministrativo de cooperación y construcción con la fundación amigos de Colombia FUNDACOL</w:t>
      </w:r>
      <w:r w:rsidR="00836F95">
        <w:rPr>
          <w:rFonts w:ascii="Arial" w:eastAsia="Calibri" w:hAnsi="Arial" w:cs="Arial"/>
        </w:rPr>
        <w:t xml:space="preserve">, </w:t>
      </w:r>
      <w:r w:rsidR="00836F95" w:rsidRPr="00836F95">
        <w:rPr>
          <w:rFonts w:ascii="Arial" w:eastAsia="Calibri" w:hAnsi="Arial" w:cs="Arial"/>
        </w:rPr>
        <w:t>declaró la ocurrencia del siniestro de incumplimiento y ordenó hacer efectivas la cláusula penal y la garantía No. 500-47-994000005451</w:t>
      </w:r>
      <w:r w:rsidR="00836F95">
        <w:rPr>
          <w:rFonts w:ascii="Arial" w:eastAsia="Calibri" w:hAnsi="Arial" w:cs="Arial"/>
        </w:rPr>
        <w:t>, estaba viciad</w:t>
      </w:r>
      <w:r w:rsidR="004F6018">
        <w:rPr>
          <w:rFonts w:ascii="Arial" w:eastAsia="Calibri" w:hAnsi="Arial" w:cs="Arial"/>
        </w:rPr>
        <w:t>a</w:t>
      </w:r>
      <w:r w:rsidR="00836F95">
        <w:rPr>
          <w:rFonts w:ascii="Arial" w:eastAsia="Calibri" w:hAnsi="Arial" w:cs="Arial"/>
        </w:rPr>
        <w:t xml:space="preserve"> de nulidad por haberse expedido con infracción de las normas en que debería fundarse.</w:t>
      </w:r>
    </w:p>
    <w:p w14:paraId="5B92693D" w14:textId="77777777" w:rsidR="00836F95" w:rsidRDefault="00836F95" w:rsidP="00037D51">
      <w:pPr>
        <w:spacing w:line="312" w:lineRule="auto"/>
        <w:jc w:val="both"/>
        <w:rPr>
          <w:rFonts w:ascii="Arial" w:eastAsia="Calibri" w:hAnsi="Arial" w:cs="Arial"/>
        </w:rPr>
      </w:pPr>
    </w:p>
    <w:p w14:paraId="260D0C96" w14:textId="43877AE1" w:rsidR="00A14D2A" w:rsidRDefault="00EB51BA" w:rsidP="00037D51">
      <w:pPr>
        <w:spacing w:line="312" w:lineRule="auto"/>
        <w:jc w:val="both"/>
        <w:rPr>
          <w:rFonts w:ascii="Arial" w:eastAsia="Calibri" w:hAnsi="Arial" w:cs="Arial"/>
        </w:rPr>
      </w:pPr>
      <w:r>
        <w:rPr>
          <w:rFonts w:ascii="Arial" w:eastAsia="Calibri" w:hAnsi="Arial" w:cs="Arial"/>
        </w:rPr>
        <w:t xml:space="preserve">Concluyendo entonces, como el Despacho </w:t>
      </w:r>
      <w:r w:rsidR="00023B02">
        <w:rPr>
          <w:rFonts w:ascii="Arial" w:eastAsia="Calibri" w:hAnsi="Arial" w:cs="Arial"/>
        </w:rPr>
        <w:t xml:space="preserve">omitió su deber de </w:t>
      </w:r>
      <w:r w:rsidR="00F97BAC">
        <w:rPr>
          <w:rFonts w:ascii="Arial" w:eastAsia="Calibri" w:hAnsi="Arial" w:cs="Arial"/>
        </w:rPr>
        <w:t xml:space="preserve">determinar </w:t>
      </w:r>
      <w:r w:rsidR="00BE3D6B">
        <w:rPr>
          <w:rFonts w:ascii="Arial" w:eastAsia="Calibri" w:hAnsi="Arial" w:cs="Arial"/>
        </w:rPr>
        <w:t xml:space="preserve">las características especiales de </w:t>
      </w:r>
      <w:r w:rsidR="00F97BAC">
        <w:rPr>
          <w:rFonts w:ascii="Arial" w:eastAsia="Calibri" w:hAnsi="Arial" w:cs="Arial"/>
        </w:rPr>
        <w:t>la figura contractual</w:t>
      </w:r>
      <w:r w:rsidR="00BE3D6B">
        <w:rPr>
          <w:rFonts w:ascii="Arial" w:eastAsia="Calibri" w:hAnsi="Arial" w:cs="Arial"/>
        </w:rPr>
        <w:t xml:space="preserve"> -convenio interadministrativo-</w:t>
      </w:r>
      <w:r w:rsidR="00C42963">
        <w:rPr>
          <w:rFonts w:ascii="Arial" w:eastAsia="Calibri" w:hAnsi="Arial" w:cs="Arial"/>
        </w:rPr>
        <w:t>, el régimen y la normatividad aplicable al caso</w:t>
      </w:r>
      <w:r>
        <w:rPr>
          <w:rFonts w:ascii="Arial" w:eastAsia="Calibri" w:hAnsi="Arial" w:cs="Arial"/>
        </w:rPr>
        <w:t xml:space="preserve"> para sustentar el sentido de la decisión, </w:t>
      </w:r>
      <w:r w:rsidR="00677C20">
        <w:rPr>
          <w:rFonts w:ascii="Arial" w:eastAsia="Calibri" w:hAnsi="Arial" w:cs="Arial"/>
        </w:rPr>
        <w:t xml:space="preserve">resulta </w:t>
      </w:r>
      <w:r>
        <w:rPr>
          <w:rFonts w:ascii="Arial" w:eastAsia="Calibri" w:hAnsi="Arial" w:cs="Arial"/>
        </w:rPr>
        <w:t xml:space="preserve">claro que </w:t>
      </w:r>
      <w:r w:rsidR="00C42963">
        <w:rPr>
          <w:rFonts w:ascii="Arial" w:eastAsia="Calibri" w:hAnsi="Arial" w:cs="Arial"/>
        </w:rPr>
        <w:t>incurrió</w:t>
      </w:r>
      <w:r>
        <w:rPr>
          <w:rFonts w:ascii="Arial" w:eastAsia="Calibri" w:hAnsi="Arial" w:cs="Arial"/>
        </w:rPr>
        <w:t xml:space="preserve"> en un error de hecho y en un error en la motivación, lo que desencadena indefectiblemente, en </w:t>
      </w:r>
      <w:r w:rsidR="00C42963">
        <w:rPr>
          <w:rFonts w:ascii="Arial" w:eastAsia="Calibri" w:hAnsi="Arial" w:cs="Arial"/>
        </w:rPr>
        <w:t>que</w:t>
      </w:r>
      <w:r>
        <w:rPr>
          <w:rFonts w:ascii="Arial" w:eastAsia="Calibri" w:hAnsi="Arial" w:cs="Arial"/>
        </w:rPr>
        <w:t xml:space="preserve"> proc</w:t>
      </w:r>
      <w:r w:rsidR="00C42963">
        <w:rPr>
          <w:rFonts w:ascii="Arial" w:eastAsia="Calibri" w:hAnsi="Arial" w:cs="Arial"/>
        </w:rPr>
        <w:t>eda</w:t>
      </w:r>
      <w:r>
        <w:rPr>
          <w:rFonts w:ascii="Arial" w:eastAsia="Calibri" w:hAnsi="Arial" w:cs="Arial"/>
        </w:rPr>
        <w:t xml:space="preserve"> la revocatoria de la decisión tomada, en los términos </w:t>
      </w:r>
      <w:r w:rsidR="00C42963">
        <w:rPr>
          <w:rFonts w:ascii="Arial" w:eastAsia="Calibri" w:hAnsi="Arial" w:cs="Arial"/>
        </w:rPr>
        <w:t>expuestos</w:t>
      </w:r>
      <w:r>
        <w:rPr>
          <w:rFonts w:ascii="Arial" w:eastAsia="Calibri" w:hAnsi="Arial" w:cs="Arial"/>
        </w:rPr>
        <w:t>.</w:t>
      </w:r>
      <w:r w:rsidR="00875FA2">
        <w:rPr>
          <w:rFonts w:ascii="Arial" w:eastAsia="Calibri" w:hAnsi="Arial" w:cs="Arial"/>
        </w:rPr>
        <w:t xml:space="preserve"> </w:t>
      </w:r>
      <w:r w:rsidR="00F048BB">
        <w:rPr>
          <w:rFonts w:ascii="Arial" w:eastAsia="Calibri" w:hAnsi="Arial" w:cs="Arial"/>
        </w:rPr>
        <w:t xml:space="preserve"> </w:t>
      </w:r>
      <w:r w:rsidR="00F908A0">
        <w:rPr>
          <w:rFonts w:ascii="Arial" w:eastAsia="Calibri" w:hAnsi="Arial" w:cs="Arial"/>
        </w:rPr>
        <w:t xml:space="preserve"> </w:t>
      </w:r>
    </w:p>
    <w:p w14:paraId="2B50A0C0" w14:textId="77777777" w:rsidR="00A14D2A" w:rsidRDefault="00A14D2A" w:rsidP="00037D51">
      <w:pPr>
        <w:spacing w:line="312" w:lineRule="auto"/>
        <w:jc w:val="both"/>
        <w:rPr>
          <w:rFonts w:ascii="Arial" w:eastAsia="Calibri" w:hAnsi="Arial" w:cs="Arial"/>
        </w:rPr>
      </w:pPr>
    </w:p>
    <w:p w14:paraId="1E0557D7" w14:textId="44230833" w:rsidR="00DB22B8" w:rsidRPr="0014113D" w:rsidRDefault="0097613F" w:rsidP="00037D51">
      <w:pPr>
        <w:pStyle w:val="Prrafodelista"/>
        <w:numPr>
          <w:ilvl w:val="0"/>
          <w:numId w:val="22"/>
        </w:numPr>
        <w:spacing w:line="312" w:lineRule="auto"/>
        <w:jc w:val="both"/>
        <w:rPr>
          <w:rFonts w:ascii="Arial" w:eastAsia="Calibri" w:hAnsi="Arial" w:cs="Arial"/>
          <w:b/>
          <w:bCs/>
        </w:rPr>
      </w:pPr>
      <w:r w:rsidRPr="009F38F6">
        <w:rPr>
          <w:rFonts w:ascii="Arial" w:eastAsia="Calibri" w:hAnsi="Arial" w:cs="Arial"/>
          <w:b/>
          <w:bCs/>
        </w:rPr>
        <w:t xml:space="preserve">SE DEMOSTRÓ LA </w:t>
      </w:r>
      <w:r w:rsidR="009F38F6">
        <w:rPr>
          <w:rFonts w:ascii="Arial" w:eastAsia="Calibri" w:hAnsi="Arial" w:cs="Arial"/>
          <w:b/>
          <w:bCs/>
        </w:rPr>
        <w:t>VULNERACIÓN AL PRINCIPIO DEL DEBIDO PROCESO</w:t>
      </w:r>
      <w:r w:rsidR="00345AC3">
        <w:rPr>
          <w:rFonts w:ascii="Arial" w:eastAsia="Calibri" w:hAnsi="Arial" w:cs="Arial"/>
          <w:b/>
          <w:bCs/>
        </w:rPr>
        <w:t xml:space="preserve"> POR INDEBIDA NOTIFICACIÓN DEL ACTO ADMINSITRATIVO QUE DECLARÓ EL INCUMPLIMEINTO</w:t>
      </w:r>
    </w:p>
    <w:p w14:paraId="31EF9372" w14:textId="007D9012" w:rsidR="009F38F6" w:rsidRDefault="00AE60C1" w:rsidP="00037D51">
      <w:pPr>
        <w:spacing w:line="312" w:lineRule="auto"/>
        <w:jc w:val="both"/>
        <w:rPr>
          <w:rFonts w:ascii="Arial" w:eastAsia="Calibri" w:hAnsi="Arial" w:cs="Arial"/>
        </w:rPr>
      </w:pPr>
      <w:r>
        <w:rPr>
          <w:rFonts w:ascii="Arial" w:eastAsia="Calibri" w:hAnsi="Arial" w:cs="Arial"/>
        </w:rPr>
        <w:t xml:space="preserve">Partiendo del criterio de que </w:t>
      </w:r>
      <w:r w:rsidR="000500E1">
        <w:rPr>
          <w:rFonts w:ascii="Arial" w:eastAsia="Calibri" w:hAnsi="Arial" w:cs="Arial"/>
        </w:rPr>
        <w:t xml:space="preserve">hay un yerro del </w:t>
      </w:r>
      <w:r w:rsidR="000500E1" w:rsidRPr="000500E1">
        <w:rPr>
          <w:rFonts w:ascii="Arial" w:eastAsia="Calibri" w:hAnsi="Arial" w:cs="Arial"/>
          <w:i/>
          <w:iCs/>
        </w:rPr>
        <w:t>A quo</w:t>
      </w:r>
      <w:r w:rsidR="000500E1">
        <w:rPr>
          <w:rFonts w:ascii="Arial" w:eastAsia="Calibri" w:hAnsi="Arial" w:cs="Arial"/>
        </w:rPr>
        <w:t xml:space="preserve"> </w:t>
      </w:r>
      <w:r w:rsidR="009F38F6">
        <w:rPr>
          <w:rFonts w:ascii="Arial" w:eastAsia="Calibri" w:hAnsi="Arial" w:cs="Arial"/>
        </w:rPr>
        <w:t>porque dice en su exposición que al existir diferencia entre el proceso sancionatorio y la declaratoria de incumplimiento, le era dable a la entidad emitir e</w:t>
      </w:r>
      <w:r w:rsidR="00345AC3">
        <w:rPr>
          <w:rFonts w:ascii="Arial" w:eastAsia="Calibri" w:hAnsi="Arial" w:cs="Arial"/>
        </w:rPr>
        <w:t>ste</w:t>
      </w:r>
      <w:r w:rsidR="009F38F6">
        <w:rPr>
          <w:rFonts w:ascii="Arial" w:eastAsia="Calibri" w:hAnsi="Arial" w:cs="Arial"/>
        </w:rPr>
        <w:t xml:space="preserve"> último sin la </w:t>
      </w:r>
      <w:r w:rsidR="00345AC3">
        <w:rPr>
          <w:rFonts w:ascii="Arial" w:eastAsia="Calibri" w:hAnsi="Arial" w:cs="Arial"/>
        </w:rPr>
        <w:t>observancia</w:t>
      </w:r>
      <w:r w:rsidR="009F38F6">
        <w:rPr>
          <w:rFonts w:ascii="Arial" w:eastAsia="Calibri" w:hAnsi="Arial" w:cs="Arial"/>
        </w:rPr>
        <w:t xml:space="preserve"> de cumplir con las obligaciones del debido proceso</w:t>
      </w:r>
      <w:r w:rsidR="00345AC3">
        <w:rPr>
          <w:rFonts w:ascii="Arial" w:eastAsia="Calibri" w:hAnsi="Arial" w:cs="Arial"/>
        </w:rPr>
        <w:t xml:space="preserve">. En primera medida, debe reiterarse que como ya se explicó, la entidad ni siquiera tenía la facultad de declarar el incumplimiento del contrato de manera unilateral, por lo que ya la actuación de por sí se encuentra viciada de nulidad, pero sumado a ello resultan incomprensibles los argumentos expuestos por el despacho, pues entre las citas </w:t>
      </w:r>
      <w:r w:rsidR="003B3018">
        <w:rPr>
          <w:rFonts w:ascii="Arial" w:eastAsia="Calibri" w:hAnsi="Arial" w:cs="Arial"/>
        </w:rPr>
        <w:t xml:space="preserve">del punto en cuestión, se encuentran pronunciamientos que justamente desacreditan la posición tomada. Para el ejemplo se puede advertir que el despacho acerca el siguiente criterio jurisprudencial emitido por la </w:t>
      </w:r>
      <w:r w:rsidR="003B3018" w:rsidRPr="003B3018">
        <w:rPr>
          <w:rFonts w:ascii="Arial" w:eastAsia="Calibri" w:hAnsi="Arial" w:cs="Arial"/>
        </w:rPr>
        <w:t>Sección Tercera</w:t>
      </w:r>
      <w:r w:rsidR="003B3018">
        <w:rPr>
          <w:rFonts w:ascii="Arial" w:eastAsia="Calibri" w:hAnsi="Arial" w:cs="Arial"/>
        </w:rPr>
        <w:t xml:space="preserve"> del </w:t>
      </w:r>
      <w:r w:rsidR="003B3018" w:rsidRPr="003B3018">
        <w:rPr>
          <w:rFonts w:ascii="Arial" w:eastAsia="Calibri" w:hAnsi="Arial" w:cs="Arial"/>
        </w:rPr>
        <w:t>Consejo de Estado,</w:t>
      </w:r>
      <w:r w:rsidR="003B3018">
        <w:rPr>
          <w:rFonts w:ascii="Arial" w:eastAsia="Calibri" w:hAnsi="Arial" w:cs="Arial"/>
        </w:rPr>
        <w:t xml:space="preserve"> en</w:t>
      </w:r>
      <w:r w:rsidR="003B3018" w:rsidRPr="003B3018">
        <w:rPr>
          <w:rFonts w:ascii="Arial" w:eastAsia="Calibri" w:hAnsi="Arial" w:cs="Arial"/>
        </w:rPr>
        <w:t xml:space="preserve"> Sentencia de 24 de enero de 2024, </w:t>
      </w:r>
      <w:r w:rsidR="003B3018">
        <w:rPr>
          <w:rFonts w:ascii="Arial" w:eastAsia="Calibri" w:hAnsi="Arial" w:cs="Arial"/>
        </w:rPr>
        <w:t xml:space="preserve">con </w:t>
      </w:r>
      <w:r w:rsidR="003B3018" w:rsidRPr="003B3018">
        <w:rPr>
          <w:rFonts w:ascii="Arial" w:eastAsia="Calibri" w:hAnsi="Arial" w:cs="Arial"/>
        </w:rPr>
        <w:t>Radicación 53.674</w:t>
      </w:r>
      <w:r w:rsidR="003B3018">
        <w:rPr>
          <w:rFonts w:ascii="Arial" w:eastAsia="Calibri" w:hAnsi="Arial" w:cs="Arial"/>
        </w:rPr>
        <w:t>, que dice:</w:t>
      </w:r>
    </w:p>
    <w:p w14:paraId="76CE9F6C" w14:textId="77777777" w:rsidR="003B3018" w:rsidRDefault="003B3018" w:rsidP="00037D51">
      <w:pPr>
        <w:spacing w:line="312" w:lineRule="auto"/>
        <w:jc w:val="both"/>
        <w:rPr>
          <w:rFonts w:ascii="Arial" w:eastAsia="Calibri" w:hAnsi="Arial" w:cs="Arial"/>
        </w:rPr>
      </w:pPr>
    </w:p>
    <w:p w14:paraId="3F6EF781" w14:textId="53CAF035" w:rsidR="003B3018" w:rsidRPr="003B3018" w:rsidRDefault="003B3018" w:rsidP="003B3018">
      <w:pPr>
        <w:spacing w:line="312" w:lineRule="auto"/>
        <w:ind w:left="567" w:right="567"/>
        <w:jc w:val="both"/>
        <w:rPr>
          <w:rFonts w:ascii="Arial" w:eastAsia="Calibri" w:hAnsi="Arial" w:cs="Arial"/>
          <w:i/>
          <w:iCs/>
          <w:sz w:val="20"/>
          <w:szCs w:val="20"/>
        </w:rPr>
      </w:pPr>
      <w:r w:rsidRPr="003B3018">
        <w:rPr>
          <w:rFonts w:ascii="Arial" w:eastAsia="Calibri" w:hAnsi="Arial" w:cs="Arial"/>
          <w:i/>
          <w:iCs/>
          <w:sz w:val="20"/>
          <w:szCs w:val="20"/>
        </w:rPr>
        <w:t xml:space="preserve">“Ahora bien, en lo que concierne a la declaratoria de ocurrencia del siniestro de calidad y correcto funcionamiento de los bienes -que no tiene carácter sancionatorio-, es importante precisar que, derivado de su naturaleza eminentemente indemnizatoria, no es menester que las entidades públicas, previo a la adopción de su decisión, adelanten una actuación administrativa contractual o un procedimiento administrativo en estricto sentido. </w:t>
      </w:r>
      <w:r w:rsidRPr="00D60CE2">
        <w:rPr>
          <w:rFonts w:ascii="Arial" w:eastAsia="Calibri" w:hAnsi="Arial" w:cs="Arial"/>
          <w:b/>
          <w:bCs/>
          <w:i/>
          <w:iCs/>
          <w:sz w:val="20"/>
          <w:szCs w:val="20"/>
          <w:u w:val="single"/>
        </w:rPr>
        <w:t>Al contratista y a la compañía de seguros, con el propósito de garantizar su derecho al debido proceso, se les debe permitir impugnar el acto administrativo que declara la ocurrencia del siniestro a través de la interposición del recurso de reposición, para que puedan controvertir las razones aducidas por la Administración, así como las pruebas que las sustentan y también para que aporten las que estimen convenientes</w:t>
      </w:r>
      <w:r w:rsidRPr="003B3018">
        <w:rPr>
          <w:rFonts w:ascii="Arial" w:eastAsia="Calibri" w:hAnsi="Arial" w:cs="Arial"/>
          <w:i/>
          <w:iCs/>
          <w:sz w:val="20"/>
          <w:szCs w:val="20"/>
        </w:rPr>
        <w:t>”</w:t>
      </w:r>
      <w:r w:rsidR="00D60CE2">
        <w:rPr>
          <w:rFonts w:ascii="Arial" w:eastAsia="Calibri" w:hAnsi="Arial" w:cs="Arial"/>
          <w:i/>
          <w:iCs/>
          <w:sz w:val="20"/>
          <w:szCs w:val="20"/>
        </w:rPr>
        <w:t xml:space="preserve"> </w:t>
      </w:r>
      <w:r w:rsidR="00D60CE2">
        <w:rPr>
          <w:rFonts w:ascii="Arial" w:eastAsia="Calibri" w:hAnsi="Arial" w:cs="Arial"/>
          <w:sz w:val="20"/>
          <w:szCs w:val="20"/>
        </w:rPr>
        <w:t>(Negrillas y subrayado fuera del texto original)</w:t>
      </w:r>
    </w:p>
    <w:p w14:paraId="288A87DB" w14:textId="77777777" w:rsidR="009F38F6" w:rsidRDefault="009F38F6" w:rsidP="00037D51">
      <w:pPr>
        <w:spacing w:line="312" w:lineRule="auto"/>
        <w:jc w:val="both"/>
        <w:rPr>
          <w:rFonts w:ascii="Arial" w:eastAsia="Calibri" w:hAnsi="Arial" w:cs="Arial"/>
        </w:rPr>
      </w:pPr>
    </w:p>
    <w:p w14:paraId="1281DB64" w14:textId="4569B3FC" w:rsidR="009F38F6" w:rsidRDefault="00D60CE2" w:rsidP="00037D51">
      <w:pPr>
        <w:spacing w:line="312" w:lineRule="auto"/>
        <w:jc w:val="both"/>
        <w:rPr>
          <w:rFonts w:ascii="Arial" w:eastAsia="Calibri" w:hAnsi="Arial" w:cs="Arial"/>
        </w:rPr>
      </w:pPr>
      <w:r>
        <w:rPr>
          <w:rFonts w:ascii="Arial" w:eastAsia="Calibri" w:hAnsi="Arial" w:cs="Arial"/>
        </w:rPr>
        <w:t xml:space="preserve">Del texto en mención salta a la vista que el acto que declara la ocurrencia del siniestro -de incumplimiento- se debe notificar al contratista y a la compañía de seguros, por lo que más allá de si el procedimiento sancionatorio sí tiene etapas y la declaratoria de incumplimiento no, no es óbice para que la entidad omitiera su deber de darle pleno cumplimiento al principio del debido proceso y notificará en debida forma el acto administrativo, pues entonces les sería imposible tanto al contratista como a la compañía aseguradora el poder impugnar el acto </w:t>
      </w:r>
      <w:r w:rsidR="00BD5FF3">
        <w:rPr>
          <w:rFonts w:ascii="Arial" w:eastAsia="Calibri" w:hAnsi="Arial" w:cs="Arial"/>
        </w:rPr>
        <w:t>en sede administrativa, situación que no se pudo dar por la omisión de la entidad, la cual el despacho justifica con el argumento de una diferenciación entre proceso sancionatorio y declaratoria de incumpliendo que nada tiene que ver con los deberes procedimentales del ente territorial.</w:t>
      </w:r>
    </w:p>
    <w:p w14:paraId="73B93C26" w14:textId="77777777" w:rsidR="00414753" w:rsidRDefault="00414753" w:rsidP="00037D51">
      <w:pPr>
        <w:spacing w:line="312" w:lineRule="auto"/>
        <w:jc w:val="both"/>
        <w:rPr>
          <w:rFonts w:ascii="Arial" w:eastAsia="Calibri" w:hAnsi="Arial" w:cs="Arial"/>
        </w:rPr>
      </w:pPr>
    </w:p>
    <w:p w14:paraId="2860B0FD" w14:textId="77777777" w:rsidR="00E1401F" w:rsidRDefault="00A22257" w:rsidP="00A22257">
      <w:pPr>
        <w:spacing w:line="312" w:lineRule="auto"/>
        <w:jc w:val="both"/>
        <w:rPr>
          <w:rFonts w:ascii="Arial" w:eastAsia="Calibri" w:hAnsi="Arial" w:cs="Arial"/>
        </w:rPr>
      </w:pPr>
      <w:r>
        <w:rPr>
          <w:rFonts w:ascii="Arial" w:eastAsia="Calibri" w:hAnsi="Arial" w:cs="Arial"/>
        </w:rPr>
        <w:t xml:space="preserve">Igual suerte lleva el argumento expuesto por el juzgado cuando cita al </w:t>
      </w:r>
      <w:r w:rsidRPr="00A22257">
        <w:rPr>
          <w:rFonts w:ascii="Arial" w:eastAsia="Calibri" w:hAnsi="Arial" w:cs="Arial"/>
        </w:rPr>
        <w:t>artículo 7 de la ley 1150 de 2007</w:t>
      </w:r>
      <w:r>
        <w:rPr>
          <w:rFonts w:ascii="Arial" w:eastAsia="Calibri" w:hAnsi="Arial" w:cs="Arial"/>
        </w:rPr>
        <w:t>, que</w:t>
      </w:r>
      <w:r w:rsidRPr="00A22257">
        <w:rPr>
          <w:rFonts w:ascii="Arial" w:eastAsia="Calibri" w:hAnsi="Arial" w:cs="Arial"/>
        </w:rPr>
        <w:t xml:space="preserve"> en su inciso cuatro establece que: “</w:t>
      </w:r>
      <w:r w:rsidRPr="00A22257">
        <w:rPr>
          <w:rFonts w:ascii="Arial" w:eastAsia="Calibri" w:hAnsi="Arial" w:cs="Arial"/>
          <w:i/>
          <w:iCs/>
        </w:rPr>
        <w:t>El acaecimiento del siniestro que amparan las garantías será comunicado por la entidad pública al respectivo asegurador mediante la notificación del acto administrativo que así lo declare</w:t>
      </w:r>
      <w:r w:rsidRPr="00A22257">
        <w:rPr>
          <w:rFonts w:ascii="Arial" w:eastAsia="Calibri" w:hAnsi="Arial" w:cs="Arial"/>
        </w:rPr>
        <w:t>”</w:t>
      </w:r>
      <w:r w:rsidR="00664143">
        <w:rPr>
          <w:rFonts w:ascii="Arial" w:eastAsia="Calibri" w:hAnsi="Arial" w:cs="Arial"/>
        </w:rPr>
        <w:t>, texto que claramente indica que la acción arbitraria ejercida por el municipio de Bugalagrande de declarar el siniestro de incumplimiento sin haberlo notificado en debida forma, efectivamente vulnera el debido proceso del contratista y de la aseguradora, pues les impidió ejercer a su vez la defensa y contradicción del acto.</w:t>
      </w:r>
    </w:p>
    <w:p w14:paraId="69D9F044" w14:textId="77777777" w:rsidR="00E1401F" w:rsidRDefault="00E1401F" w:rsidP="00A22257">
      <w:pPr>
        <w:spacing w:line="312" w:lineRule="auto"/>
        <w:jc w:val="both"/>
        <w:rPr>
          <w:rFonts w:ascii="Arial" w:eastAsia="Calibri" w:hAnsi="Arial" w:cs="Arial"/>
        </w:rPr>
      </w:pPr>
    </w:p>
    <w:p w14:paraId="18D7A649" w14:textId="6ABF75FF" w:rsidR="00414753" w:rsidRDefault="00E1401F" w:rsidP="00A22257">
      <w:pPr>
        <w:spacing w:line="312" w:lineRule="auto"/>
        <w:jc w:val="both"/>
        <w:rPr>
          <w:rFonts w:ascii="Arial" w:eastAsia="Calibri" w:hAnsi="Arial" w:cs="Arial"/>
        </w:rPr>
      </w:pPr>
      <w:r>
        <w:rPr>
          <w:rFonts w:ascii="Arial" w:eastAsia="Calibri" w:hAnsi="Arial" w:cs="Arial"/>
        </w:rPr>
        <w:t xml:space="preserve">Tales consideraciones las comparte el Consejo, que en el plurimencionado </w:t>
      </w:r>
      <w:r w:rsidRPr="00E1401F">
        <w:rPr>
          <w:rFonts w:ascii="Arial" w:eastAsia="Calibri" w:hAnsi="Arial" w:cs="Arial"/>
        </w:rPr>
        <w:t xml:space="preserve">Concepto </w:t>
      </w:r>
      <w:r>
        <w:rPr>
          <w:rFonts w:ascii="Arial" w:eastAsia="Calibri" w:hAnsi="Arial" w:cs="Arial"/>
        </w:rPr>
        <w:t xml:space="preserve">de la </w:t>
      </w:r>
      <w:r w:rsidRPr="00E1401F">
        <w:rPr>
          <w:rFonts w:ascii="Arial" w:eastAsia="Calibri" w:hAnsi="Arial" w:cs="Arial"/>
        </w:rPr>
        <w:t>Sala Consulta y Servicio Civil Consejo de Estado 26 de julio de 2016 radicación interna 2257, Número Único: 11001-03-06-000-2015-00102-00</w:t>
      </w:r>
      <w:r>
        <w:rPr>
          <w:rFonts w:ascii="Arial" w:eastAsia="Calibri" w:hAnsi="Arial" w:cs="Arial"/>
        </w:rPr>
        <w:t>, indica que:</w:t>
      </w:r>
    </w:p>
    <w:p w14:paraId="6B75EEFB" w14:textId="77777777" w:rsidR="00E1401F" w:rsidRDefault="00E1401F" w:rsidP="00A22257">
      <w:pPr>
        <w:spacing w:line="312" w:lineRule="auto"/>
        <w:jc w:val="both"/>
        <w:rPr>
          <w:rFonts w:ascii="Arial" w:eastAsia="Calibri" w:hAnsi="Arial" w:cs="Arial"/>
        </w:rPr>
      </w:pPr>
    </w:p>
    <w:p w14:paraId="7F998B79" w14:textId="27F895FF" w:rsidR="00E1401F" w:rsidRPr="00E1401F" w:rsidRDefault="00E1401F" w:rsidP="00E1401F">
      <w:pPr>
        <w:spacing w:line="312" w:lineRule="auto"/>
        <w:ind w:left="567" w:right="567"/>
        <w:jc w:val="both"/>
        <w:rPr>
          <w:rFonts w:ascii="Arial" w:eastAsia="Calibri" w:hAnsi="Arial" w:cs="Arial"/>
          <w:i/>
          <w:iCs/>
          <w:sz w:val="20"/>
          <w:szCs w:val="20"/>
        </w:rPr>
      </w:pPr>
      <w:r w:rsidRPr="00E1401F">
        <w:rPr>
          <w:rFonts w:ascii="Arial" w:eastAsia="Calibri" w:hAnsi="Arial" w:cs="Arial"/>
          <w:i/>
          <w:iCs/>
          <w:sz w:val="20"/>
          <w:szCs w:val="20"/>
        </w:rPr>
        <w:t>En suma, teniendo en cuenta que el amparo principal que cubre la garantía es el de cumplimiento de las obligaciones, la Sala concluye que, de una parte, una vez declarado el incumplimiento en los contratos interadministrativos, se tendrá como acaecido el siniestro y, por lo mismo, el acto administrativo correspondiente deberá ser notificado al respectivo asegurador, por expresa disposición de los artículos 7 y 17 de la Ley 1150 y 86 de la Ley 1474 de 2011; y de otra, que respecto de los convenios interadministrativos, si se ha pactado como garantía una póliza de cumplimiento, al no resultar procedente el ejercicio de potestades unilaterales, deberá realizarse la correspondiente reclamación a la aseguradora siguiendo para el efecto las normas pertinentes del Código de Comercio y las reglas particulares de la póliza expedida.</w:t>
      </w:r>
    </w:p>
    <w:p w14:paraId="5A908540" w14:textId="77777777" w:rsidR="009F38F6" w:rsidRDefault="009F38F6" w:rsidP="00037D51">
      <w:pPr>
        <w:spacing w:line="312" w:lineRule="auto"/>
        <w:jc w:val="both"/>
        <w:rPr>
          <w:rFonts w:ascii="Arial" w:eastAsia="Calibri" w:hAnsi="Arial" w:cs="Arial"/>
        </w:rPr>
      </w:pPr>
    </w:p>
    <w:p w14:paraId="50FFAE82" w14:textId="1B3D597F" w:rsidR="009F38F6" w:rsidRDefault="004A509E" w:rsidP="00037D51">
      <w:pPr>
        <w:spacing w:line="312" w:lineRule="auto"/>
        <w:jc w:val="both"/>
        <w:rPr>
          <w:rFonts w:ascii="Arial" w:eastAsia="Calibri" w:hAnsi="Arial" w:cs="Arial"/>
        </w:rPr>
      </w:pPr>
      <w:r>
        <w:rPr>
          <w:rFonts w:ascii="Arial" w:eastAsia="Calibri" w:hAnsi="Arial" w:cs="Arial"/>
        </w:rPr>
        <w:t>Como resulta tan evidente que el juzgado incurrió en un error en la motivación de su decisión, procede la revocatoria de la decisión sentencia, en los términos expuestos.</w:t>
      </w:r>
    </w:p>
    <w:p w14:paraId="520815E8" w14:textId="77777777" w:rsidR="00910E44" w:rsidRDefault="00910E44" w:rsidP="00037D51">
      <w:pPr>
        <w:spacing w:line="312" w:lineRule="auto"/>
        <w:jc w:val="both"/>
        <w:rPr>
          <w:rFonts w:ascii="Arial" w:eastAsia="Calibri" w:hAnsi="Arial" w:cs="Arial"/>
        </w:rPr>
      </w:pPr>
    </w:p>
    <w:p w14:paraId="71943815" w14:textId="59154310" w:rsidR="004728CF" w:rsidRPr="00937F37" w:rsidRDefault="00465925" w:rsidP="00037D51">
      <w:pPr>
        <w:pStyle w:val="Prrafodelista"/>
        <w:numPr>
          <w:ilvl w:val="0"/>
          <w:numId w:val="22"/>
        </w:numPr>
        <w:spacing w:line="312" w:lineRule="auto"/>
        <w:jc w:val="both"/>
        <w:rPr>
          <w:rFonts w:ascii="Arial" w:eastAsia="Calibri" w:hAnsi="Arial" w:cs="Arial"/>
          <w:b/>
          <w:bCs/>
        </w:rPr>
      </w:pPr>
      <w:r>
        <w:rPr>
          <w:rFonts w:ascii="Arial" w:eastAsia="Calibri" w:hAnsi="Arial" w:cs="Arial"/>
          <w:b/>
          <w:bCs/>
        </w:rPr>
        <w:t>LA INDEBIDA NOTIFICACIÓN DEL ACTO ADMINSITRATIVO AFECTA LA EXIGIBILIDAD DE LA OBLIGACIÓN</w:t>
      </w:r>
      <w:r w:rsidR="001C071D" w:rsidRPr="00937F37">
        <w:rPr>
          <w:rFonts w:ascii="Arial" w:eastAsia="Calibri" w:hAnsi="Arial" w:cs="Arial"/>
          <w:b/>
          <w:bCs/>
        </w:rPr>
        <w:t xml:space="preserve"> </w:t>
      </w:r>
    </w:p>
    <w:p w14:paraId="51D85200" w14:textId="41E224A5" w:rsidR="00937F37" w:rsidRDefault="001F680F" w:rsidP="00037D51">
      <w:pPr>
        <w:spacing w:line="312" w:lineRule="auto"/>
        <w:jc w:val="both"/>
        <w:rPr>
          <w:rFonts w:ascii="Arial" w:eastAsia="Calibri" w:hAnsi="Arial" w:cs="Arial"/>
        </w:rPr>
      </w:pPr>
      <w:r>
        <w:rPr>
          <w:rFonts w:ascii="Arial" w:eastAsia="Calibri" w:hAnsi="Arial" w:cs="Arial"/>
        </w:rPr>
        <w:t xml:space="preserve">Aunque el despacho hace uso del criterio de que la indebida notificación del acto administrativo no afecta su validez sino su eficacia, desconoce que </w:t>
      </w:r>
      <w:r w:rsidR="00AF4617">
        <w:rPr>
          <w:rFonts w:ascii="Arial" w:eastAsia="Calibri" w:hAnsi="Arial" w:cs="Arial"/>
        </w:rPr>
        <w:t>en cualquier sentido la afectación de la eficacia del mismo, trae como efecto para los intereses del caso de marras, que la estipulación contenida en la Resolución demandada, relacionada con hacer exigible la garantía</w:t>
      </w:r>
      <w:r w:rsidR="00264254">
        <w:rPr>
          <w:rFonts w:ascii="Arial" w:eastAsia="Calibri" w:hAnsi="Arial" w:cs="Arial"/>
        </w:rPr>
        <w:t xml:space="preserve"> a mi apoderada</w:t>
      </w:r>
      <w:r w:rsidR="00AF4617">
        <w:rPr>
          <w:rFonts w:ascii="Arial" w:eastAsia="Calibri" w:hAnsi="Arial" w:cs="Arial"/>
        </w:rPr>
        <w:t xml:space="preserve">, carece de </w:t>
      </w:r>
      <w:r w:rsidR="00E9034D">
        <w:rPr>
          <w:rFonts w:ascii="Arial" w:eastAsia="Calibri" w:hAnsi="Arial" w:cs="Arial"/>
        </w:rPr>
        <w:t>sustento</w:t>
      </w:r>
      <w:r w:rsidR="00AF4617">
        <w:rPr>
          <w:rFonts w:ascii="Arial" w:eastAsia="Calibri" w:hAnsi="Arial" w:cs="Arial"/>
        </w:rPr>
        <w:t xml:space="preserve">, pues </w:t>
      </w:r>
      <w:r w:rsidR="00E9034D">
        <w:rPr>
          <w:rFonts w:ascii="Arial" w:eastAsia="Calibri" w:hAnsi="Arial" w:cs="Arial"/>
        </w:rPr>
        <w:t>como el</w:t>
      </w:r>
      <w:r w:rsidR="00AF4617">
        <w:rPr>
          <w:rFonts w:ascii="Arial" w:eastAsia="Calibri" w:hAnsi="Arial" w:cs="Arial"/>
        </w:rPr>
        <w:t xml:space="preserve"> acto administrativo no se expidió con observancia del principio de publicidad, </w:t>
      </w:r>
      <w:r w:rsidR="00E9034D">
        <w:rPr>
          <w:rFonts w:ascii="Arial" w:eastAsia="Calibri" w:hAnsi="Arial" w:cs="Arial"/>
        </w:rPr>
        <w:t>dado que</w:t>
      </w:r>
      <w:r w:rsidR="00AF4617">
        <w:rPr>
          <w:rFonts w:ascii="Arial" w:eastAsia="Calibri" w:hAnsi="Arial" w:cs="Arial"/>
        </w:rPr>
        <w:t xml:space="preserve"> la </w:t>
      </w:r>
      <w:r w:rsidR="00AF4617" w:rsidRPr="00AF4617">
        <w:rPr>
          <w:rFonts w:ascii="Arial" w:eastAsia="Calibri" w:hAnsi="Arial" w:cs="Arial"/>
        </w:rPr>
        <w:t>debida notificación se constituye en un requisito indispensable para revestir de obligatoriedad las decisiones de la administración</w:t>
      </w:r>
      <w:r w:rsidR="00E9034D">
        <w:rPr>
          <w:rFonts w:ascii="Arial" w:eastAsia="Calibri" w:hAnsi="Arial" w:cs="Arial"/>
        </w:rPr>
        <w:t>, l</w:t>
      </w:r>
      <w:r w:rsidR="00DF3AA7">
        <w:rPr>
          <w:rFonts w:ascii="Arial" w:eastAsia="Calibri" w:hAnsi="Arial" w:cs="Arial"/>
        </w:rPr>
        <w:t>a</w:t>
      </w:r>
      <w:r w:rsidR="00E9034D">
        <w:rPr>
          <w:rFonts w:ascii="Arial" w:eastAsia="Calibri" w:hAnsi="Arial" w:cs="Arial"/>
        </w:rPr>
        <w:t xml:space="preserve">s </w:t>
      </w:r>
      <w:r w:rsidR="00DF3AA7">
        <w:rPr>
          <w:rFonts w:ascii="Arial" w:eastAsia="Calibri" w:hAnsi="Arial" w:cs="Arial"/>
        </w:rPr>
        <w:t>determinaciones</w:t>
      </w:r>
      <w:r w:rsidR="00E9034D">
        <w:rPr>
          <w:rFonts w:ascii="Arial" w:eastAsia="Calibri" w:hAnsi="Arial" w:cs="Arial"/>
        </w:rPr>
        <w:t xml:space="preserve"> de tal decisión no podrían hacerse efectiv</w:t>
      </w:r>
      <w:r w:rsidR="00DF3AA7">
        <w:rPr>
          <w:rFonts w:ascii="Arial" w:eastAsia="Calibri" w:hAnsi="Arial" w:cs="Arial"/>
        </w:rPr>
        <w:t>a</w:t>
      </w:r>
      <w:r w:rsidR="00E9034D">
        <w:rPr>
          <w:rFonts w:ascii="Arial" w:eastAsia="Calibri" w:hAnsi="Arial" w:cs="Arial"/>
        </w:rPr>
        <w:t>s</w:t>
      </w:r>
      <w:r w:rsidR="00937F37" w:rsidRPr="00937F37">
        <w:rPr>
          <w:rFonts w:ascii="Arial" w:eastAsia="Calibri" w:hAnsi="Arial" w:cs="Arial"/>
        </w:rPr>
        <w:t>.</w:t>
      </w:r>
    </w:p>
    <w:p w14:paraId="04C2AC5E" w14:textId="77777777" w:rsidR="00AF4617" w:rsidRDefault="00AF4617" w:rsidP="00037D51">
      <w:pPr>
        <w:spacing w:line="312" w:lineRule="auto"/>
        <w:jc w:val="both"/>
        <w:rPr>
          <w:rFonts w:ascii="Arial" w:eastAsia="Calibri" w:hAnsi="Arial" w:cs="Arial"/>
        </w:rPr>
      </w:pPr>
    </w:p>
    <w:p w14:paraId="4F0D2DB4" w14:textId="0ACDF593" w:rsidR="00767EE9" w:rsidRDefault="00AF4617" w:rsidP="00037D51">
      <w:pPr>
        <w:spacing w:line="312" w:lineRule="auto"/>
        <w:jc w:val="both"/>
        <w:rPr>
          <w:rFonts w:ascii="Arial" w:eastAsia="Calibri" w:hAnsi="Arial" w:cs="Arial"/>
        </w:rPr>
      </w:pPr>
      <w:r>
        <w:rPr>
          <w:rFonts w:ascii="Arial" w:eastAsia="Calibri" w:hAnsi="Arial" w:cs="Arial"/>
        </w:rPr>
        <w:t xml:space="preserve">Al no </w:t>
      </w:r>
      <w:r w:rsidR="00767EE9">
        <w:rPr>
          <w:rFonts w:ascii="Arial" w:eastAsia="Calibri" w:hAnsi="Arial" w:cs="Arial"/>
        </w:rPr>
        <w:t xml:space="preserve">contener la Resolución No. </w:t>
      </w:r>
      <w:r w:rsidR="00767EE9" w:rsidRPr="00767EE9">
        <w:rPr>
          <w:rFonts w:ascii="Arial" w:eastAsia="Calibri" w:hAnsi="Arial" w:cs="Arial"/>
        </w:rPr>
        <w:t xml:space="preserve">465 de 14 de agosto de 2017 </w:t>
      </w:r>
      <w:r w:rsidR="00767EE9">
        <w:rPr>
          <w:rFonts w:ascii="Arial" w:eastAsia="Calibri" w:hAnsi="Arial" w:cs="Arial"/>
        </w:rPr>
        <w:t xml:space="preserve">la característica de </w:t>
      </w:r>
      <w:r w:rsidR="00E34EFB">
        <w:rPr>
          <w:rFonts w:ascii="Arial" w:eastAsia="Calibri" w:hAnsi="Arial" w:cs="Arial"/>
        </w:rPr>
        <w:t>obligatoria</w:t>
      </w:r>
      <w:r w:rsidR="00767EE9">
        <w:rPr>
          <w:rFonts w:ascii="Arial" w:eastAsia="Calibri" w:hAnsi="Arial" w:cs="Arial"/>
        </w:rPr>
        <w:t xml:space="preserve"> no podía la entidad territorial hacer uso de su contenido para ejecutar en contra de la compañía aseguradora, la garantía acordad</w:t>
      </w:r>
      <w:r w:rsidR="00E34EFB">
        <w:rPr>
          <w:rFonts w:ascii="Arial" w:eastAsia="Calibri" w:hAnsi="Arial" w:cs="Arial"/>
        </w:rPr>
        <w:t>a</w:t>
      </w:r>
      <w:r w:rsidR="00767EE9">
        <w:rPr>
          <w:rFonts w:ascii="Arial" w:eastAsia="Calibri" w:hAnsi="Arial" w:cs="Arial"/>
        </w:rPr>
        <w:t xml:space="preserve"> en el contrato de seguro representado en la Póliza de Cumplimiento </w:t>
      </w:r>
      <w:r w:rsidR="00767EE9" w:rsidRPr="00767EE9">
        <w:rPr>
          <w:rFonts w:ascii="Arial" w:eastAsia="Calibri" w:hAnsi="Arial" w:cs="Arial"/>
        </w:rPr>
        <w:t>No. 500-47-994000005451</w:t>
      </w:r>
      <w:r w:rsidR="00767EE9">
        <w:rPr>
          <w:rFonts w:ascii="Arial" w:eastAsia="Calibri" w:hAnsi="Arial" w:cs="Arial"/>
        </w:rPr>
        <w:t>.</w:t>
      </w:r>
    </w:p>
    <w:p w14:paraId="3EE6D6D3" w14:textId="77777777" w:rsidR="00767EE9" w:rsidRDefault="00767EE9" w:rsidP="00037D51">
      <w:pPr>
        <w:spacing w:line="312" w:lineRule="auto"/>
        <w:jc w:val="both"/>
        <w:rPr>
          <w:rFonts w:ascii="Arial" w:eastAsia="Calibri" w:hAnsi="Arial" w:cs="Arial"/>
        </w:rPr>
      </w:pPr>
    </w:p>
    <w:p w14:paraId="365A2A82" w14:textId="2ED7F56A" w:rsidR="00AF4617" w:rsidRDefault="00E16F89" w:rsidP="00037D51">
      <w:pPr>
        <w:spacing w:line="312" w:lineRule="auto"/>
        <w:jc w:val="both"/>
        <w:rPr>
          <w:rFonts w:ascii="Arial" w:eastAsia="Calibri" w:hAnsi="Arial" w:cs="Arial"/>
        </w:rPr>
      </w:pPr>
      <w:r>
        <w:rPr>
          <w:rFonts w:ascii="Arial" w:eastAsia="Calibri" w:hAnsi="Arial" w:cs="Arial"/>
        </w:rPr>
        <w:t>En tal sentido es posible afirmar que,</w:t>
      </w:r>
      <w:r w:rsidR="00767EE9" w:rsidRPr="00767EE9">
        <w:rPr>
          <w:rFonts w:ascii="Arial" w:eastAsia="Calibri" w:hAnsi="Arial" w:cs="Arial"/>
        </w:rPr>
        <w:t xml:space="preserve"> aun cuando un acto administrativo se encuentre investido de la presunción de legalidad, ello no resulta ser suficiente para que pueda ser oponible al administrado, sino que</w:t>
      </w:r>
      <w:r w:rsidR="00F31532">
        <w:rPr>
          <w:rFonts w:ascii="Arial" w:eastAsia="Calibri" w:hAnsi="Arial" w:cs="Arial"/>
        </w:rPr>
        <w:t>,</w:t>
      </w:r>
      <w:r w:rsidR="00767EE9" w:rsidRPr="00767EE9">
        <w:rPr>
          <w:rFonts w:ascii="Arial" w:eastAsia="Calibri" w:hAnsi="Arial" w:cs="Arial"/>
        </w:rPr>
        <w:t xml:space="preserve"> por el contrario, se hace necesario que el mismo le haya sido puesto en conocimiento en la forma señalada por la ley, precisamente porque la exigibilidad de las obligaciones contenidas en </w:t>
      </w:r>
      <w:r w:rsidR="00264254" w:rsidRPr="00767EE9">
        <w:rPr>
          <w:rFonts w:ascii="Arial" w:eastAsia="Calibri" w:hAnsi="Arial" w:cs="Arial"/>
        </w:rPr>
        <w:t>él</w:t>
      </w:r>
      <w:r w:rsidR="00767EE9" w:rsidRPr="00767EE9">
        <w:rPr>
          <w:rFonts w:ascii="Arial" w:eastAsia="Calibri" w:hAnsi="Arial" w:cs="Arial"/>
        </w:rPr>
        <w:t xml:space="preserve"> solamente puede predicarse a partir de su publicidad.</w:t>
      </w:r>
      <w:r w:rsidR="00767EE9">
        <w:rPr>
          <w:rFonts w:ascii="Arial" w:eastAsia="Calibri" w:hAnsi="Arial" w:cs="Arial"/>
        </w:rPr>
        <w:t xml:space="preserve"> </w:t>
      </w:r>
    </w:p>
    <w:p w14:paraId="49306A9D" w14:textId="77777777" w:rsidR="00F31532" w:rsidRDefault="00F31532" w:rsidP="00037D51">
      <w:pPr>
        <w:spacing w:line="312" w:lineRule="auto"/>
        <w:jc w:val="both"/>
        <w:rPr>
          <w:rFonts w:ascii="Arial" w:eastAsia="Calibri" w:hAnsi="Arial" w:cs="Arial"/>
        </w:rPr>
      </w:pPr>
    </w:p>
    <w:p w14:paraId="15AC55E5" w14:textId="77777777" w:rsidR="007500C7" w:rsidRDefault="00F31532" w:rsidP="00037D51">
      <w:pPr>
        <w:spacing w:line="312" w:lineRule="auto"/>
        <w:jc w:val="both"/>
        <w:rPr>
          <w:rFonts w:ascii="Arial" w:eastAsia="Calibri" w:hAnsi="Arial" w:cs="Arial"/>
        </w:rPr>
      </w:pPr>
      <w:r w:rsidRPr="00F31532">
        <w:rPr>
          <w:rFonts w:ascii="Arial" w:eastAsia="Calibri" w:hAnsi="Arial" w:cs="Arial"/>
        </w:rPr>
        <w:t xml:space="preserve">Lo anterior </w:t>
      </w:r>
      <w:r>
        <w:rPr>
          <w:rFonts w:ascii="Arial" w:eastAsia="Calibri" w:hAnsi="Arial" w:cs="Arial"/>
        </w:rPr>
        <w:t>porque es obligación de la administración el</w:t>
      </w:r>
      <w:r w:rsidRPr="00F31532">
        <w:rPr>
          <w:rFonts w:ascii="Arial" w:eastAsia="Calibri" w:hAnsi="Arial" w:cs="Arial"/>
        </w:rPr>
        <w:t xml:space="preserve"> dar aplicación al principio de publicidad consagrado en el artículo 209 Constitucional, que debe regir para las actuaciones administrativas como judiciales</w:t>
      </w:r>
      <w:r w:rsidR="007500C7">
        <w:rPr>
          <w:rFonts w:ascii="Arial" w:eastAsia="Calibri" w:hAnsi="Arial" w:cs="Arial"/>
        </w:rPr>
        <w:t>.</w:t>
      </w:r>
    </w:p>
    <w:p w14:paraId="1F2AAB12" w14:textId="77777777" w:rsidR="007500C7" w:rsidRDefault="007500C7" w:rsidP="00037D51">
      <w:pPr>
        <w:spacing w:line="312" w:lineRule="auto"/>
        <w:jc w:val="both"/>
        <w:rPr>
          <w:rFonts w:ascii="Arial" w:eastAsia="Calibri" w:hAnsi="Arial" w:cs="Arial"/>
        </w:rPr>
      </w:pPr>
    </w:p>
    <w:p w14:paraId="4B7F42F6" w14:textId="5D84BFB0" w:rsidR="007500C7" w:rsidRDefault="007500C7" w:rsidP="00037D51">
      <w:pPr>
        <w:spacing w:line="312" w:lineRule="auto"/>
        <w:jc w:val="both"/>
        <w:rPr>
          <w:rFonts w:ascii="Arial" w:eastAsia="Calibri" w:hAnsi="Arial" w:cs="Arial"/>
        </w:rPr>
      </w:pPr>
      <w:r>
        <w:rPr>
          <w:rFonts w:ascii="Arial" w:eastAsia="Calibri" w:hAnsi="Arial" w:cs="Arial"/>
        </w:rPr>
        <w:t>Ahora bien, en su exposición de argumentos el despacho de primera instancia hace uso de lo dicho por la</w:t>
      </w:r>
      <w:r w:rsidRPr="007500C7">
        <w:rPr>
          <w:rFonts w:ascii="Arial" w:eastAsia="Calibri" w:hAnsi="Arial" w:cs="Arial"/>
        </w:rPr>
        <w:t xml:space="preserve"> Sección Tercera</w:t>
      </w:r>
      <w:r>
        <w:rPr>
          <w:rFonts w:ascii="Arial" w:eastAsia="Calibri" w:hAnsi="Arial" w:cs="Arial"/>
        </w:rPr>
        <w:t xml:space="preserve"> del </w:t>
      </w:r>
      <w:r w:rsidRPr="007500C7">
        <w:rPr>
          <w:rFonts w:ascii="Arial" w:eastAsia="Calibri" w:hAnsi="Arial" w:cs="Arial"/>
        </w:rPr>
        <w:t>Consejo de Estado</w:t>
      </w:r>
      <w:r>
        <w:rPr>
          <w:rFonts w:ascii="Arial" w:eastAsia="Calibri" w:hAnsi="Arial" w:cs="Arial"/>
        </w:rPr>
        <w:t xml:space="preserve"> en</w:t>
      </w:r>
      <w:r w:rsidRPr="007500C7">
        <w:rPr>
          <w:rFonts w:ascii="Arial" w:eastAsia="Calibri" w:hAnsi="Arial" w:cs="Arial"/>
        </w:rPr>
        <w:t xml:space="preserve"> Sentencia de 8 de agosto de 2012</w:t>
      </w:r>
      <w:r>
        <w:rPr>
          <w:rFonts w:ascii="Arial" w:eastAsia="Calibri" w:hAnsi="Arial" w:cs="Arial"/>
        </w:rPr>
        <w:t xml:space="preserve"> con</w:t>
      </w:r>
      <w:r w:rsidRPr="007500C7">
        <w:rPr>
          <w:rFonts w:ascii="Arial" w:eastAsia="Calibri" w:hAnsi="Arial" w:cs="Arial"/>
        </w:rPr>
        <w:t xml:space="preserve"> Radicación 54001-23-31-000-1999-0111-01 (23358)</w:t>
      </w:r>
      <w:r>
        <w:rPr>
          <w:rFonts w:ascii="Arial" w:eastAsia="Calibri" w:hAnsi="Arial" w:cs="Arial"/>
        </w:rPr>
        <w:t xml:space="preserve"> respecto de las consecuencias negativas de la aplicación de un acto administrativo sobre el cual recae una indebida notificación, la misma se debe atender como una operación administrativa y en tal sentido ventilarse conforme los postulados de la acción de reparación directa, situación que resulta inaplicable al caso porque bajo esa premisa el despacho desconoce en primera medida que la sentencia que usa de base, hace referencia a los actos </w:t>
      </w:r>
      <w:r>
        <w:rPr>
          <w:rFonts w:ascii="Arial" w:eastAsia="Calibri" w:hAnsi="Arial" w:cs="Arial"/>
        </w:rPr>
        <w:lastRenderedPageBreak/>
        <w:t>administrativos de ejecución, véase:</w:t>
      </w:r>
    </w:p>
    <w:p w14:paraId="3C8D13E7" w14:textId="77777777" w:rsidR="007500C7" w:rsidRDefault="007500C7" w:rsidP="00037D51">
      <w:pPr>
        <w:spacing w:line="312" w:lineRule="auto"/>
        <w:jc w:val="both"/>
        <w:rPr>
          <w:rFonts w:ascii="Arial" w:eastAsia="Calibri" w:hAnsi="Arial" w:cs="Arial"/>
        </w:rPr>
      </w:pPr>
    </w:p>
    <w:p w14:paraId="6402BF7C" w14:textId="65ACEFCA" w:rsidR="007500C7" w:rsidRDefault="007500C7" w:rsidP="007500C7">
      <w:pPr>
        <w:spacing w:line="312" w:lineRule="auto"/>
        <w:jc w:val="center"/>
        <w:rPr>
          <w:rFonts w:ascii="Arial" w:eastAsia="Calibri" w:hAnsi="Arial" w:cs="Arial"/>
        </w:rPr>
      </w:pPr>
      <w:r w:rsidRPr="007500C7">
        <w:rPr>
          <w:rFonts w:ascii="Arial" w:eastAsia="Calibri" w:hAnsi="Arial" w:cs="Arial"/>
          <w:noProof/>
          <w:lang w:val="es-CO" w:eastAsia="es-CO"/>
        </w:rPr>
        <w:drawing>
          <wp:inline distT="0" distB="0" distL="0" distR="0" wp14:anchorId="3677FEF6" wp14:editId="347CF065">
            <wp:extent cx="5734850" cy="4363059"/>
            <wp:effectExtent l="0" t="0" r="0" b="0"/>
            <wp:docPr id="1262508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08900" name=""/>
                    <pic:cNvPicPr/>
                  </pic:nvPicPr>
                  <pic:blipFill>
                    <a:blip r:embed="rId12"/>
                    <a:stretch>
                      <a:fillRect/>
                    </a:stretch>
                  </pic:blipFill>
                  <pic:spPr>
                    <a:xfrm>
                      <a:off x="0" y="0"/>
                      <a:ext cx="5734850" cy="4363059"/>
                    </a:xfrm>
                    <a:prstGeom prst="rect">
                      <a:avLst/>
                    </a:prstGeom>
                  </pic:spPr>
                </pic:pic>
              </a:graphicData>
            </a:graphic>
          </wp:inline>
        </w:drawing>
      </w:r>
    </w:p>
    <w:p w14:paraId="1D69C130" w14:textId="1DF0D31E" w:rsidR="007500C7" w:rsidRDefault="007500C7" w:rsidP="00037D51">
      <w:pPr>
        <w:spacing w:line="312" w:lineRule="auto"/>
        <w:jc w:val="both"/>
        <w:rPr>
          <w:rFonts w:ascii="Arial" w:eastAsia="Calibri" w:hAnsi="Arial" w:cs="Arial"/>
        </w:rPr>
      </w:pPr>
      <w:r>
        <w:rPr>
          <w:rFonts w:ascii="Arial" w:eastAsia="Calibri" w:hAnsi="Arial" w:cs="Arial"/>
        </w:rPr>
        <w:t xml:space="preserve"> </w:t>
      </w:r>
    </w:p>
    <w:p w14:paraId="5CDB42FA" w14:textId="33730F1D" w:rsidR="007500C7" w:rsidRPr="007500C7" w:rsidRDefault="007500C7" w:rsidP="004C39A4">
      <w:pPr>
        <w:spacing w:line="312" w:lineRule="auto"/>
        <w:jc w:val="both"/>
        <w:rPr>
          <w:rFonts w:ascii="Arial" w:eastAsia="Calibri" w:hAnsi="Arial" w:cs="Arial"/>
          <w:i/>
          <w:iCs/>
          <w:sz w:val="20"/>
          <w:szCs w:val="20"/>
        </w:rPr>
      </w:pPr>
      <w:r>
        <w:rPr>
          <w:rFonts w:ascii="Arial" w:eastAsia="Calibri" w:hAnsi="Arial" w:cs="Arial"/>
        </w:rPr>
        <w:t>Mientras que el caso que nos ocupa se refiere claramente a un acto administrativo definitivo, y en segunda medida yerra en interpretación el despacho, porque el artículo 141 de la Ley 1437 de 2011 señala con claridad que</w:t>
      </w:r>
      <w:r w:rsidR="004C39A4">
        <w:rPr>
          <w:rFonts w:ascii="Arial" w:eastAsia="Calibri" w:hAnsi="Arial" w:cs="Arial"/>
        </w:rPr>
        <w:t xml:space="preserve"> las diferencias que se susciten respecto de la ejecución de un contrato del estado, deberán ser ventiladas mediante la acción de controversias contractuales, motivo por el cual no es viable la apreciación del despacho de considerar que se eligió la vía jurídica equivocada para pretender la solución del conflicto suscitado respecto del Convenio de Colaboración suscrito entre el municipio de Bugalagrande y la </w:t>
      </w:r>
      <w:r w:rsidR="004C39A4" w:rsidRPr="004C39A4">
        <w:rPr>
          <w:rFonts w:ascii="Arial" w:eastAsia="Calibri" w:hAnsi="Arial" w:cs="Arial"/>
        </w:rPr>
        <w:t xml:space="preserve">Fundación de Amigos de Colombia </w:t>
      </w:r>
      <w:r w:rsidR="004C39A4">
        <w:rPr>
          <w:rFonts w:ascii="Arial" w:eastAsia="Calibri" w:hAnsi="Arial" w:cs="Arial"/>
        </w:rPr>
        <w:t>“</w:t>
      </w:r>
      <w:r w:rsidR="004C39A4" w:rsidRPr="004C39A4">
        <w:rPr>
          <w:rFonts w:ascii="Arial" w:eastAsia="Calibri" w:hAnsi="Arial" w:cs="Arial"/>
        </w:rPr>
        <w:t>FUNDACOL</w:t>
      </w:r>
      <w:r w:rsidR="004C39A4">
        <w:rPr>
          <w:rFonts w:ascii="Arial" w:eastAsia="Calibri" w:hAnsi="Arial" w:cs="Arial"/>
        </w:rPr>
        <w:t>”.</w:t>
      </w:r>
    </w:p>
    <w:p w14:paraId="58DE6E4D" w14:textId="77777777" w:rsidR="007500C7" w:rsidRDefault="007500C7" w:rsidP="00037D51">
      <w:pPr>
        <w:spacing w:line="312" w:lineRule="auto"/>
        <w:jc w:val="both"/>
        <w:rPr>
          <w:rFonts w:ascii="Arial" w:eastAsia="Calibri" w:hAnsi="Arial" w:cs="Arial"/>
        </w:rPr>
      </w:pPr>
    </w:p>
    <w:p w14:paraId="17E09240" w14:textId="5BB1075D" w:rsidR="001F680F" w:rsidRPr="00937F37" w:rsidRDefault="00C331E0" w:rsidP="00037D51">
      <w:pPr>
        <w:spacing w:line="312" w:lineRule="auto"/>
        <w:jc w:val="both"/>
        <w:rPr>
          <w:rFonts w:ascii="Arial" w:eastAsia="Calibri" w:hAnsi="Arial" w:cs="Arial"/>
        </w:rPr>
      </w:pPr>
      <w:r>
        <w:rPr>
          <w:rFonts w:ascii="Arial" w:eastAsia="Calibri" w:hAnsi="Arial" w:cs="Arial"/>
        </w:rPr>
        <w:t>Previsto todo lo anterior,</w:t>
      </w:r>
      <w:r w:rsidR="007E081E">
        <w:rPr>
          <w:rFonts w:ascii="Arial" w:eastAsia="Calibri" w:hAnsi="Arial" w:cs="Arial"/>
        </w:rPr>
        <w:t xml:space="preserve"> no</w:t>
      </w:r>
      <w:r w:rsidR="00E16F89">
        <w:rPr>
          <w:rFonts w:ascii="Arial" w:eastAsia="Calibri" w:hAnsi="Arial" w:cs="Arial"/>
        </w:rPr>
        <w:t xml:space="preserve"> puede</w:t>
      </w:r>
      <w:r w:rsidR="007E081E">
        <w:rPr>
          <w:rFonts w:ascii="Arial" w:eastAsia="Calibri" w:hAnsi="Arial" w:cs="Arial"/>
        </w:rPr>
        <w:t xml:space="preserve"> </w:t>
      </w:r>
      <w:r w:rsidR="00E16F89">
        <w:rPr>
          <w:rFonts w:ascii="Arial" w:eastAsia="Calibri" w:hAnsi="Arial" w:cs="Arial"/>
        </w:rPr>
        <w:t>existir</w:t>
      </w:r>
      <w:r w:rsidR="007E081E">
        <w:rPr>
          <w:rFonts w:ascii="Arial" w:eastAsia="Calibri" w:hAnsi="Arial" w:cs="Arial"/>
        </w:rPr>
        <w:t xml:space="preserve"> otra alternativa </w:t>
      </w:r>
      <w:r w:rsidR="00E16F89">
        <w:rPr>
          <w:rFonts w:ascii="Arial" w:eastAsia="Calibri" w:hAnsi="Arial" w:cs="Arial"/>
        </w:rPr>
        <w:t xml:space="preserve">más </w:t>
      </w:r>
      <w:r w:rsidR="007E081E">
        <w:rPr>
          <w:rFonts w:ascii="Arial" w:eastAsia="Calibri" w:hAnsi="Arial" w:cs="Arial"/>
        </w:rPr>
        <w:t xml:space="preserve">que </w:t>
      </w:r>
      <w:r w:rsidR="00E16F89">
        <w:rPr>
          <w:rFonts w:ascii="Arial" w:eastAsia="Calibri" w:hAnsi="Arial" w:cs="Arial"/>
        </w:rPr>
        <w:t xml:space="preserve">la de </w:t>
      </w:r>
      <w:r w:rsidR="007E081E">
        <w:rPr>
          <w:rFonts w:ascii="Arial" w:eastAsia="Calibri" w:hAnsi="Arial" w:cs="Arial"/>
        </w:rPr>
        <w:t>revocar la decisión tomada en primera instancia y en su lugar conceder todas las pretensiones</w:t>
      </w:r>
      <w:r w:rsidR="00065B99">
        <w:rPr>
          <w:rFonts w:ascii="Arial" w:eastAsia="Calibri" w:hAnsi="Arial" w:cs="Arial"/>
        </w:rPr>
        <w:t xml:space="preserve"> incoadas en la demanda</w:t>
      </w:r>
      <w:r w:rsidR="007E081E">
        <w:rPr>
          <w:rFonts w:ascii="Arial" w:eastAsia="Calibri" w:hAnsi="Arial" w:cs="Arial"/>
        </w:rPr>
        <w:t xml:space="preserve">. </w:t>
      </w:r>
    </w:p>
    <w:p w14:paraId="26A63414" w14:textId="77777777" w:rsidR="00937F37" w:rsidRDefault="00937F37" w:rsidP="00037D51">
      <w:pPr>
        <w:spacing w:line="312" w:lineRule="auto"/>
        <w:jc w:val="both"/>
        <w:rPr>
          <w:rFonts w:ascii="Arial" w:eastAsia="Calibri" w:hAnsi="Arial" w:cs="Arial"/>
        </w:rPr>
      </w:pPr>
    </w:p>
    <w:p w14:paraId="3A80D0C8" w14:textId="77777777" w:rsidR="001F680F" w:rsidRPr="00BC357C" w:rsidRDefault="001F680F" w:rsidP="001F680F">
      <w:pPr>
        <w:pStyle w:val="Prrafodelista"/>
        <w:numPr>
          <w:ilvl w:val="0"/>
          <w:numId w:val="22"/>
        </w:numPr>
        <w:spacing w:line="312" w:lineRule="auto"/>
        <w:jc w:val="both"/>
        <w:rPr>
          <w:rFonts w:ascii="Arial" w:eastAsia="Calibri" w:hAnsi="Arial" w:cs="Arial"/>
          <w:b/>
          <w:bCs/>
        </w:rPr>
      </w:pPr>
      <w:r w:rsidRPr="00BC357C">
        <w:rPr>
          <w:rFonts w:ascii="Arial" w:eastAsia="Calibri" w:hAnsi="Arial" w:cs="Arial"/>
          <w:b/>
          <w:bCs/>
        </w:rPr>
        <w:t>SE LOGRÓ DEMOSTRAR LA CONFIGURACIÓN DEL FENÓMENO DE LA PRESCRIPCIÓN</w:t>
      </w:r>
      <w:r>
        <w:rPr>
          <w:rFonts w:ascii="Arial" w:eastAsia="Calibri" w:hAnsi="Arial" w:cs="Arial"/>
          <w:b/>
          <w:bCs/>
        </w:rPr>
        <w:t xml:space="preserve"> </w:t>
      </w:r>
      <w:r w:rsidRPr="00BC357C">
        <w:rPr>
          <w:rFonts w:ascii="Arial" w:eastAsia="Calibri" w:hAnsi="Arial" w:cs="Arial"/>
          <w:b/>
          <w:bCs/>
        </w:rPr>
        <w:t xml:space="preserve">DERIVADA DE LAS ACCIONES DEL CONTRATO DE SEGURO </w:t>
      </w:r>
    </w:p>
    <w:p w14:paraId="7AD663D7" w14:textId="32D95B4D" w:rsidR="001F680F" w:rsidRDefault="001F680F" w:rsidP="001F680F">
      <w:pPr>
        <w:spacing w:line="312" w:lineRule="auto"/>
        <w:jc w:val="both"/>
        <w:rPr>
          <w:rFonts w:ascii="Arial" w:eastAsia="Calibri" w:hAnsi="Arial" w:cs="Arial"/>
        </w:rPr>
      </w:pPr>
      <w:r>
        <w:rPr>
          <w:rFonts w:ascii="Arial" w:eastAsia="Calibri" w:hAnsi="Arial" w:cs="Arial"/>
        </w:rPr>
        <w:t xml:space="preserve">Dentro de sus argumentos el despacho desconoce los planteamientos relacionados con la prescripción de la acción derivada del contrato de seguros, y manifiesta que </w:t>
      </w:r>
      <w:r w:rsidR="00C24974">
        <w:rPr>
          <w:rFonts w:ascii="Arial" w:eastAsia="Calibri" w:hAnsi="Arial" w:cs="Arial"/>
        </w:rPr>
        <w:t xml:space="preserve">la entidad </w:t>
      </w:r>
      <w:r>
        <w:rPr>
          <w:rFonts w:ascii="Arial" w:eastAsia="Calibri" w:hAnsi="Arial" w:cs="Arial"/>
        </w:rPr>
        <w:t xml:space="preserve">ejerció </w:t>
      </w:r>
      <w:r w:rsidR="00C24974">
        <w:rPr>
          <w:rFonts w:ascii="Arial" w:eastAsia="Calibri" w:hAnsi="Arial" w:cs="Arial"/>
        </w:rPr>
        <w:t>la acción dentro de los términos adecuados para ello, y en tal sentido manifiesta lo siguiente:</w:t>
      </w:r>
    </w:p>
    <w:p w14:paraId="591343F2" w14:textId="77777777" w:rsidR="00C24974" w:rsidRDefault="00C24974" w:rsidP="001F680F">
      <w:pPr>
        <w:spacing w:line="312" w:lineRule="auto"/>
        <w:jc w:val="both"/>
        <w:rPr>
          <w:rFonts w:ascii="Arial" w:eastAsia="Calibri" w:hAnsi="Arial" w:cs="Arial"/>
        </w:rPr>
      </w:pPr>
    </w:p>
    <w:p w14:paraId="6AF46CA5" w14:textId="093CE5B2" w:rsidR="00C24974" w:rsidRDefault="00C24974" w:rsidP="001F680F">
      <w:pPr>
        <w:spacing w:line="312" w:lineRule="auto"/>
        <w:jc w:val="both"/>
        <w:rPr>
          <w:rFonts w:ascii="Arial" w:eastAsia="Calibri" w:hAnsi="Arial" w:cs="Arial"/>
        </w:rPr>
      </w:pPr>
      <w:r w:rsidRPr="00C24974">
        <w:rPr>
          <w:rFonts w:ascii="Arial" w:eastAsia="Calibri" w:hAnsi="Arial" w:cs="Arial"/>
          <w:noProof/>
          <w:lang w:val="es-CO" w:eastAsia="es-CO"/>
        </w:rPr>
        <w:lastRenderedPageBreak/>
        <w:drawing>
          <wp:inline distT="0" distB="0" distL="0" distR="0" wp14:anchorId="00449723" wp14:editId="1EAF2D65">
            <wp:extent cx="6039693" cy="1171739"/>
            <wp:effectExtent l="0" t="0" r="0" b="9525"/>
            <wp:docPr id="15425627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62789" name="Imagen 1" descr="Texto&#10;&#10;Descripción generada automáticamente"/>
                    <pic:cNvPicPr/>
                  </pic:nvPicPr>
                  <pic:blipFill>
                    <a:blip r:embed="rId13"/>
                    <a:stretch>
                      <a:fillRect/>
                    </a:stretch>
                  </pic:blipFill>
                  <pic:spPr>
                    <a:xfrm>
                      <a:off x="0" y="0"/>
                      <a:ext cx="6039693" cy="1171739"/>
                    </a:xfrm>
                    <a:prstGeom prst="rect">
                      <a:avLst/>
                    </a:prstGeom>
                  </pic:spPr>
                </pic:pic>
              </a:graphicData>
            </a:graphic>
          </wp:inline>
        </w:drawing>
      </w:r>
    </w:p>
    <w:p w14:paraId="199F7DC8" w14:textId="3B21EE20" w:rsidR="00C24974" w:rsidRDefault="00C24974" w:rsidP="001F680F">
      <w:pPr>
        <w:spacing w:line="312" w:lineRule="auto"/>
        <w:jc w:val="both"/>
        <w:rPr>
          <w:rFonts w:ascii="Arial" w:eastAsia="Calibri" w:hAnsi="Arial" w:cs="Arial"/>
        </w:rPr>
      </w:pPr>
      <w:r>
        <w:rPr>
          <w:rFonts w:ascii="Arial" w:eastAsia="Calibri" w:hAnsi="Arial" w:cs="Arial"/>
        </w:rPr>
        <w:t>Dicha concepción otorga al ente territorial de manera arbitraria e injustificada la facultad de poder ejercer acciones en desconocimiento de los términos contractuales del acuerdo aseguraticio y del principio general que nadie puede alegar en su favor su propia culpa o negligencia. Lo anterior se sustenta porque dice el juzgado que la fecha que se debe atender para determinar la contabilización de términos para la prescripción de la acción derivada del contrato de seguros no es -como máximo- la finalización del plazo contractual sino los informes de interventoría que se presentaron meses después de término del contrato lo cual tuvo lugar el 10 de junio de 2015.</w:t>
      </w:r>
    </w:p>
    <w:p w14:paraId="18D01364" w14:textId="77777777" w:rsidR="00C24974" w:rsidRDefault="00C24974" w:rsidP="001F680F">
      <w:pPr>
        <w:spacing w:line="312" w:lineRule="auto"/>
        <w:jc w:val="both"/>
        <w:rPr>
          <w:rFonts w:ascii="Arial" w:eastAsia="Calibri" w:hAnsi="Arial" w:cs="Arial"/>
        </w:rPr>
      </w:pPr>
    </w:p>
    <w:p w14:paraId="160D8FF8" w14:textId="5BC216F6" w:rsidR="00C24974" w:rsidRDefault="00C24974" w:rsidP="001F680F">
      <w:pPr>
        <w:spacing w:line="312" w:lineRule="auto"/>
        <w:jc w:val="both"/>
        <w:rPr>
          <w:rFonts w:ascii="Arial" w:eastAsia="Calibri" w:hAnsi="Arial" w:cs="Arial"/>
        </w:rPr>
      </w:pPr>
      <w:r>
        <w:rPr>
          <w:rFonts w:ascii="Arial" w:eastAsia="Calibri" w:hAnsi="Arial" w:cs="Arial"/>
        </w:rPr>
        <w:t xml:space="preserve">Dicha consideración tiene matices que requieren indispensable análisis, el primer punto es que el juez releva de sus obligaciones y las carga tanto al contratista como a la </w:t>
      </w:r>
      <w:r w:rsidR="00F37D06">
        <w:rPr>
          <w:rFonts w:ascii="Arial" w:eastAsia="Calibri" w:hAnsi="Arial" w:cs="Arial"/>
        </w:rPr>
        <w:t>entidad contratante</w:t>
      </w:r>
      <w:r>
        <w:rPr>
          <w:rFonts w:ascii="Arial" w:eastAsia="Calibri" w:hAnsi="Arial" w:cs="Arial"/>
        </w:rPr>
        <w:t xml:space="preserve">, y ello es así porque el convenio suscrito entre las partes indica con claridad que la interventoría estará a cargo del Municipio de Bugalagrande, </w:t>
      </w:r>
      <w:r w:rsidR="00181C4D">
        <w:rPr>
          <w:rFonts w:ascii="Arial" w:eastAsia="Calibri" w:hAnsi="Arial" w:cs="Arial"/>
        </w:rPr>
        <w:t>en tal sentido el documento indica</w:t>
      </w:r>
      <w:r>
        <w:rPr>
          <w:rFonts w:ascii="Arial" w:eastAsia="Calibri" w:hAnsi="Arial" w:cs="Arial"/>
        </w:rPr>
        <w:t>:</w:t>
      </w:r>
    </w:p>
    <w:p w14:paraId="4BCBB632" w14:textId="77777777" w:rsidR="00181C4D" w:rsidRDefault="00181C4D" w:rsidP="001F680F">
      <w:pPr>
        <w:spacing w:line="312" w:lineRule="auto"/>
        <w:jc w:val="both"/>
        <w:rPr>
          <w:rFonts w:ascii="Arial" w:eastAsia="Calibri" w:hAnsi="Arial" w:cs="Arial"/>
        </w:rPr>
      </w:pPr>
    </w:p>
    <w:p w14:paraId="27F65FDE" w14:textId="5A042F29" w:rsidR="00181C4D" w:rsidRPr="003060FD" w:rsidRDefault="00181C4D" w:rsidP="003060FD">
      <w:pPr>
        <w:spacing w:line="312" w:lineRule="auto"/>
        <w:ind w:left="567" w:right="567"/>
        <w:jc w:val="both"/>
        <w:rPr>
          <w:rFonts w:ascii="Arial" w:eastAsia="Calibri" w:hAnsi="Arial" w:cs="Arial"/>
          <w:i/>
          <w:iCs/>
          <w:sz w:val="20"/>
          <w:szCs w:val="20"/>
        </w:rPr>
      </w:pPr>
      <w:r w:rsidRPr="003060FD">
        <w:rPr>
          <w:rFonts w:ascii="Arial" w:eastAsia="Calibri" w:hAnsi="Arial" w:cs="Arial"/>
          <w:i/>
          <w:iCs/>
          <w:sz w:val="20"/>
          <w:szCs w:val="20"/>
        </w:rPr>
        <w:t>“</w:t>
      </w:r>
      <w:proofErr w:type="gramStart"/>
      <w:r w:rsidRPr="003060FD">
        <w:rPr>
          <w:rFonts w:ascii="Arial" w:eastAsia="Calibri" w:hAnsi="Arial" w:cs="Arial"/>
          <w:i/>
          <w:iCs/>
          <w:sz w:val="20"/>
          <w:szCs w:val="20"/>
        </w:rPr>
        <w:t>CUARTA.-</w:t>
      </w:r>
      <w:proofErr w:type="gramEnd"/>
      <w:r w:rsidRPr="003060FD">
        <w:rPr>
          <w:rFonts w:ascii="Arial" w:eastAsia="Calibri" w:hAnsi="Arial" w:cs="Arial"/>
          <w:i/>
          <w:iCs/>
          <w:sz w:val="20"/>
          <w:szCs w:val="20"/>
        </w:rPr>
        <w:t xml:space="preserve"> DERECHOS Y DEBERES DE LAS PARTES:</w:t>
      </w:r>
    </w:p>
    <w:p w14:paraId="176EAE98" w14:textId="77777777" w:rsidR="00181C4D" w:rsidRPr="003060FD" w:rsidRDefault="00181C4D" w:rsidP="003060FD">
      <w:pPr>
        <w:spacing w:line="312" w:lineRule="auto"/>
        <w:ind w:left="567" w:right="567"/>
        <w:jc w:val="both"/>
        <w:rPr>
          <w:rFonts w:ascii="Arial" w:eastAsia="Calibri" w:hAnsi="Arial" w:cs="Arial"/>
          <w:i/>
          <w:iCs/>
          <w:sz w:val="20"/>
          <w:szCs w:val="20"/>
        </w:rPr>
      </w:pPr>
    </w:p>
    <w:p w14:paraId="29836E56" w14:textId="4A6A6492" w:rsidR="00181C4D" w:rsidRPr="003060FD" w:rsidRDefault="00181C4D" w:rsidP="003060FD">
      <w:pPr>
        <w:spacing w:line="312" w:lineRule="auto"/>
        <w:ind w:left="567" w:right="567"/>
        <w:jc w:val="both"/>
        <w:rPr>
          <w:rFonts w:ascii="Arial" w:eastAsia="Calibri" w:hAnsi="Arial" w:cs="Arial"/>
          <w:i/>
          <w:iCs/>
          <w:sz w:val="20"/>
          <w:szCs w:val="20"/>
        </w:rPr>
      </w:pPr>
      <w:r w:rsidRPr="003060FD">
        <w:rPr>
          <w:rFonts w:ascii="Arial" w:eastAsia="Calibri" w:hAnsi="Arial" w:cs="Arial"/>
          <w:i/>
          <w:iCs/>
          <w:sz w:val="20"/>
          <w:szCs w:val="20"/>
        </w:rPr>
        <w:t>(…)</w:t>
      </w:r>
    </w:p>
    <w:p w14:paraId="36C6FCC0" w14:textId="77777777" w:rsidR="00181C4D" w:rsidRPr="003060FD" w:rsidRDefault="00181C4D" w:rsidP="003060FD">
      <w:pPr>
        <w:spacing w:line="312" w:lineRule="auto"/>
        <w:ind w:left="567" w:right="567"/>
        <w:jc w:val="both"/>
        <w:rPr>
          <w:rFonts w:ascii="Arial" w:eastAsia="Calibri" w:hAnsi="Arial" w:cs="Arial"/>
          <w:i/>
          <w:iCs/>
          <w:sz w:val="20"/>
          <w:szCs w:val="20"/>
        </w:rPr>
      </w:pPr>
    </w:p>
    <w:p w14:paraId="164F0415" w14:textId="060F8B50" w:rsidR="00181C4D" w:rsidRPr="003060FD" w:rsidRDefault="00181C4D" w:rsidP="00A61E66">
      <w:pPr>
        <w:spacing w:line="312" w:lineRule="auto"/>
        <w:ind w:left="567" w:right="567"/>
        <w:jc w:val="both"/>
        <w:rPr>
          <w:rFonts w:ascii="Arial" w:eastAsia="Calibri" w:hAnsi="Arial" w:cs="Arial"/>
          <w:i/>
          <w:iCs/>
          <w:sz w:val="20"/>
          <w:szCs w:val="20"/>
        </w:rPr>
      </w:pPr>
      <w:r w:rsidRPr="003060FD">
        <w:rPr>
          <w:rFonts w:ascii="Arial" w:eastAsia="Calibri" w:hAnsi="Arial" w:cs="Arial"/>
          <w:i/>
          <w:iCs/>
          <w:sz w:val="20"/>
          <w:szCs w:val="20"/>
        </w:rPr>
        <w:t xml:space="preserve">DEL ASOCIADO </w:t>
      </w:r>
      <w:proofErr w:type="gramStart"/>
      <w:r w:rsidRPr="003060FD">
        <w:rPr>
          <w:rFonts w:ascii="Arial" w:eastAsia="Calibri" w:hAnsi="Arial" w:cs="Arial"/>
          <w:i/>
          <w:iCs/>
          <w:sz w:val="20"/>
          <w:szCs w:val="20"/>
        </w:rPr>
        <w:t>MUNICIPIO.-</w:t>
      </w:r>
      <w:proofErr w:type="gramEnd"/>
      <w:r w:rsidRPr="003060FD">
        <w:rPr>
          <w:rFonts w:ascii="Arial" w:eastAsia="Calibri" w:hAnsi="Arial" w:cs="Arial"/>
          <w:i/>
          <w:iCs/>
          <w:sz w:val="20"/>
          <w:szCs w:val="20"/>
        </w:rPr>
        <w:t xml:space="preserve"> Son deberes y derechos del Asociado Municipio además de los contenidos en la Ley de Contratación de la Administración Pública, los siguientes: (…) c) </w:t>
      </w:r>
      <w:r w:rsidRPr="005D5EEC">
        <w:rPr>
          <w:rFonts w:ascii="Arial" w:eastAsia="Calibri" w:hAnsi="Arial" w:cs="Arial"/>
          <w:b/>
          <w:bCs/>
          <w:i/>
          <w:iCs/>
          <w:sz w:val="20"/>
          <w:szCs w:val="20"/>
          <w:u w:val="single"/>
        </w:rPr>
        <w:t>Verificar la ejecución y desarrollo del Convenio Asociativo con la participación de la secretaría de Planeación</w:t>
      </w:r>
      <w:r w:rsidRPr="003060FD">
        <w:rPr>
          <w:rFonts w:ascii="Arial" w:eastAsia="Calibri" w:hAnsi="Arial" w:cs="Arial"/>
          <w:i/>
          <w:iCs/>
          <w:sz w:val="20"/>
          <w:szCs w:val="20"/>
        </w:rPr>
        <w:t xml:space="preserve">. (…) f) </w:t>
      </w:r>
      <w:r w:rsidRPr="005D5EEC">
        <w:rPr>
          <w:rFonts w:ascii="Arial" w:eastAsia="Calibri" w:hAnsi="Arial" w:cs="Arial"/>
          <w:b/>
          <w:bCs/>
          <w:i/>
          <w:iCs/>
          <w:sz w:val="20"/>
          <w:szCs w:val="20"/>
          <w:u w:val="single"/>
        </w:rPr>
        <w:t>Ejercer la interventoría del convenio Asociativo a través de la Secretaría de Planeación del municipio o a quién para el caso de este convenio se delegue</w:t>
      </w:r>
      <w:r w:rsidRPr="003060FD">
        <w:rPr>
          <w:rFonts w:ascii="Arial" w:eastAsia="Calibri" w:hAnsi="Arial" w:cs="Arial"/>
          <w:i/>
          <w:iCs/>
          <w:sz w:val="20"/>
          <w:szCs w:val="20"/>
        </w:rPr>
        <w:t>.</w:t>
      </w:r>
      <w:r w:rsidR="00A61E66">
        <w:rPr>
          <w:rFonts w:ascii="Arial" w:eastAsia="Calibri" w:hAnsi="Arial" w:cs="Arial"/>
          <w:i/>
          <w:iCs/>
          <w:sz w:val="20"/>
          <w:szCs w:val="20"/>
        </w:rPr>
        <w:t xml:space="preserve"> </w:t>
      </w:r>
      <w:r w:rsidR="00A61E66">
        <w:rPr>
          <w:rFonts w:ascii="Arial" w:eastAsia="Calibri" w:hAnsi="Arial" w:cs="Arial"/>
          <w:sz w:val="20"/>
          <w:szCs w:val="20"/>
        </w:rPr>
        <w:t>(Negrillas y subrayado fuera del texto original)</w:t>
      </w:r>
    </w:p>
    <w:p w14:paraId="66A0152F" w14:textId="77777777" w:rsidR="003060FD" w:rsidRDefault="003060FD" w:rsidP="001F680F">
      <w:pPr>
        <w:spacing w:line="312" w:lineRule="auto"/>
        <w:jc w:val="both"/>
        <w:rPr>
          <w:rFonts w:ascii="Arial" w:eastAsia="Calibri" w:hAnsi="Arial" w:cs="Arial"/>
        </w:rPr>
      </w:pPr>
    </w:p>
    <w:p w14:paraId="546D486D" w14:textId="2ACEE578" w:rsidR="003060FD" w:rsidRDefault="003060FD" w:rsidP="001F680F">
      <w:pPr>
        <w:spacing w:line="312" w:lineRule="auto"/>
        <w:jc w:val="both"/>
        <w:rPr>
          <w:rFonts w:ascii="Arial" w:eastAsia="Calibri" w:hAnsi="Arial" w:cs="Arial"/>
        </w:rPr>
      </w:pPr>
      <w:r>
        <w:rPr>
          <w:rFonts w:ascii="Arial" w:eastAsia="Calibri" w:hAnsi="Arial" w:cs="Arial"/>
        </w:rPr>
        <w:t xml:space="preserve">De los anteriores términos se extrae </w:t>
      </w:r>
      <w:r w:rsidR="005D5EEC">
        <w:rPr>
          <w:rFonts w:ascii="Arial" w:eastAsia="Calibri" w:hAnsi="Arial" w:cs="Arial"/>
        </w:rPr>
        <w:t xml:space="preserve">claramente que el ente territorial faltó a su obligación contractual de verificar la ejecución del proyecto y de ejercer la interventoría, pues resulta ilógico que si se hubiese dado una actuación diligente </w:t>
      </w:r>
      <w:r w:rsidR="00D66C1A">
        <w:rPr>
          <w:rFonts w:ascii="Arial" w:eastAsia="Calibri" w:hAnsi="Arial" w:cs="Arial"/>
        </w:rPr>
        <w:t>e</w:t>
      </w:r>
      <w:r w:rsidR="00CA355F">
        <w:rPr>
          <w:rFonts w:ascii="Arial" w:eastAsia="Calibri" w:hAnsi="Arial" w:cs="Arial"/>
        </w:rPr>
        <w:t xml:space="preserve">n </w:t>
      </w:r>
      <w:r w:rsidR="005D5EEC">
        <w:rPr>
          <w:rFonts w:ascii="Arial" w:eastAsia="Calibri" w:hAnsi="Arial" w:cs="Arial"/>
        </w:rPr>
        <w:t xml:space="preserve">estos puntos, no se hubiese detectado los inconvenientes que sí se detectaron tras haber fenecido el plazo de ejecución del contrato, situación que indudablemente </w:t>
      </w:r>
      <w:r w:rsidR="00CE195A">
        <w:rPr>
          <w:rFonts w:ascii="Arial" w:eastAsia="Calibri" w:hAnsi="Arial" w:cs="Arial"/>
        </w:rPr>
        <w:t xml:space="preserve">implica que la entidad debió conocer del siniestro hasta máximo </w:t>
      </w:r>
      <w:r w:rsidR="002B028B">
        <w:rPr>
          <w:rFonts w:ascii="Arial" w:eastAsia="Calibri" w:hAnsi="Arial" w:cs="Arial"/>
        </w:rPr>
        <w:t xml:space="preserve">el momento en que finalizó el plazo contractual que fue el 10 de junio de 2015, y que si no lo conoció en esa fecha fue porque claramente incumplió con lo estipulado en la cláusula cuarta del convenio. En tal contexto atender el criterio desatinado del </w:t>
      </w:r>
      <w:r w:rsidR="002B028B" w:rsidRPr="00A47CF4">
        <w:rPr>
          <w:rFonts w:ascii="Arial" w:eastAsia="Calibri" w:hAnsi="Arial" w:cs="Arial"/>
          <w:i/>
          <w:iCs/>
        </w:rPr>
        <w:t>a quo</w:t>
      </w:r>
      <w:r w:rsidR="002B028B">
        <w:rPr>
          <w:rFonts w:ascii="Arial" w:eastAsia="Calibri" w:hAnsi="Arial" w:cs="Arial"/>
        </w:rPr>
        <w:t xml:space="preserve"> implicaría que</w:t>
      </w:r>
      <w:r w:rsidR="003B406F">
        <w:rPr>
          <w:rFonts w:ascii="Arial" w:eastAsia="Calibri" w:hAnsi="Arial" w:cs="Arial"/>
        </w:rPr>
        <w:t>,</w:t>
      </w:r>
      <w:r w:rsidR="002B028B">
        <w:rPr>
          <w:rFonts w:ascii="Arial" w:eastAsia="Calibri" w:hAnsi="Arial" w:cs="Arial"/>
        </w:rPr>
        <w:t xml:space="preserve"> si es voluntad de la entidad presentar informes de auditoría dos, tres, cuatro o cinco años después de finalizado el plazo contractual, igual le facultaría para acudir a afectar la póliza porque en su teoría sería el momento oportuno de conocer el siniestro. La anterior concepción carece de sentido y es por ello </w:t>
      </w:r>
      <w:r w:rsidR="00AC6E96">
        <w:rPr>
          <w:rFonts w:ascii="Arial" w:eastAsia="Calibri" w:hAnsi="Arial" w:cs="Arial"/>
        </w:rPr>
        <w:t xml:space="preserve">por lo que </w:t>
      </w:r>
      <w:r w:rsidR="002B028B">
        <w:rPr>
          <w:rFonts w:ascii="Arial" w:eastAsia="Calibri" w:hAnsi="Arial" w:cs="Arial"/>
        </w:rPr>
        <w:t xml:space="preserve">debe entenderse, más allá de cualquier interpretación </w:t>
      </w:r>
      <w:r w:rsidR="00AC6E96">
        <w:rPr>
          <w:rFonts w:ascii="Arial" w:eastAsia="Calibri" w:hAnsi="Arial" w:cs="Arial"/>
        </w:rPr>
        <w:t xml:space="preserve">errada </w:t>
      </w:r>
      <w:r w:rsidR="002B028B">
        <w:rPr>
          <w:rFonts w:ascii="Arial" w:eastAsia="Calibri" w:hAnsi="Arial" w:cs="Arial"/>
        </w:rPr>
        <w:t xml:space="preserve">que quiera hacer el juzgado de primera instancia, que el momento máximo en </w:t>
      </w:r>
      <w:r w:rsidR="003B406F">
        <w:rPr>
          <w:rFonts w:ascii="Arial" w:eastAsia="Calibri" w:hAnsi="Arial" w:cs="Arial"/>
        </w:rPr>
        <w:t xml:space="preserve">que la entidad </w:t>
      </w:r>
      <w:r w:rsidR="003B406F" w:rsidRPr="003B406F">
        <w:rPr>
          <w:rFonts w:ascii="Arial" w:eastAsia="Calibri" w:hAnsi="Arial" w:cs="Arial"/>
          <w:b/>
          <w:bCs/>
          <w:u w:val="single"/>
        </w:rPr>
        <w:t>debió</w:t>
      </w:r>
      <w:r w:rsidR="003B406F">
        <w:rPr>
          <w:rFonts w:ascii="Arial" w:eastAsia="Calibri" w:hAnsi="Arial" w:cs="Arial"/>
        </w:rPr>
        <w:t xml:space="preserve"> conocer del daño, fue en el momento de terminación del contrato y no con los informes de auditoría que ellos mismos debían realizar y que no realizaron en su debido momento.</w:t>
      </w:r>
    </w:p>
    <w:p w14:paraId="1E124737" w14:textId="77777777" w:rsidR="00A61E66" w:rsidRDefault="00A61E66" w:rsidP="001F680F">
      <w:pPr>
        <w:spacing w:line="312" w:lineRule="auto"/>
        <w:jc w:val="both"/>
        <w:rPr>
          <w:rFonts w:ascii="Arial" w:eastAsia="Calibri" w:hAnsi="Arial" w:cs="Arial"/>
        </w:rPr>
      </w:pPr>
    </w:p>
    <w:p w14:paraId="25B13339" w14:textId="1CB24520" w:rsidR="00A61E66" w:rsidRDefault="00A61E66" w:rsidP="001F680F">
      <w:pPr>
        <w:spacing w:line="312" w:lineRule="auto"/>
        <w:jc w:val="both"/>
        <w:rPr>
          <w:rFonts w:ascii="Arial" w:eastAsia="Calibri" w:hAnsi="Arial" w:cs="Arial"/>
        </w:rPr>
      </w:pPr>
      <w:r>
        <w:rPr>
          <w:rFonts w:ascii="Arial" w:eastAsia="Calibri" w:hAnsi="Arial" w:cs="Arial"/>
        </w:rPr>
        <w:t xml:space="preserve">Así lo ha entendido </w:t>
      </w:r>
      <w:r w:rsidR="00D55286">
        <w:rPr>
          <w:rFonts w:ascii="Arial" w:eastAsia="Calibri" w:hAnsi="Arial" w:cs="Arial"/>
        </w:rPr>
        <w:t>la sección tercera d</w:t>
      </w:r>
      <w:r>
        <w:rPr>
          <w:rFonts w:ascii="Arial" w:eastAsia="Calibri" w:hAnsi="Arial" w:cs="Arial"/>
        </w:rPr>
        <w:t xml:space="preserve">el Consejo de Estado, quién en Sentencia </w:t>
      </w:r>
      <w:r w:rsidR="00D55286">
        <w:rPr>
          <w:rFonts w:ascii="Arial" w:eastAsia="Calibri" w:hAnsi="Arial" w:cs="Arial"/>
        </w:rPr>
        <w:t xml:space="preserve">reciente del 01 </w:t>
      </w:r>
      <w:r w:rsidR="00D55286">
        <w:rPr>
          <w:rFonts w:ascii="Arial" w:eastAsia="Calibri" w:hAnsi="Arial" w:cs="Arial"/>
        </w:rPr>
        <w:lastRenderedPageBreak/>
        <w:t xml:space="preserve">de marzo de 2023 con radicación No. </w:t>
      </w:r>
      <w:r w:rsidR="00D55286" w:rsidRPr="00D55286">
        <w:rPr>
          <w:rFonts w:ascii="Arial" w:eastAsia="Calibri" w:hAnsi="Arial" w:cs="Arial"/>
        </w:rPr>
        <w:t>Expediente: 25000-23-36-000-2013-00945-01 (57.276)</w:t>
      </w:r>
      <w:r w:rsidR="00D55286">
        <w:rPr>
          <w:rFonts w:ascii="Arial" w:eastAsia="Calibri" w:hAnsi="Arial" w:cs="Arial"/>
        </w:rPr>
        <w:t xml:space="preserve">, </w:t>
      </w:r>
      <w:r>
        <w:rPr>
          <w:rFonts w:ascii="Arial" w:eastAsia="Calibri" w:hAnsi="Arial" w:cs="Arial"/>
        </w:rPr>
        <w:t>decidió sobre un asunto análogo relacionado con la prescripción del contrato de seguro, y conceptúo lo siguiente:</w:t>
      </w:r>
    </w:p>
    <w:p w14:paraId="7158C599" w14:textId="77777777" w:rsidR="00A61E66" w:rsidRDefault="00A61E66" w:rsidP="001F680F">
      <w:pPr>
        <w:spacing w:line="312" w:lineRule="auto"/>
        <w:jc w:val="both"/>
        <w:rPr>
          <w:rFonts w:ascii="Arial" w:eastAsia="Calibri" w:hAnsi="Arial" w:cs="Arial"/>
        </w:rPr>
      </w:pPr>
    </w:p>
    <w:p w14:paraId="0A725468" w14:textId="4C66A162" w:rsidR="00A61E66" w:rsidRDefault="00A61E66" w:rsidP="00A61E66">
      <w:pPr>
        <w:spacing w:line="312" w:lineRule="auto"/>
        <w:ind w:left="567" w:right="567"/>
        <w:jc w:val="both"/>
        <w:rPr>
          <w:rFonts w:ascii="Arial" w:eastAsia="Calibri" w:hAnsi="Arial" w:cs="Arial"/>
          <w:i/>
          <w:iCs/>
          <w:sz w:val="20"/>
          <w:szCs w:val="20"/>
        </w:rPr>
      </w:pPr>
      <w:r>
        <w:rPr>
          <w:rFonts w:ascii="Arial" w:eastAsia="Calibri" w:hAnsi="Arial" w:cs="Arial"/>
          <w:i/>
          <w:iCs/>
          <w:sz w:val="20"/>
          <w:szCs w:val="20"/>
        </w:rPr>
        <w:t>(…)</w:t>
      </w:r>
    </w:p>
    <w:p w14:paraId="6C5E7DC7" w14:textId="77777777" w:rsidR="00A61E66" w:rsidRDefault="00A61E66" w:rsidP="00A61E66">
      <w:pPr>
        <w:spacing w:line="312" w:lineRule="auto"/>
        <w:ind w:left="567" w:right="567"/>
        <w:jc w:val="both"/>
        <w:rPr>
          <w:rFonts w:ascii="Arial" w:eastAsia="Calibri" w:hAnsi="Arial" w:cs="Arial"/>
          <w:i/>
          <w:iCs/>
          <w:sz w:val="20"/>
          <w:szCs w:val="20"/>
        </w:rPr>
      </w:pPr>
    </w:p>
    <w:p w14:paraId="20317559" w14:textId="5D39B8C5" w:rsidR="00A61E66" w:rsidRPr="00A61E66" w:rsidRDefault="00A61E66" w:rsidP="00A61E66">
      <w:pPr>
        <w:spacing w:line="312" w:lineRule="auto"/>
        <w:ind w:left="567" w:right="567"/>
        <w:jc w:val="both"/>
        <w:rPr>
          <w:rFonts w:ascii="Arial" w:eastAsia="Calibri" w:hAnsi="Arial" w:cs="Arial"/>
          <w:i/>
          <w:iCs/>
          <w:sz w:val="20"/>
          <w:szCs w:val="20"/>
        </w:rPr>
      </w:pPr>
      <w:r w:rsidRPr="00A61E66">
        <w:rPr>
          <w:rFonts w:ascii="Arial" w:eastAsia="Calibri" w:hAnsi="Arial" w:cs="Arial"/>
          <w:i/>
          <w:iCs/>
          <w:sz w:val="20"/>
          <w:szCs w:val="20"/>
        </w:rPr>
        <w:t xml:space="preserve">6) En este caso particular, la prescripción que opera en relación con el beneficiario es la ordinaria, </w:t>
      </w:r>
      <w:r w:rsidRPr="00A61E66">
        <w:rPr>
          <w:rFonts w:ascii="Arial" w:eastAsia="Calibri" w:hAnsi="Arial" w:cs="Arial"/>
          <w:i/>
          <w:iCs/>
          <w:sz w:val="20"/>
          <w:szCs w:val="20"/>
          <w:u w:val="single"/>
        </w:rPr>
        <w:t>toda vez que tenía la carga de verificar el cumplimiento cabal y oportuno de las obligaciones de su contratista</w:t>
      </w:r>
      <w:r w:rsidRPr="00A61E66">
        <w:rPr>
          <w:rFonts w:ascii="Arial" w:eastAsia="Calibri" w:hAnsi="Arial" w:cs="Arial"/>
          <w:i/>
          <w:iCs/>
          <w:sz w:val="20"/>
          <w:szCs w:val="20"/>
        </w:rPr>
        <w:t xml:space="preserve">. </w:t>
      </w:r>
    </w:p>
    <w:p w14:paraId="66919458" w14:textId="77777777" w:rsidR="00A61E66" w:rsidRPr="00A61E66" w:rsidRDefault="00A61E66" w:rsidP="00A61E66">
      <w:pPr>
        <w:spacing w:line="312" w:lineRule="auto"/>
        <w:ind w:left="567" w:right="567"/>
        <w:jc w:val="both"/>
        <w:rPr>
          <w:rFonts w:ascii="Arial" w:eastAsia="Calibri" w:hAnsi="Arial" w:cs="Arial"/>
          <w:i/>
          <w:iCs/>
          <w:sz w:val="20"/>
          <w:szCs w:val="20"/>
        </w:rPr>
      </w:pPr>
    </w:p>
    <w:p w14:paraId="757D3F5B" w14:textId="77777777" w:rsidR="00A61E66" w:rsidRPr="00A61E66" w:rsidRDefault="00A61E66" w:rsidP="00A61E66">
      <w:pPr>
        <w:spacing w:line="312" w:lineRule="auto"/>
        <w:ind w:left="567" w:right="567"/>
        <w:jc w:val="both"/>
        <w:rPr>
          <w:rFonts w:ascii="Arial" w:eastAsia="Calibri" w:hAnsi="Arial" w:cs="Arial"/>
          <w:i/>
          <w:iCs/>
          <w:sz w:val="20"/>
          <w:szCs w:val="20"/>
        </w:rPr>
      </w:pPr>
      <w:r w:rsidRPr="00A61E66">
        <w:rPr>
          <w:rFonts w:ascii="Arial" w:eastAsia="Calibri" w:hAnsi="Arial" w:cs="Arial"/>
          <w:i/>
          <w:iCs/>
          <w:sz w:val="20"/>
          <w:szCs w:val="20"/>
        </w:rPr>
        <w:t xml:space="preserve">7) La Sala no comparte la afirmación del tribunal según la cual la prescripción debe contabilizarse en este caso desde la realización de la audiencia de descargos porque, en su criterio, ese fue el momento en el cual se tuvo conocimiento de la ocurrencia del siniestro correspondiente al incumplimiento derivado del no pago de las obligaciones parafiscales por parte del contratista; por el contrario, es evidente que desde la citación a descargos la entidad conocía de los hechos en los cuales se fundamentó, pese a lo cual este tampoco ha de ser el referente para la contabilización del término extintivo. </w:t>
      </w:r>
    </w:p>
    <w:p w14:paraId="1D7F64BB" w14:textId="77777777" w:rsidR="00A61E66" w:rsidRPr="00A61E66" w:rsidRDefault="00A61E66" w:rsidP="00A61E66">
      <w:pPr>
        <w:spacing w:line="312" w:lineRule="auto"/>
        <w:ind w:left="567" w:right="567"/>
        <w:jc w:val="both"/>
        <w:rPr>
          <w:rFonts w:ascii="Arial" w:eastAsia="Calibri" w:hAnsi="Arial" w:cs="Arial"/>
          <w:i/>
          <w:iCs/>
          <w:sz w:val="20"/>
          <w:szCs w:val="20"/>
        </w:rPr>
      </w:pPr>
    </w:p>
    <w:p w14:paraId="57EF1307" w14:textId="77777777" w:rsidR="00A61E66" w:rsidRPr="00A61E66" w:rsidRDefault="00A61E66" w:rsidP="00A61E66">
      <w:pPr>
        <w:spacing w:line="312" w:lineRule="auto"/>
        <w:ind w:left="567" w:right="567"/>
        <w:jc w:val="both"/>
        <w:rPr>
          <w:rFonts w:ascii="Arial" w:eastAsia="Calibri" w:hAnsi="Arial" w:cs="Arial"/>
          <w:i/>
          <w:iCs/>
          <w:sz w:val="20"/>
          <w:szCs w:val="20"/>
        </w:rPr>
      </w:pPr>
      <w:r w:rsidRPr="00A61E66">
        <w:rPr>
          <w:rFonts w:ascii="Arial" w:eastAsia="Calibri" w:hAnsi="Arial" w:cs="Arial"/>
          <w:i/>
          <w:iCs/>
          <w:sz w:val="20"/>
          <w:szCs w:val="20"/>
        </w:rPr>
        <w:t xml:space="preserve">8) </w:t>
      </w:r>
      <w:r w:rsidRPr="00D55286">
        <w:rPr>
          <w:rFonts w:ascii="Arial" w:eastAsia="Calibri" w:hAnsi="Arial" w:cs="Arial"/>
          <w:i/>
          <w:iCs/>
          <w:sz w:val="20"/>
          <w:szCs w:val="20"/>
          <w:u w:val="single"/>
        </w:rPr>
        <w:t>Con independencia del momento en el cual se adelantó el procedimiento administrativo sancionatorio</w:t>
      </w:r>
      <w:r w:rsidRPr="00A61E66">
        <w:rPr>
          <w:rFonts w:ascii="Arial" w:eastAsia="Calibri" w:hAnsi="Arial" w:cs="Arial"/>
          <w:i/>
          <w:iCs/>
          <w:sz w:val="20"/>
          <w:szCs w:val="20"/>
        </w:rPr>
        <w:t xml:space="preserve">, lo cierto es que los aportes parafiscales y al sistema de seguridad social, así como las obligaciones de índole laboral, debían realizarse y cumplirse en forma sucesiva, por lo cual, </w:t>
      </w:r>
      <w:r w:rsidRPr="00D55286">
        <w:rPr>
          <w:rFonts w:ascii="Arial" w:eastAsia="Calibri" w:hAnsi="Arial" w:cs="Arial"/>
          <w:b/>
          <w:bCs/>
          <w:i/>
          <w:iCs/>
          <w:sz w:val="20"/>
          <w:szCs w:val="20"/>
          <w:u w:val="single"/>
        </w:rPr>
        <w:t>a más tardar a partir del vencimiento del plazo contractual (29 de octubre de 2010), la contratante tuvo conocimiento cierto e inequívoco del incumplimiento definitivo de esta obligación y, por ende, inició a contabilizarse la prescripción</w:t>
      </w:r>
      <w:r w:rsidRPr="00A61E66">
        <w:rPr>
          <w:rFonts w:ascii="Arial" w:eastAsia="Calibri" w:hAnsi="Arial" w:cs="Arial"/>
          <w:i/>
          <w:iCs/>
          <w:sz w:val="20"/>
          <w:szCs w:val="20"/>
        </w:rPr>
        <w:t xml:space="preserve">. </w:t>
      </w:r>
    </w:p>
    <w:p w14:paraId="3B3675AD" w14:textId="77777777" w:rsidR="00A61E66" w:rsidRPr="00A61E66" w:rsidRDefault="00A61E66" w:rsidP="00A61E66">
      <w:pPr>
        <w:spacing w:line="312" w:lineRule="auto"/>
        <w:ind w:left="567" w:right="567"/>
        <w:jc w:val="both"/>
        <w:rPr>
          <w:rFonts w:ascii="Arial" w:eastAsia="Calibri" w:hAnsi="Arial" w:cs="Arial"/>
          <w:i/>
          <w:iCs/>
          <w:sz w:val="20"/>
          <w:szCs w:val="20"/>
        </w:rPr>
      </w:pPr>
    </w:p>
    <w:p w14:paraId="2F2775C2" w14:textId="49A82823" w:rsidR="00A61E66" w:rsidRPr="00D55286" w:rsidRDefault="00A61E66" w:rsidP="00D55286">
      <w:pPr>
        <w:spacing w:line="312" w:lineRule="auto"/>
        <w:ind w:left="567" w:right="567"/>
        <w:jc w:val="both"/>
        <w:rPr>
          <w:rFonts w:ascii="Arial" w:eastAsia="Calibri" w:hAnsi="Arial" w:cs="Arial"/>
          <w:i/>
          <w:iCs/>
          <w:sz w:val="20"/>
          <w:szCs w:val="20"/>
        </w:rPr>
      </w:pPr>
      <w:r w:rsidRPr="00A61E66">
        <w:rPr>
          <w:rFonts w:ascii="Arial" w:eastAsia="Calibri" w:hAnsi="Arial" w:cs="Arial"/>
          <w:i/>
          <w:iCs/>
          <w:sz w:val="20"/>
          <w:szCs w:val="20"/>
        </w:rPr>
        <w:t xml:space="preserve">9) Similar situación ocurrió con la no entrega oportuna del autenticador electrónico del ciudadano, solución informática que no se entregó dentro del plazo contractual y, </w:t>
      </w:r>
      <w:r w:rsidRPr="00D55286">
        <w:rPr>
          <w:rFonts w:ascii="Arial" w:eastAsia="Calibri" w:hAnsi="Arial" w:cs="Arial"/>
          <w:i/>
          <w:iCs/>
          <w:sz w:val="20"/>
          <w:szCs w:val="20"/>
          <w:u w:val="single"/>
        </w:rPr>
        <w:t xml:space="preserve">por el contrario, fue recibida por la entidad por fuera de este (7 de diciembre de 2010), </w:t>
      </w:r>
      <w:r w:rsidRPr="00D55286">
        <w:rPr>
          <w:rFonts w:ascii="Arial" w:eastAsia="Calibri" w:hAnsi="Arial" w:cs="Arial"/>
          <w:b/>
          <w:bCs/>
          <w:i/>
          <w:iCs/>
          <w:sz w:val="20"/>
          <w:szCs w:val="20"/>
          <w:u w:val="single"/>
        </w:rPr>
        <w:t>lo cual no desdice del hecho consistente en que FONTIC tuvo conocimiento pleno de la configuración del siniestro de incumplimiento a partir de la expiración del plazo contractual</w:t>
      </w:r>
      <w:r w:rsidRPr="00A61E66">
        <w:rPr>
          <w:rFonts w:ascii="Arial" w:eastAsia="Calibri" w:hAnsi="Arial" w:cs="Arial"/>
          <w:i/>
          <w:iCs/>
          <w:sz w:val="20"/>
          <w:szCs w:val="20"/>
        </w:rPr>
        <w:t>, en efecto, extinguido este el 29 de octubre de 2010 sin la entrega del AEC, se configuró el siniestro de incumplimiento y FONTIC tuvo certeza de ello, por lo cual a partir del día siguiente inició a contabilizarse la prescripción de los derechos derivados del contrato de seguro, en lo relativo al amparo de cumplimiento.</w:t>
      </w:r>
      <w:r w:rsidR="00D55286">
        <w:rPr>
          <w:rFonts w:ascii="Arial" w:eastAsia="Calibri" w:hAnsi="Arial" w:cs="Arial"/>
          <w:i/>
          <w:iCs/>
          <w:sz w:val="20"/>
          <w:szCs w:val="20"/>
        </w:rPr>
        <w:t xml:space="preserve"> </w:t>
      </w:r>
      <w:r w:rsidR="00D55286">
        <w:rPr>
          <w:rFonts w:ascii="Arial" w:eastAsia="Calibri" w:hAnsi="Arial" w:cs="Arial"/>
          <w:sz w:val="20"/>
          <w:szCs w:val="20"/>
        </w:rPr>
        <w:t>(Negrillas y subrayado fuera del texto original)</w:t>
      </w:r>
    </w:p>
    <w:p w14:paraId="212EB936" w14:textId="77777777" w:rsidR="00A61E66" w:rsidRDefault="00A61E66" w:rsidP="001F680F">
      <w:pPr>
        <w:spacing w:line="312" w:lineRule="auto"/>
        <w:jc w:val="both"/>
        <w:rPr>
          <w:rFonts w:ascii="Arial" w:eastAsia="Calibri" w:hAnsi="Arial" w:cs="Arial"/>
        </w:rPr>
      </w:pPr>
    </w:p>
    <w:p w14:paraId="1C562BC6" w14:textId="2D1219ED" w:rsidR="00E723D0" w:rsidRDefault="00E723D0" w:rsidP="001F680F">
      <w:pPr>
        <w:spacing w:line="312" w:lineRule="auto"/>
        <w:jc w:val="both"/>
        <w:rPr>
          <w:rFonts w:ascii="Arial" w:eastAsia="Calibri" w:hAnsi="Arial" w:cs="Arial"/>
        </w:rPr>
      </w:pPr>
      <w:r>
        <w:rPr>
          <w:rFonts w:ascii="Arial" w:eastAsia="Calibri" w:hAnsi="Arial" w:cs="Arial"/>
        </w:rPr>
        <w:t>Dicho</w:t>
      </w:r>
      <w:r w:rsidR="006B667A">
        <w:rPr>
          <w:rFonts w:ascii="Arial" w:eastAsia="Calibri" w:hAnsi="Arial" w:cs="Arial"/>
        </w:rPr>
        <w:t xml:space="preserve"> todo</w:t>
      </w:r>
      <w:r>
        <w:rPr>
          <w:rFonts w:ascii="Arial" w:eastAsia="Calibri" w:hAnsi="Arial" w:cs="Arial"/>
        </w:rPr>
        <w:t xml:space="preserve"> lo cual, la contabilización de términos debe hacerse entonces entre el 10 de junio de 2015 y el 10 de junio de 2017, fecha esta última en la que feneció la posibilidad de afectar el seguro, y como la Resolución demandada se expidió el 14 de agosto de 2017, tenemos que se configura el fenómeno prescriptivo</w:t>
      </w:r>
      <w:r w:rsidR="004F1013">
        <w:rPr>
          <w:rFonts w:ascii="Arial" w:eastAsia="Calibri" w:hAnsi="Arial" w:cs="Arial"/>
        </w:rPr>
        <w:t xml:space="preserve"> al tenor de lo preceptuado en el artículo 1081 del Código de Comercio.</w:t>
      </w:r>
    </w:p>
    <w:p w14:paraId="56C9ED9B" w14:textId="77777777" w:rsidR="00CD7A16" w:rsidRDefault="00CD7A16" w:rsidP="001F680F">
      <w:pPr>
        <w:spacing w:line="312" w:lineRule="auto"/>
        <w:jc w:val="both"/>
        <w:rPr>
          <w:rFonts w:ascii="Arial" w:eastAsia="Calibri" w:hAnsi="Arial" w:cs="Arial"/>
        </w:rPr>
      </w:pPr>
    </w:p>
    <w:p w14:paraId="5D6D7F31" w14:textId="69C9CD45" w:rsidR="00CD7A16" w:rsidRDefault="00CD7A16" w:rsidP="001F680F">
      <w:pPr>
        <w:spacing w:line="312" w:lineRule="auto"/>
        <w:jc w:val="both"/>
        <w:rPr>
          <w:rFonts w:ascii="Arial" w:eastAsia="Calibri" w:hAnsi="Arial" w:cs="Arial"/>
        </w:rPr>
      </w:pPr>
      <w:r>
        <w:rPr>
          <w:rFonts w:ascii="Arial" w:eastAsia="Calibri" w:hAnsi="Arial" w:cs="Arial"/>
        </w:rPr>
        <w:t xml:space="preserve">En ese orden de ideas corresponde al </w:t>
      </w:r>
      <w:r w:rsidRPr="00CD7A16">
        <w:rPr>
          <w:rFonts w:ascii="Arial" w:eastAsia="Calibri" w:hAnsi="Arial" w:cs="Arial"/>
          <w:i/>
          <w:iCs/>
        </w:rPr>
        <w:t xml:space="preserve">ad </w:t>
      </w:r>
      <w:proofErr w:type="spellStart"/>
      <w:r w:rsidRPr="00CD7A16">
        <w:rPr>
          <w:rFonts w:ascii="Arial" w:eastAsia="Calibri" w:hAnsi="Arial" w:cs="Arial"/>
          <w:i/>
          <w:iCs/>
        </w:rPr>
        <w:t>quem</w:t>
      </w:r>
      <w:proofErr w:type="spellEnd"/>
      <w:r>
        <w:rPr>
          <w:rFonts w:ascii="Arial" w:eastAsia="Calibri" w:hAnsi="Arial" w:cs="Arial"/>
        </w:rPr>
        <w:t xml:space="preserve"> revocar la sentencia de primera instancia y en su lugar conceder las pretensiones denegadas por el </w:t>
      </w:r>
      <w:r w:rsidRPr="00CD7A16">
        <w:rPr>
          <w:rFonts w:ascii="Arial" w:eastAsia="Calibri" w:hAnsi="Arial" w:cs="Arial"/>
          <w:i/>
          <w:iCs/>
        </w:rPr>
        <w:t>a quo</w:t>
      </w:r>
      <w:r>
        <w:rPr>
          <w:rFonts w:ascii="Arial" w:eastAsia="Calibri" w:hAnsi="Arial" w:cs="Arial"/>
        </w:rPr>
        <w:t>.</w:t>
      </w:r>
    </w:p>
    <w:p w14:paraId="40940162" w14:textId="77777777" w:rsidR="00CF634F" w:rsidRDefault="00CF634F" w:rsidP="00037D51">
      <w:pPr>
        <w:spacing w:line="312" w:lineRule="auto"/>
        <w:jc w:val="both"/>
        <w:rPr>
          <w:rFonts w:ascii="Arial" w:eastAsia="Calibri" w:hAnsi="Arial" w:cs="Arial"/>
        </w:rPr>
      </w:pPr>
    </w:p>
    <w:p w14:paraId="3D55F78F" w14:textId="77777777" w:rsidR="001F4DD6" w:rsidRDefault="001F4DD6" w:rsidP="00037D51">
      <w:pPr>
        <w:spacing w:line="312" w:lineRule="auto"/>
        <w:jc w:val="both"/>
        <w:rPr>
          <w:rFonts w:ascii="Arial" w:eastAsia="Calibri" w:hAnsi="Arial" w:cs="Arial"/>
        </w:rPr>
      </w:pPr>
    </w:p>
    <w:p w14:paraId="0905ECD0" w14:textId="192EF49C" w:rsidR="00CF634F" w:rsidRPr="00626036" w:rsidRDefault="00CF634F" w:rsidP="001F680F">
      <w:pPr>
        <w:pStyle w:val="Prrafodelista"/>
        <w:numPr>
          <w:ilvl w:val="0"/>
          <w:numId w:val="22"/>
        </w:numPr>
        <w:spacing w:line="312" w:lineRule="auto"/>
        <w:jc w:val="center"/>
        <w:rPr>
          <w:rFonts w:ascii="Arial" w:eastAsia="Calibri" w:hAnsi="Arial" w:cs="Arial"/>
          <w:b/>
          <w:bCs/>
          <w:u w:val="single"/>
        </w:rPr>
      </w:pPr>
      <w:r w:rsidRPr="00626036">
        <w:rPr>
          <w:rFonts w:ascii="Arial" w:eastAsia="Calibri" w:hAnsi="Arial" w:cs="Arial"/>
          <w:b/>
          <w:bCs/>
          <w:u w:val="single"/>
        </w:rPr>
        <w:t>PETICIÓN</w:t>
      </w:r>
    </w:p>
    <w:p w14:paraId="346E884B" w14:textId="5DEE9414" w:rsidR="00CF634F" w:rsidRPr="00CF634F" w:rsidRDefault="00D5189E" w:rsidP="007B53FA">
      <w:pPr>
        <w:spacing w:line="312" w:lineRule="auto"/>
        <w:jc w:val="both"/>
        <w:rPr>
          <w:rFonts w:ascii="Arial" w:eastAsia="Calibri" w:hAnsi="Arial" w:cs="Arial"/>
        </w:rPr>
      </w:pPr>
      <w:r>
        <w:rPr>
          <w:rFonts w:ascii="Arial" w:eastAsia="Calibri" w:hAnsi="Arial" w:cs="Arial"/>
          <w:b/>
          <w:bCs/>
        </w:rPr>
        <w:t xml:space="preserve">PRINCIPAL. </w:t>
      </w:r>
      <w:r w:rsidR="00CF634F" w:rsidRPr="000E16D6">
        <w:rPr>
          <w:rFonts w:ascii="Arial" w:eastAsia="Calibri" w:hAnsi="Arial" w:cs="Arial"/>
          <w:b/>
          <w:bCs/>
        </w:rPr>
        <w:t>REVOCAR</w:t>
      </w:r>
      <w:r w:rsidR="00CF634F">
        <w:rPr>
          <w:rFonts w:ascii="Arial" w:eastAsia="Calibri" w:hAnsi="Arial" w:cs="Arial"/>
          <w:b/>
          <w:bCs/>
        </w:rPr>
        <w:t xml:space="preserve"> </w:t>
      </w:r>
      <w:r w:rsidR="00CF634F" w:rsidRPr="000E16D6">
        <w:rPr>
          <w:rFonts w:ascii="Arial" w:eastAsia="Calibri" w:hAnsi="Arial" w:cs="Arial"/>
        </w:rPr>
        <w:t xml:space="preserve">la </w:t>
      </w:r>
      <w:r w:rsidR="00CF634F" w:rsidRPr="000E16D6">
        <w:rPr>
          <w:rFonts w:ascii="Arial" w:eastAsia="Arial" w:hAnsi="Arial" w:cs="Arial"/>
          <w:color w:val="000000" w:themeColor="text1"/>
        </w:rPr>
        <w:t xml:space="preserve">Sentencia de </w:t>
      </w:r>
      <w:r w:rsidR="00CF634F">
        <w:rPr>
          <w:rFonts w:ascii="Arial" w:eastAsia="Arial" w:hAnsi="Arial" w:cs="Arial"/>
          <w:color w:val="000000" w:themeColor="text1"/>
        </w:rPr>
        <w:t xml:space="preserve">primera instancia </w:t>
      </w:r>
      <w:r w:rsidR="007B53FA">
        <w:rPr>
          <w:rFonts w:ascii="Arial" w:eastAsia="Calibri" w:hAnsi="Arial" w:cs="Arial"/>
        </w:rPr>
        <w:t>S/N</w:t>
      </w:r>
      <w:r w:rsidR="00500561" w:rsidRPr="001D441E">
        <w:rPr>
          <w:rFonts w:ascii="Arial" w:eastAsia="Arial" w:hAnsi="Arial" w:cs="Arial"/>
          <w:color w:val="000000" w:themeColor="text1"/>
        </w:rPr>
        <w:t xml:space="preserve"> </w:t>
      </w:r>
      <w:r w:rsidR="007B53FA">
        <w:rPr>
          <w:rFonts w:ascii="Arial" w:eastAsia="Arial" w:hAnsi="Arial" w:cs="Arial"/>
          <w:color w:val="000000" w:themeColor="text1"/>
        </w:rPr>
        <w:t>del</w:t>
      </w:r>
      <w:r w:rsidR="00500561">
        <w:rPr>
          <w:rFonts w:ascii="Arial" w:eastAsia="Arial" w:hAnsi="Arial" w:cs="Arial"/>
          <w:color w:val="000000" w:themeColor="text1"/>
        </w:rPr>
        <w:t xml:space="preserve"> </w:t>
      </w:r>
      <w:r w:rsidR="007B53FA">
        <w:rPr>
          <w:rFonts w:ascii="Arial" w:eastAsia="Arial" w:hAnsi="Arial" w:cs="Arial"/>
          <w:color w:val="000000" w:themeColor="text1"/>
        </w:rPr>
        <w:t>16</w:t>
      </w:r>
      <w:r w:rsidR="00500561">
        <w:rPr>
          <w:rFonts w:ascii="Arial" w:eastAsia="Arial" w:hAnsi="Arial" w:cs="Arial"/>
          <w:color w:val="000000" w:themeColor="text1"/>
        </w:rPr>
        <w:t xml:space="preserve"> de </w:t>
      </w:r>
      <w:r w:rsidR="007B53FA">
        <w:rPr>
          <w:rFonts w:ascii="Arial" w:eastAsia="Arial" w:hAnsi="Arial" w:cs="Arial"/>
          <w:color w:val="000000" w:themeColor="text1"/>
        </w:rPr>
        <w:t>diciem</w:t>
      </w:r>
      <w:r w:rsidR="00500561">
        <w:rPr>
          <w:rFonts w:ascii="Arial" w:eastAsia="Arial" w:hAnsi="Arial" w:cs="Arial"/>
          <w:color w:val="000000" w:themeColor="text1"/>
        </w:rPr>
        <w:t xml:space="preserve">bre </w:t>
      </w:r>
      <w:r w:rsidR="00500561" w:rsidRPr="001D441E">
        <w:rPr>
          <w:rFonts w:ascii="Arial" w:eastAsia="Arial" w:hAnsi="Arial" w:cs="Arial"/>
          <w:color w:val="000000" w:themeColor="text1"/>
        </w:rPr>
        <w:t>de 2024</w:t>
      </w:r>
      <w:r w:rsidR="00CF634F" w:rsidRPr="000E16D6">
        <w:rPr>
          <w:rFonts w:ascii="Arial" w:eastAsia="Calibri" w:hAnsi="Arial" w:cs="Arial"/>
          <w:b/>
          <w:bCs/>
        </w:rPr>
        <w:t xml:space="preserve"> </w:t>
      </w:r>
      <w:r w:rsidR="00CF634F">
        <w:rPr>
          <w:rFonts w:ascii="Arial" w:eastAsia="Calibri" w:hAnsi="Arial" w:cs="Arial"/>
        </w:rPr>
        <w:t xml:space="preserve">proferida por el Juzgado </w:t>
      </w:r>
      <w:r w:rsidR="007B53FA">
        <w:rPr>
          <w:rFonts w:ascii="Arial" w:eastAsia="Calibri" w:hAnsi="Arial" w:cs="Arial"/>
        </w:rPr>
        <w:t>Segundo</w:t>
      </w:r>
      <w:r w:rsidR="00525962">
        <w:rPr>
          <w:rFonts w:ascii="Arial" w:eastAsia="Calibri" w:hAnsi="Arial" w:cs="Arial"/>
        </w:rPr>
        <w:t xml:space="preserve"> </w:t>
      </w:r>
      <w:r w:rsidR="00CF634F">
        <w:rPr>
          <w:rFonts w:ascii="Arial" w:eastAsia="Calibri" w:hAnsi="Arial" w:cs="Arial"/>
        </w:rPr>
        <w:t xml:space="preserve">Administrativo del Circuito de </w:t>
      </w:r>
      <w:r w:rsidR="007B53FA">
        <w:rPr>
          <w:rFonts w:ascii="Arial" w:eastAsia="Calibri" w:hAnsi="Arial" w:cs="Arial"/>
        </w:rPr>
        <w:t>Guadalajara de Buga</w:t>
      </w:r>
      <w:r w:rsidR="00CF634F">
        <w:rPr>
          <w:rFonts w:ascii="Arial" w:eastAsia="Calibri" w:hAnsi="Arial" w:cs="Arial"/>
        </w:rPr>
        <w:t xml:space="preserve">, y en su lugar </w:t>
      </w:r>
      <w:r w:rsidR="007B53FA">
        <w:rPr>
          <w:rFonts w:ascii="Arial" w:eastAsia="Calibri" w:hAnsi="Arial" w:cs="Arial"/>
        </w:rPr>
        <w:t>CONCEDER</w:t>
      </w:r>
      <w:r w:rsidR="00CF634F">
        <w:rPr>
          <w:rFonts w:ascii="Arial" w:eastAsia="Calibri" w:hAnsi="Arial" w:cs="Arial"/>
        </w:rPr>
        <w:t xml:space="preserve"> toda</w:t>
      </w:r>
      <w:r w:rsidR="007B53FA">
        <w:rPr>
          <w:rFonts w:ascii="Arial" w:eastAsia="Calibri" w:hAnsi="Arial" w:cs="Arial"/>
        </w:rPr>
        <w:t>s</w:t>
      </w:r>
      <w:r w:rsidR="00CF634F">
        <w:rPr>
          <w:rFonts w:ascii="Arial" w:eastAsia="Calibri" w:hAnsi="Arial" w:cs="Arial"/>
        </w:rPr>
        <w:t xml:space="preserve"> </w:t>
      </w:r>
      <w:r w:rsidR="007B53FA">
        <w:rPr>
          <w:rFonts w:ascii="Arial" w:eastAsia="Calibri" w:hAnsi="Arial" w:cs="Arial"/>
        </w:rPr>
        <w:t xml:space="preserve">las pretensiones solicitadas por la </w:t>
      </w:r>
      <w:r w:rsidR="007B53FA" w:rsidRPr="007B53FA">
        <w:rPr>
          <w:rFonts w:ascii="Arial" w:eastAsia="Calibri" w:hAnsi="Arial" w:cs="Arial"/>
        </w:rPr>
        <w:t xml:space="preserve">ASEGURADORA SOLIDARIA DE </w:t>
      </w:r>
      <w:r w:rsidR="00B47A51" w:rsidRPr="007B53FA">
        <w:rPr>
          <w:rFonts w:ascii="Arial" w:eastAsia="Calibri" w:hAnsi="Arial" w:cs="Arial"/>
        </w:rPr>
        <w:lastRenderedPageBreak/>
        <w:t>COLOMBIA</w:t>
      </w:r>
      <w:r w:rsidR="00B47A51">
        <w:rPr>
          <w:rFonts w:ascii="Arial" w:eastAsia="Calibri" w:hAnsi="Arial" w:cs="Arial"/>
        </w:rPr>
        <w:t xml:space="preserve"> </w:t>
      </w:r>
      <w:r w:rsidR="00B47A51" w:rsidRPr="007B53FA">
        <w:rPr>
          <w:rFonts w:ascii="Arial" w:eastAsia="Calibri" w:hAnsi="Arial" w:cs="Arial"/>
        </w:rPr>
        <w:t>ENTIDAD</w:t>
      </w:r>
      <w:r w:rsidR="007B53FA" w:rsidRPr="007B53FA">
        <w:rPr>
          <w:rFonts w:ascii="Arial" w:eastAsia="Calibri" w:hAnsi="Arial" w:cs="Arial"/>
        </w:rPr>
        <w:t xml:space="preserve"> COOPERATIVA</w:t>
      </w:r>
      <w:r w:rsidR="00525962" w:rsidRPr="00525962">
        <w:rPr>
          <w:rFonts w:ascii="Arial" w:eastAsia="Calibri" w:hAnsi="Arial" w:cs="Arial"/>
        </w:rPr>
        <w:t>.</w:t>
      </w:r>
      <w:r w:rsidR="00CF634F">
        <w:rPr>
          <w:rFonts w:ascii="Arial" w:eastAsia="Calibri" w:hAnsi="Arial" w:cs="Arial"/>
        </w:rPr>
        <w:t xml:space="preserve">  </w:t>
      </w:r>
    </w:p>
    <w:p w14:paraId="43955220" w14:textId="77777777" w:rsidR="007C1E57" w:rsidRDefault="007C1E57" w:rsidP="00037D51">
      <w:pPr>
        <w:spacing w:line="312" w:lineRule="auto"/>
        <w:jc w:val="both"/>
        <w:rPr>
          <w:rFonts w:ascii="Arial" w:eastAsia="Calibri" w:hAnsi="Arial" w:cs="Arial"/>
          <w:b/>
          <w:bCs/>
        </w:rPr>
      </w:pPr>
    </w:p>
    <w:p w14:paraId="4EF906B7" w14:textId="528B45C1" w:rsidR="00687A94" w:rsidRPr="00626036" w:rsidRDefault="00687A94" w:rsidP="00912AEF">
      <w:pPr>
        <w:pStyle w:val="Prrafodelista"/>
        <w:numPr>
          <w:ilvl w:val="0"/>
          <w:numId w:val="22"/>
        </w:numPr>
        <w:spacing w:after="0" w:line="312" w:lineRule="auto"/>
        <w:jc w:val="center"/>
        <w:rPr>
          <w:rFonts w:ascii="Arial" w:hAnsi="Arial" w:cs="Arial"/>
          <w:b/>
          <w:bCs/>
          <w:u w:val="single"/>
        </w:rPr>
      </w:pPr>
      <w:r w:rsidRPr="00626036">
        <w:rPr>
          <w:rFonts w:ascii="Arial" w:hAnsi="Arial" w:cs="Arial"/>
          <w:b/>
          <w:bCs/>
          <w:u w:val="single"/>
        </w:rPr>
        <w:t>NOTIFICACIONES</w:t>
      </w:r>
    </w:p>
    <w:p w14:paraId="42836F39" w14:textId="77777777" w:rsidR="00687A94" w:rsidRPr="001D441E" w:rsidRDefault="00687A94" w:rsidP="00037D51">
      <w:pPr>
        <w:spacing w:line="312" w:lineRule="auto"/>
        <w:jc w:val="both"/>
        <w:rPr>
          <w:rFonts w:ascii="Arial" w:hAnsi="Arial" w:cs="Arial"/>
        </w:rPr>
      </w:pPr>
    </w:p>
    <w:p w14:paraId="474EC841" w14:textId="3D4642D5" w:rsidR="00687A94" w:rsidRPr="001D441E" w:rsidRDefault="00687A94" w:rsidP="00037D51">
      <w:pPr>
        <w:spacing w:line="312" w:lineRule="auto"/>
        <w:jc w:val="both"/>
        <w:rPr>
          <w:rFonts w:ascii="Arial" w:hAnsi="Arial" w:cs="Arial"/>
        </w:rPr>
      </w:pPr>
      <w:r w:rsidRPr="001D441E">
        <w:rPr>
          <w:rFonts w:ascii="Arial" w:eastAsia="Calibri" w:hAnsi="Arial" w:cs="Arial"/>
        </w:rPr>
        <w:t>El suscrito recibirá notificaciones en la Avenida 6A Bis N</w:t>
      </w:r>
      <w:r w:rsidR="00CA02A6">
        <w:rPr>
          <w:rFonts w:ascii="Arial" w:eastAsia="Calibri" w:hAnsi="Arial" w:cs="Arial"/>
        </w:rPr>
        <w:t>o.</w:t>
      </w:r>
      <w:r w:rsidRPr="001D441E">
        <w:rPr>
          <w:rFonts w:ascii="Arial" w:eastAsia="Calibri" w:hAnsi="Arial" w:cs="Arial"/>
        </w:rPr>
        <w:t xml:space="preserve"> 35N-100, Centro Empresarial Chipichape, Oficina 212, de la ciudad de Cali, o en la dirección electrónica: </w:t>
      </w:r>
      <w:hyperlink r:id="rId14" w:history="1">
        <w:r w:rsidRPr="00B47A51">
          <w:rPr>
            <w:rFonts w:ascii="Arial" w:eastAsia="Calibri" w:hAnsi="Arial" w:cs="Arial"/>
            <w:color w:val="0070C0"/>
            <w:u w:val="single"/>
          </w:rPr>
          <w:t>notificaciones@gha.com.co</w:t>
        </w:r>
      </w:hyperlink>
      <w:r w:rsidR="00B47A51">
        <w:t xml:space="preserve"> </w:t>
      </w:r>
      <w:r w:rsidR="00940B80">
        <w:rPr>
          <w:rFonts w:ascii="Arial" w:eastAsia="Calibri" w:hAnsi="Arial" w:cs="Arial"/>
          <w:u w:val="single"/>
        </w:rPr>
        <w:t xml:space="preserve"> </w:t>
      </w:r>
    </w:p>
    <w:p w14:paraId="083F23AB" w14:textId="77777777" w:rsidR="00687A94" w:rsidRPr="001D441E" w:rsidRDefault="00687A94" w:rsidP="00037D51">
      <w:pPr>
        <w:spacing w:line="312" w:lineRule="auto"/>
        <w:rPr>
          <w:rFonts w:ascii="Arial" w:eastAsia="Calibri" w:hAnsi="Arial" w:cs="Arial"/>
        </w:rPr>
      </w:pPr>
    </w:p>
    <w:p w14:paraId="4E87BED1" w14:textId="77777777" w:rsidR="00687A94" w:rsidRPr="001D441E" w:rsidRDefault="00687A94" w:rsidP="00037D51">
      <w:pPr>
        <w:spacing w:line="312" w:lineRule="auto"/>
        <w:rPr>
          <w:rFonts w:ascii="Arial" w:eastAsia="Calibri" w:hAnsi="Arial" w:cs="Arial"/>
        </w:rPr>
      </w:pPr>
    </w:p>
    <w:p w14:paraId="5C961CC0" w14:textId="6D2C10A7" w:rsidR="00687A94" w:rsidRPr="001D441E" w:rsidRDefault="00687A94" w:rsidP="00037D51">
      <w:pPr>
        <w:spacing w:line="312" w:lineRule="auto"/>
        <w:rPr>
          <w:rFonts w:ascii="Arial" w:eastAsia="Calibri" w:hAnsi="Arial" w:cs="Arial"/>
        </w:rPr>
      </w:pPr>
      <w:r w:rsidRPr="001D441E">
        <w:rPr>
          <w:rFonts w:ascii="Arial" w:eastAsia="Calibri" w:hAnsi="Arial" w:cs="Arial"/>
          <w:noProof/>
          <w:lang w:val="es-CO" w:eastAsia="es-CO"/>
        </w:rPr>
        <w:drawing>
          <wp:anchor distT="0" distB="0" distL="114300" distR="114300" simplePos="0" relativeHeight="251659264" behindDoc="1" locked="0" layoutInCell="1" allowOverlap="1" wp14:anchorId="60BE1D64" wp14:editId="787A647C">
            <wp:simplePos x="0" y="0"/>
            <wp:positionH relativeFrom="margin">
              <wp:align>left</wp:align>
            </wp:positionH>
            <wp:positionV relativeFrom="paragraph">
              <wp:posOffset>26035</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r w:rsidRPr="001D441E">
        <w:rPr>
          <w:rFonts w:ascii="Arial" w:eastAsia="Calibri" w:hAnsi="Arial" w:cs="Arial"/>
        </w:rPr>
        <w:t xml:space="preserve">Cordialmente, </w:t>
      </w:r>
    </w:p>
    <w:p w14:paraId="05D9CD3E" w14:textId="77777777" w:rsidR="00687A94" w:rsidRPr="001D441E" w:rsidRDefault="00687A94" w:rsidP="00037D51">
      <w:pPr>
        <w:spacing w:line="312" w:lineRule="auto"/>
        <w:rPr>
          <w:rFonts w:ascii="Arial" w:eastAsia="Calibri" w:hAnsi="Arial" w:cs="Arial"/>
          <w:b/>
          <w:bCs/>
        </w:rPr>
      </w:pPr>
    </w:p>
    <w:p w14:paraId="0FA36EAF" w14:textId="77777777" w:rsidR="00687A94" w:rsidRPr="001D441E" w:rsidRDefault="00687A94" w:rsidP="00037D51">
      <w:pPr>
        <w:spacing w:line="312" w:lineRule="auto"/>
        <w:rPr>
          <w:rFonts w:ascii="Arial" w:eastAsia="Calibri" w:hAnsi="Arial" w:cs="Arial"/>
          <w:b/>
          <w:bCs/>
        </w:rPr>
      </w:pPr>
    </w:p>
    <w:p w14:paraId="0BD9FB08" w14:textId="77777777" w:rsidR="00687A94" w:rsidRPr="001D441E" w:rsidRDefault="00687A94" w:rsidP="00037D51">
      <w:pPr>
        <w:spacing w:line="312" w:lineRule="auto"/>
        <w:rPr>
          <w:rFonts w:ascii="Arial" w:eastAsia="Calibri" w:hAnsi="Arial" w:cs="Arial"/>
          <w:b/>
          <w:bCs/>
        </w:rPr>
      </w:pPr>
    </w:p>
    <w:p w14:paraId="44801203" w14:textId="77777777" w:rsidR="00687A94" w:rsidRPr="001D441E" w:rsidRDefault="00687A94" w:rsidP="00037D51">
      <w:pPr>
        <w:spacing w:line="312" w:lineRule="auto"/>
        <w:rPr>
          <w:rFonts w:ascii="Arial" w:eastAsia="Calibri" w:hAnsi="Arial" w:cs="Arial"/>
        </w:rPr>
      </w:pPr>
      <w:r w:rsidRPr="001D441E">
        <w:rPr>
          <w:rFonts w:ascii="Arial" w:eastAsia="Calibri" w:hAnsi="Arial" w:cs="Arial"/>
          <w:b/>
          <w:bCs/>
        </w:rPr>
        <w:t xml:space="preserve">GUSTAVO ALBERTO HERRERA ÁVILA </w:t>
      </w:r>
    </w:p>
    <w:p w14:paraId="003FC819" w14:textId="77777777" w:rsidR="00687A94" w:rsidRPr="001D441E" w:rsidRDefault="00687A94" w:rsidP="00037D51">
      <w:pPr>
        <w:spacing w:line="312" w:lineRule="auto"/>
        <w:rPr>
          <w:rFonts w:ascii="Arial" w:eastAsia="Calibri" w:hAnsi="Arial" w:cs="Arial"/>
          <w:bCs/>
        </w:rPr>
      </w:pPr>
      <w:r w:rsidRPr="001D441E">
        <w:rPr>
          <w:rFonts w:ascii="Arial" w:eastAsia="Calibri" w:hAnsi="Arial" w:cs="Arial"/>
          <w:bCs/>
        </w:rPr>
        <w:t>C.C. No.19.395.114 de Bogotá D.C.</w:t>
      </w:r>
    </w:p>
    <w:p w14:paraId="29EC13BE" w14:textId="77777777" w:rsidR="00687A94" w:rsidRPr="001D441E" w:rsidRDefault="00687A94" w:rsidP="00037D51">
      <w:pPr>
        <w:spacing w:line="312" w:lineRule="auto"/>
        <w:rPr>
          <w:rFonts w:ascii="Arial" w:eastAsia="Calibri" w:hAnsi="Arial" w:cs="Arial"/>
          <w:bCs/>
        </w:rPr>
      </w:pPr>
      <w:r w:rsidRPr="001D441E">
        <w:rPr>
          <w:rFonts w:ascii="Arial" w:eastAsia="Calibri" w:hAnsi="Arial" w:cs="Arial"/>
          <w:bCs/>
        </w:rPr>
        <w:t>T. P. No. 39.116 del C.S. J.</w:t>
      </w:r>
    </w:p>
    <w:p w14:paraId="124623D5" w14:textId="3097AF81" w:rsidR="00194DAC" w:rsidRPr="001D441E" w:rsidRDefault="00194DAC" w:rsidP="00037D51">
      <w:pPr>
        <w:spacing w:line="312" w:lineRule="auto"/>
        <w:jc w:val="both"/>
        <w:rPr>
          <w:rFonts w:ascii="Arial" w:hAnsi="Arial" w:cs="Arial"/>
        </w:rPr>
      </w:pPr>
    </w:p>
    <w:sectPr w:rsidR="00194DAC" w:rsidRPr="001D441E"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8C43" w14:textId="77777777" w:rsidR="00515C76" w:rsidRDefault="00515C76" w:rsidP="0025591F">
      <w:r>
        <w:separator/>
      </w:r>
    </w:p>
  </w:endnote>
  <w:endnote w:type="continuationSeparator" w:id="0">
    <w:p w14:paraId="64FD7865" w14:textId="77777777" w:rsidR="00515C76" w:rsidRDefault="00515C7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1C071D" w:rsidRDefault="003A5583" w:rsidP="00416F84">
                          <w:pPr>
                            <w:spacing w:before="10"/>
                            <w:jc w:val="right"/>
                            <w:rPr>
                              <w:rFonts w:ascii="Raleway" w:hAnsi="Raleway"/>
                              <w:color w:val="11213B"/>
                              <w:w w:val="105"/>
                              <w:sz w:val="14"/>
                              <w:szCs w:val="14"/>
                              <w:lang w:val="it-IT"/>
                            </w:rPr>
                          </w:pPr>
                          <w:r w:rsidRPr="001C071D">
                            <w:rPr>
                              <w:rFonts w:ascii="Raleway" w:hAnsi="Raleway"/>
                              <w:color w:val="11213B"/>
                              <w:w w:val="105"/>
                              <w:sz w:val="14"/>
                              <w:szCs w:val="14"/>
                              <w:lang w:val="it-IT"/>
                            </w:rPr>
                            <w:t>Cali - Av 6A Bis #35N-100, Of. 212, Cali, Valle del Cauca, Centro Empresarial Chipichape</w:t>
                          </w:r>
                          <w:r w:rsidRPr="001C071D">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1C071D" w:rsidRDefault="003A5583" w:rsidP="00416F84">
                    <w:pPr>
                      <w:spacing w:before="10"/>
                      <w:jc w:val="right"/>
                      <w:rPr>
                        <w:rFonts w:ascii="Raleway" w:hAnsi="Raleway"/>
                        <w:color w:val="11213B"/>
                        <w:w w:val="105"/>
                        <w:sz w:val="14"/>
                        <w:szCs w:val="14"/>
                        <w:lang w:val="it-IT"/>
                      </w:rPr>
                    </w:pPr>
                    <w:r w:rsidRPr="001C071D">
                      <w:rPr>
                        <w:rFonts w:ascii="Raleway" w:hAnsi="Raleway"/>
                        <w:color w:val="11213B"/>
                        <w:w w:val="105"/>
                        <w:sz w:val="14"/>
                        <w:szCs w:val="14"/>
                        <w:lang w:val="it-IT"/>
                      </w:rPr>
                      <w:t>Cali - Av 6A Bis #35N-100, Of. 212, Cali, Valle del Cauca, Centro Empresarial Chipichape</w:t>
                    </w:r>
                    <w:r w:rsidRPr="001C071D">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F4DD6">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F4DD6">
      <w:rPr>
        <w:rFonts w:ascii="Raleway" w:hAnsi="Raleway"/>
        <w:b/>
        <w:bCs/>
        <w:noProof/>
        <w:color w:val="222A35" w:themeColor="text2" w:themeShade="80"/>
        <w:sz w:val="16"/>
        <w:szCs w:val="16"/>
      </w:rPr>
      <w:t>13</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D731" w14:textId="77777777" w:rsidR="00515C76" w:rsidRDefault="00515C76" w:rsidP="0025591F">
      <w:r>
        <w:separator/>
      </w:r>
    </w:p>
  </w:footnote>
  <w:footnote w:type="continuationSeparator" w:id="0">
    <w:p w14:paraId="64444BE9" w14:textId="77777777" w:rsidR="00515C76" w:rsidRDefault="00515C76" w:rsidP="0025591F">
      <w:r>
        <w:continuationSeparator/>
      </w:r>
    </w:p>
  </w:footnote>
  <w:footnote w:id="1">
    <w:p w14:paraId="49C90184" w14:textId="6BFE4D8B" w:rsidR="00A1779D" w:rsidRDefault="00A1779D">
      <w:pPr>
        <w:pStyle w:val="Textonotapie"/>
      </w:pPr>
      <w:r>
        <w:rPr>
          <w:rStyle w:val="Refdenotaalpie"/>
        </w:rPr>
        <w:footnoteRef/>
      </w:r>
      <w:r>
        <w:t xml:space="preserve"> Téngase en cuenta que en este lapso </w:t>
      </w:r>
      <w:r w:rsidR="00822112">
        <w:t xml:space="preserve">se presentó la </w:t>
      </w:r>
      <w:r w:rsidR="008D3629">
        <w:t xml:space="preserve">vacancia judicial de 2024, por lo que los términos se suspendieron entre el 20 de diciembre de 2024 y el 10 de enero de 2025, retomando el conteo el 13 de enero de 2025. Entonces </w:t>
      </w:r>
      <w:r>
        <w:t xml:space="preserve">fueron días no hábiles el </w:t>
      </w:r>
      <w:r w:rsidR="00C912FB">
        <w:t>21</w:t>
      </w:r>
      <w:r>
        <w:t>,</w:t>
      </w:r>
      <w:r w:rsidR="00C912FB">
        <w:t xml:space="preserve"> 22,23, 24, 25, 26, 27, 28, 29, 30 y 31</w:t>
      </w:r>
      <w:r>
        <w:t xml:space="preserve"> </w:t>
      </w:r>
      <w:r w:rsidR="00C912FB">
        <w:t>de diciembre de 2024 y 1, 2, 3</w:t>
      </w:r>
      <w:r>
        <w:t>, 4,</w:t>
      </w:r>
      <w:r w:rsidR="00C912FB">
        <w:t xml:space="preserve"> 5, 6, 7, 8,</w:t>
      </w:r>
      <w:r>
        <w:t xml:space="preserve"> 9, 10, 11,</w:t>
      </w:r>
      <w:r w:rsidR="00C912FB">
        <w:t xml:space="preserve"> 12,</w:t>
      </w:r>
      <w:r>
        <w:t xml:space="preserve"> 1</w:t>
      </w:r>
      <w:r w:rsidR="00C912FB">
        <w:t>8</w:t>
      </w:r>
      <w:r>
        <w:t xml:space="preserve"> y 1</w:t>
      </w:r>
      <w:r w:rsidR="00C912FB">
        <w:t>9 de enero de 2025</w:t>
      </w:r>
    </w:p>
  </w:footnote>
  <w:footnote w:id="2">
    <w:p w14:paraId="7C116E2B" w14:textId="1FE036ED" w:rsidR="002B2EBE" w:rsidRDefault="002B2EBE" w:rsidP="002B2EBE">
      <w:pPr>
        <w:pStyle w:val="Textonotapie"/>
      </w:pPr>
      <w:r>
        <w:rPr>
          <w:rStyle w:val="Refdenotaalpie"/>
        </w:rPr>
        <w:footnoteRef/>
      </w:r>
      <w:r>
        <w:t xml:space="preserve"> MENÉNDEZ Rexach, Ángel. Los convenios entre comunidades autónomas IEAL, Madrid, 1982, págs. 78 y 79.</w:t>
      </w:r>
    </w:p>
  </w:footnote>
  <w:footnote w:id="3">
    <w:p w14:paraId="61136561" w14:textId="77777777" w:rsidR="0000518C" w:rsidRDefault="0000518C" w:rsidP="0000518C">
      <w:pPr>
        <w:pStyle w:val="Textonotapie"/>
      </w:pPr>
      <w:r>
        <w:rPr>
          <w:rStyle w:val="Refdenotaalpie"/>
        </w:rPr>
        <w:footnoteRef/>
      </w:r>
      <w:r>
        <w:t xml:space="preserve"> </w:t>
      </w:r>
      <w:r w:rsidRPr="007A12ED">
        <w:t>Concepto Sala Consulta y Servicio Civil Consejo de Estado 26 de julio de 2016 radicación interna 2257, Número Único: 11001-03-06-000-2015-00102-00</w:t>
      </w:r>
    </w:p>
  </w:footnote>
  <w:footnote w:id="4">
    <w:p w14:paraId="6CB26A3A" w14:textId="700D63F8" w:rsidR="00D119C8" w:rsidRDefault="00D119C8">
      <w:pPr>
        <w:pStyle w:val="Textonotapie"/>
      </w:pPr>
      <w:r>
        <w:rPr>
          <w:rStyle w:val="Refdenotaalpie"/>
        </w:rPr>
        <w:footnoteRef/>
      </w:r>
      <w:r>
        <w:t xml:space="preserve"> Debe recordarse que al existir prohibición legal para el pacto de cláusulas excepcionales como la de terminación unilateral o declaración de caducidad unilateral, la misma se entenderá como no escrita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C4472C"/>
    <w:multiLevelType w:val="hybridMultilevel"/>
    <w:tmpl w:val="6FBAA5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790EF0"/>
    <w:multiLevelType w:val="hybridMultilevel"/>
    <w:tmpl w:val="8E86330A"/>
    <w:lvl w:ilvl="0" w:tplc="550065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2"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3"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07549F"/>
    <w:multiLevelType w:val="hybridMultilevel"/>
    <w:tmpl w:val="8210211A"/>
    <w:lvl w:ilvl="0" w:tplc="8A5691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7"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0AF27D1"/>
    <w:multiLevelType w:val="hybridMultilevel"/>
    <w:tmpl w:val="D2C215B8"/>
    <w:lvl w:ilvl="0" w:tplc="2C5C31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A32FD"/>
    <w:multiLevelType w:val="hybridMultilevel"/>
    <w:tmpl w:val="8D50DDE0"/>
    <w:lvl w:ilvl="0" w:tplc="2D8012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ED18E9"/>
    <w:multiLevelType w:val="hybridMultilevel"/>
    <w:tmpl w:val="950EB534"/>
    <w:lvl w:ilvl="0" w:tplc="4A3063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40988331">
    <w:abstractNumId w:val="0"/>
  </w:num>
  <w:num w:numId="2" w16cid:durableId="1617446182">
    <w:abstractNumId w:val="23"/>
  </w:num>
  <w:num w:numId="3" w16cid:durableId="856693138">
    <w:abstractNumId w:val="14"/>
  </w:num>
  <w:num w:numId="4" w16cid:durableId="825317285">
    <w:abstractNumId w:val="13"/>
  </w:num>
  <w:num w:numId="5" w16cid:durableId="364215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65643">
    <w:abstractNumId w:val="17"/>
  </w:num>
  <w:num w:numId="7" w16cid:durableId="843977804">
    <w:abstractNumId w:val="6"/>
  </w:num>
  <w:num w:numId="8" w16cid:durableId="737944440">
    <w:abstractNumId w:val="21"/>
  </w:num>
  <w:num w:numId="9" w16cid:durableId="908657000">
    <w:abstractNumId w:val="2"/>
  </w:num>
  <w:num w:numId="10" w16cid:durableId="1273971240">
    <w:abstractNumId w:val="11"/>
  </w:num>
  <w:num w:numId="11" w16cid:durableId="1637564123">
    <w:abstractNumId w:val="1"/>
  </w:num>
  <w:num w:numId="12" w16cid:durableId="235743327">
    <w:abstractNumId w:val="16"/>
  </w:num>
  <w:num w:numId="13" w16cid:durableId="1774007002">
    <w:abstractNumId w:val="3"/>
  </w:num>
  <w:num w:numId="14" w16cid:durableId="1429275573">
    <w:abstractNumId w:val="22"/>
  </w:num>
  <w:num w:numId="15" w16cid:durableId="1226988341">
    <w:abstractNumId w:val="5"/>
  </w:num>
  <w:num w:numId="16" w16cid:durableId="574239037">
    <w:abstractNumId w:val="4"/>
  </w:num>
  <w:num w:numId="17" w16cid:durableId="928929599">
    <w:abstractNumId w:val="8"/>
  </w:num>
  <w:num w:numId="18" w16cid:durableId="1595437455">
    <w:abstractNumId w:val="9"/>
  </w:num>
  <w:num w:numId="19" w16cid:durableId="923144601">
    <w:abstractNumId w:val="10"/>
  </w:num>
  <w:num w:numId="20" w16cid:durableId="1848669270">
    <w:abstractNumId w:val="18"/>
  </w:num>
  <w:num w:numId="21" w16cid:durableId="554005198">
    <w:abstractNumId w:val="19"/>
  </w:num>
  <w:num w:numId="22" w16cid:durableId="1991059014">
    <w:abstractNumId w:val="15"/>
  </w:num>
  <w:num w:numId="23" w16cid:durableId="1710909213">
    <w:abstractNumId w:val="20"/>
  </w:num>
  <w:num w:numId="24" w16cid:durableId="10028600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155"/>
    <w:rsid w:val="0000164A"/>
    <w:rsid w:val="000046B1"/>
    <w:rsid w:val="00004C3C"/>
    <w:rsid w:val="0000518C"/>
    <w:rsid w:val="00010EA5"/>
    <w:rsid w:val="000133C4"/>
    <w:rsid w:val="000133E9"/>
    <w:rsid w:val="000153AA"/>
    <w:rsid w:val="00015D3A"/>
    <w:rsid w:val="00017BA4"/>
    <w:rsid w:val="00020D28"/>
    <w:rsid w:val="000212FD"/>
    <w:rsid w:val="00021E71"/>
    <w:rsid w:val="0002242C"/>
    <w:rsid w:val="00023B02"/>
    <w:rsid w:val="00023C04"/>
    <w:rsid w:val="00026453"/>
    <w:rsid w:val="00026688"/>
    <w:rsid w:val="00027E59"/>
    <w:rsid w:val="0003079F"/>
    <w:rsid w:val="0003111F"/>
    <w:rsid w:val="00032A32"/>
    <w:rsid w:val="00032DB6"/>
    <w:rsid w:val="00037D51"/>
    <w:rsid w:val="00040752"/>
    <w:rsid w:val="00040E6A"/>
    <w:rsid w:val="00041633"/>
    <w:rsid w:val="000426D5"/>
    <w:rsid w:val="00042766"/>
    <w:rsid w:val="00044AA9"/>
    <w:rsid w:val="00045613"/>
    <w:rsid w:val="000500E1"/>
    <w:rsid w:val="0005076B"/>
    <w:rsid w:val="00050895"/>
    <w:rsid w:val="000508EB"/>
    <w:rsid w:val="000516C0"/>
    <w:rsid w:val="0005190B"/>
    <w:rsid w:val="000553EA"/>
    <w:rsid w:val="00055716"/>
    <w:rsid w:val="00055C9C"/>
    <w:rsid w:val="00057486"/>
    <w:rsid w:val="0005783D"/>
    <w:rsid w:val="000602C9"/>
    <w:rsid w:val="0006262C"/>
    <w:rsid w:val="00064C2E"/>
    <w:rsid w:val="00065B99"/>
    <w:rsid w:val="000667DF"/>
    <w:rsid w:val="00067E95"/>
    <w:rsid w:val="000716E9"/>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0F9A"/>
    <w:rsid w:val="000A1FD4"/>
    <w:rsid w:val="000A3024"/>
    <w:rsid w:val="000A327B"/>
    <w:rsid w:val="000A3E24"/>
    <w:rsid w:val="000A7232"/>
    <w:rsid w:val="000A7FBB"/>
    <w:rsid w:val="000B3B79"/>
    <w:rsid w:val="000B3D4C"/>
    <w:rsid w:val="000B4496"/>
    <w:rsid w:val="000B51EC"/>
    <w:rsid w:val="000C0159"/>
    <w:rsid w:val="000C0C34"/>
    <w:rsid w:val="000C0E53"/>
    <w:rsid w:val="000C1E9B"/>
    <w:rsid w:val="000C1FAC"/>
    <w:rsid w:val="000C2815"/>
    <w:rsid w:val="000C3496"/>
    <w:rsid w:val="000C3CC8"/>
    <w:rsid w:val="000C5522"/>
    <w:rsid w:val="000C6E70"/>
    <w:rsid w:val="000C7846"/>
    <w:rsid w:val="000D14D2"/>
    <w:rsid w:val="000D15F4"/>
    <w:rsid w:val="000D3A1C"/>
    <w:rsid w:val="000D4378"/>
    <w:rsid w:val="000D5E0A"/>
    <w:rsid w:val="000E1127"/>
    <w:rsid w:val="000E1281"/>
    <w:rsid w:val="000E17B0"/>
    <w:rsid w:val="000E251A"/>
    <w:rsid w:val="000E2FF0"/>
    <w:rsid w:val="000E3D64"/>
    <w:rsid w:val="000E6126"/>
    <w:rsid w:val="000E63C0"/>
    <w:rsid w:val="000E6751"/>
    <w:rsid w:val="000F06A5"/>
    <w:rsid w:val="000F1266"/>
    <w:rsid w:val="000F15EA"/>
    <w:rsid w:val="000F16D6"/>
    <w:rsid w:val="000F30C9"/>
    <w:rsid w:val="000F4095"/>
    <w:rsid w:val="000F5C3E"/>
    <w:rsid w:val="000F6D04"/>
    <w:rsid w:val="00100DEA"/>
    <w:rsid w:val="00101306"/>
    <w:rsid w:val="001014AD"/>
    <w:rsid w:val="0010485E"/>
    <w:rsid w:val="00104B73"/>
    <w:rsid w:val="00105FE0"/>
    <w:rsid w:val="00106677"/>
    <w:rsid w:val="001066FF"/>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1160"/>
    <w:rsid w:val="00131F8A"/>
    <w:rsid w:val="001334E5"/>
    <w:rsid w:val="00134DF7"/>
    <w:rsid w:val="001374C1"/>
    <w:rsid w:val="0014019D"/>
    <w:rsid w:val="0014113D"/>
    <w:rsid w:val="00143DF3"/>
    <w:rsid w:val="00143E0D"/>
    <w:rsid w:val="00145499"/>
    <w:rsid w:val="0014734B"/>
    <w:rsid w:val="001473D8"/>
    <w:rsid w:val="00147D75"/>
    <w:rsid w:val="00147DB1"/>
    <w:rsid w:val="001507B3"/>
    <w:rsid w:val="0015263B"/>
    <w:rsid w:val="00152931"/>
    <w:rsid w:val="0015362E"/>
    <w:rsid w:val="00154676"/>
    <w:rsid w:val="00154C82"/>
    <w:rsid w:val="00155AB6"/>
    <w:rsid w:val="00155C53"/>
    <w:rsid w:val="00156718"/>
    <w:rsid w:val="001570B7"/>
    <w:rsid w:val="00157FA8"/>
    <w:rsid w:val="001605DF"/>
    <w:rsid w:val="0016079C"/>
    <w:rsid w:val="00161373"/>
    <w:rsid w:val="001614F8"/>
    <w:rsid w:val="00163941"/>
    <w:rsid w:val="001639E8"/>
    <w:rsid w:val="001644C4"/>
    <w:rsid w:val="00165A8F"/>
    <w:rsid w:val="00166850"/>
    <w:rsid w:val="00167ECB"/>
    <w:rsid w:val="00167F81"/>
    <w:rsid w:val="00171D1A"/>
    <w:rsid w:val="001723A2"/>
    <w:rsid w:val="0017290E"/>
    <w:rsid w:val="00172D77"/>
    <w:rsid w:val="001754CE"/>
    <w:rsid w:val="00177871"/>
    <w:rsid w:val="0017797D"/>
    <w:rsid w:val="00180142"/>
    <w:rsid w:val="00180AB0"/>
    <w:rsid w:val="00181C4D"/>
    <w:rsid w:val="0018529A"/>
    <w:rsid w:val="001853DF"/>
    <w:rsid w:val="0018748A"/>
    <w:rsid w:val="001920C6"/>
    <w:rsid w:val="001925A0"/>
    <w:rsid w:val="001931FA"/>
    <w:rsid w:val="00193E0E"/>
    <w:rsid w:val="00193EBD"/>
    <w:rsid w:val="00194DAC"/>
    <w:rsid w:val="0019632E"/>
    <w:rsid w:val="001A2000"/>
    <w:rsid w:val="001A31BD"/>
    <w:rsid w:val="001A507A"/>
    <w:rsid w:val="001A58B6"/>
    <w:rsid w:val="001A624D"/>
    <w:rsid w:val="001A693A"/>
    <w:rsid w:val="001B0D83"/>
    <w:rsid w:val="001B1FC7"/>
    <w:rsid w:val="001B2167"/>
    <w:rsid w:val="001B321C"/>
    <w:rsid w:val="001B3DA3"/>
    <w:rsid w:val="001B5628"/>
    <w:rsid w:val="001B5C1D"/>
    <w:rsid w:val="001B6B7A"/>
    <w:rsid w:val="001C071D"/>
    <w:rsid w:val="001C1CB4"/>
    <w:rsid w:val="001C281D"/>
    <w:rsid w:val="001C528E"/>
    <w:rsid w:val="001C67DD"/>
    <w:rsid w:val="001C69AB"/>
    <w:rsid w:val="001C6FEA"/>
    <w:rsid w:val="001C725A"/>
    <w:rsid w:val="001C7791"/>
    <w:rsid w:val="001D062C"/>
    <w:rsid w:val="001D3130"/>
    <w:rsid w:val="001D35C9"/>
    <w:rsid w:val="001D3CD1"/>
    <w:rsid w:val="001D441E"/>
    <w:rsid w:val="001D5EA4"/>
    <w:rsid w:val="001D6B1D"/>
    <w:rsid w:val="001E018D"/>
    <w:rsid w:val="001E1032"/>
    <w:rsid w:val="001E2CA8"/>
    <w:rsid w:val="001E2F6A"/>
    <w:rsid w:val="001E40FB"/>
    <w:rsid w:val="001E5BC2"/>
    <w:rsid w:val="001E7785"/>
    <w:rsid w:val="001F0573"/>
    <w:rsid w:val="001F1E9C"/>
    <w:rsid w:val="001F21F2"/>
    <w:rsid w:val="001F2289"/>
    <w:rsid w:val="001F250F"/>
    <w:rsid w:val="001F4062"/>
    <w:rsid w:val="001F443C"/>
    <w:rsid w:val="001F4725"/>
    <w:rsid w:val="001F47CE"/>
    <w:rsid w:val="001F4DD6"/>
    <w:rsid w:val="001F680F"/>
    <w:rsid w:val="001F71DB"/>
    <w:rsid w:val="001F749F"/>
    <w:rsid w:val="0020035F"/>
    <w:rsid w:val="0020138E"/>
    <w:rsid w:val="00202220"/>
    <w:rsid w:val="0020295C"/>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23600"/>
    <w:rsid w:val="00224D4A"/>
    <w:rsid w:val="00227DAF"/>
    <w:rsid w:val="002305FD"/>
    <w:rsid w:val="002312AE"/>
    <w:rsid w:val="00231483"/>
    <w:rsid w:val="00231BBD"/>
    <w:rsid w:val="002327A9"/>
    <w:rsid w:val="00232917"/>
    <w:rsid w:val="00233D7F"/>
    <w:rsid w:val="0023424C"/>
    <w:rsid w:val="002343AB"/>
    <w:rsid w:val="00234F3F"/>
    <w:rsid w:val="00235183"/>
    <w:rsid w:val="00235C89"/>
    <w:rsid w:val="00235FC4"/>
    <w:rsid w:val="002403EC"/>
    <w:rsid w:val="00240E9B"/>
    <w:rsid w:val="00240F40"/>
    <w:rsid w:val="0024182D"/>
    <w:rsid w:val="002427DF"/>
    <w:rsid w:val="00242F7A"/>
    <w:rsid w:val="00244F76"/>
    <w:rsid w:val="0024599F"/>
    <w:rsid w:val="00246818"/>
    <w:rsid w:val="0024688D"/>
    <w:rsid w:val="00247AA5"/>
    <w:rsid w:val="00251345"/>
    <w:rsid w:val="00251689"/>
    <w:rsid w:val="00251BBC"/>
    <w:rsid w:val="00254C60"/>
    <w:rsid w:val="00254E27"/>
    <w:rsid w:val="002551FD"/>
    <w:rsid w:val="00255265"/>
    <w:rsid w:val="002554A3"/>
    <w:rsid w:val="00255615"/>
    <w:rsid w:val="0025591F"/>
    <w:rsid w:val="00256683"/>
    <w:rsid w:val="0025774A"/>
    <w:rsid w:val="00260997"/>
    <w:rsid w:val="00264254"/>
    <w:rsid w:val="0026446D"/>
    <w:rsid w:val="00264C2A"/>
    <w:rsid w:val="00265165"/>
    <w:rsid w:val="002656E3"/>
    <w:rsid w:val="002678F4"/>
    <w:rsid w:val="00267DDC"/>
    <w:rsid w:val="0027215D"/>
    <w:rsid w:val="00272259"/>
    <w:rsid w:val="002722B8"/>
    <w:rsid w:val="002727BE"/>
    <w:rsid w:val="00273AC2"/>
    <w:rsid w:val="002751CC"/>
    <w:rsid w:val="00275A08"/>
    <w:rsid w:val="00275B3A"/>
    <w:rsid w:val="00276C47"/>
    <w:rsid w:val="0027752A"/>
    <w:rsid w:val="00277AD9"/>
    <w:rsid w:val="00280D99"/>
    <w:rsid w:val="00281D90"/>
    <w:rsid w:val="0028227B"/>
    <w:rsid w:val="00282B4F"/>
    <w:rsid w:val="002838B0"/>
    <w:rsid w:val="002844F4"/>
    <w:rsid w:val="00286064"/>
    <w:rsid w:val="00286325"/>
    <w:rsid w:val="00286B83"/>
    <w:rsid w:val="00287B0B"/>
    <w:rsid w:val="00287E02"/>
    <w:rsid w:val="00292AE3"/>
    <w:rsid w:val="00292C8C"/>
    <w:rsid w:val="002931E0"/>
    <w:rsid w:val="00294209"/>
    <w:rsid w:val="00294415"/>
    <w:rsid w:val="002A15C0"/>
    <w:rsid w:val="002A4AE8"/>
    <w:rsid w:val="002A6583"/>
    <w:rsid w:val="002A66EF"/>
    <w:rsid w:val="002A6F35"/>
    <w:rsid w:val="002B028B"/>
    <w:rsid w:val="002B2EBE"/>
    <w:rsid w:val="002B3929"/>
    <w:rsid w:val="002B5E76"/>
    <w:rsid w:val="002B658F"/>
    <w:rsid w:val="002C0242"/>
    <w:rsid w:val="002C18DE"/>
    <w:rsid w:val="002C2264"/>
    <w:rsid w:val="002C33AA"/>
    <w:rsid w:val="002C34E3"/>
    <w:rsid w:val="002C50B4"/>
    <w:rsid w:val="002C54BD"/>
    <w:rsid w:val="002C58E1"/>
    <w:rsid w:val="002C5B32"/>
    <w:rsid w:val="002C5E43"/>
    <w:rsid w:val="002D099C"/>
    <w:rsid w:val="002D0BCC"/>
    <w:rsid w:val="002D0E72"/>
    <w:rsid w:val="002D1D96"/>
    <w:rsid w:val="002D1FE0"/>
    <w:rsid w:val="002D4A96"/>
    <w:rsid w:val="002D5F8E"/>
    <w:rsid w:val="002D6323"/>
    <w:rsid w:val="002D6A95"/>
    <w:rsid w:val="002E052E"/>
    <w:rsid w:val="002E1FA0"/>
    <w:rsid w:val="002E23CE"/>
    <w:rsid w:val="002E416C"/>
    <w:rsid w:val="002E6530"/>
    <w:rsid w:val="002E6782"/>
    <w:rsid w:val="002E6922"/>
    <w:rsid w:val="002F03E1"/>
    <w:rsid w:val="002F09D4"/>
    <w:rsid w:val="002F0AEF"/>
    <w:rsid w:val="002F113F"/>
    <w:rsid w:val="002F1AF5"/>
    <w:rsid w:val="002F2BCA"/>
    <w:rsid w:val="002F4E83"/>
    <w:rsid w:val="002F6EBA"/>
    <w:rsid w:val="002F6F1C"/>
    <w:rsid w:val="002F71C6"/>
    <w:rsid w:val="00300228"/>
    <w:rsid w:val="0030069E"/>
    <w:rsid w:val="0030201C"/>
    <w:rsid w:val="0030281A"/>
    <w:rsid w:val="00303463"/>
    <w:rsid w:val="003043DA"/>
    <w:rsid w:val="0030447E"/>
    <w:rsid w:val="003060FD"/>
    <w:rsid w:val="00306965"/>
    <w:rsid w:val="00307053"/>
    <w:rsid w:val="00312488"/>
    <w:rsid w:val="00313110"/>
    <w:rsid w:val="00313B9A"/>
    <w:rsid w:val="00313D51"/>
    <w:rsid w:val="00314594"/>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5CA2"/>
    <w:rsid w:val="0033661A"/>
    <w:rsid w:val="003367B1"/>
    <w:rsid w:val="00341385"/>
    <w:rsid w:val="00342F34"/>
    <w:rsid w:val="00343576"/>
    <w:rsid w:val="00345AC3"/>
    <w:rsid w:val="0034623A"/>
    <w:rsid w:val="00346384"/>
    <w:rsid w:val="00347DFD"/>
    <w:rsid w:val="003504B9"/>
    <w:rsid w:val="00351B6E"/>
    <w:rsid w:val="00353B50"/>
    <w:rsid w:val="00355A27"/>
    <w:rsid w:val="003568DD"/>
    <w:rsid w:val="00356E5F"/>
    <w:rsid w:val="00360D3E"/>
    <w:rsid w:val="003612E2"/>
    <w:rsid w:val="00361718"/>
    <w:rsid w:val="00363E7F"/>
    <w:rsid w:val="00363E9E"/>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01A4"/>
    <w:rsid w:val="003913F2"/>
    <w:rsid w:val="00392547"/>
    <w:rsid w:val="00392E46"/>
    <w:rsid w:val="00392FD8"/>
    <w:rsid w:val="00393299"/>
    <w:rsid w:val="00394329"/>
    <w:rsid w:val="003957C2"/>
    <w:rsid w:val="003A0054"/>
    <w:rsid w:val="003A00D5"/>
    <w:rsid w:val="003A0296"/>
    <w:rsid w:val="003A1F57"/>
    <w:rsid w:val="003A3385"/>
    <w:rsid w:val="003A35EC"/>
    <w:rsid w:val="003A53B6"/>
    <w:rsid w:val="003A5583"/>
    <w:rsid w:val="003A57E7"/>
    <w:rsid w:val="003A78B7"/>
    <w:rsid w:val="003B3018"/>
    <w:rsid w:val="003B406F"/>
    <w:rsid w:val="003B44BD"/>
    <w:rsid w:val="003B487C"/>
    <w:rsid w:val="003B5471"/>
    <w:rsid w:val="003B606B"/>
    <w:rsid w:val="003B67A9"/>
    <w:rsid w:val="003B7ADD"/>
    <w:rsid w:val="003B7B18"/>
    <w:rsid w:val="003C0B3C"/>
    <w:rsid w:val="003C4C66"/>
    <w:rsid w:val="003C513C"/>
    <w:rsid w:val="003C5438"/>
    <w:rsid w:val="003C5BCE"/>
    <w:rsid w:val="003C71EB"/>
    <w:rsid w:val="003D37BB"/>
    <w:rsid w:val="003D3DD2"/>
    <w:rsid w:val="003D4507"/>
    <w:rsid w:val="003D65D2"/>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57B"/>
    <w:rsid w:val="004039A4"/>
    <w:rsid w:val="0040546B"/>
    <w:rsid w:val="0040617C"/>
    <w:rsid w:val="00406F8D"/>
    <w:rsid w:val="00407026"/>
    <w:rsid w:val="00407377"/>
    <w:rsid w:val="004111C9"/>
    <w:rsid w:val="00411DDE"/>
    <w:rsid w:val="004128C1"/>
    <w:rsid w:val="00412E0C"/>
    <w:rsid w:val="0041355E"/>
    <w:rsid w:val="00414753"/>
    <w:rsid w:val="00414F8B"/>
    <w:rsid w:val="004153F9"/>
    <w:rsid w:val="00416F84"/>
    <w:rsid w:val="00417092"/>
    <w:rsid w:val="0041763C"/>
    <w:rsid w:val="00417F0C"/>
    <w:rsid w:val="00421B33"/>
    <w:rsid w:val="00422023"/>
    <w:rsid w:val="004226FD"/>
    <w:rsid w:val="00422BE3"/>
    <w:rsid w:val="004245E3"/>
    <w:rsid w:val="0042497F"/>
    <w:rsid w:val="0042528E"/>
    <w:rsid w:val="004256AC"/>
    <w:rsid w:val="00426E2C"/>
    <w:rsid w:val="00431109"/>
    <w:rsid w:val="004331E1"/>
    <w:rsid w:val="004342F8"/>
    <w:rsid w:val="004364D5"/>
    <w:rsid w:val="00436B72"/>
    <w:rsid w:val="00436BBC"/>
    <w:rsid w:val="00437198"/>
    <w:rsid w:val="00437832"/>
    <w:rsid w:val="0044108C"/>
    <w:rsid w:val="0044153C"/>
    <w:rsid w:val="00441EE5"/>
    <w:rsid w:val="00442D69"/>
    <w:rsid w:val="00443127"/>
    <w:rsid w:val="00443EEB"/>
    <w:rsid w:val="0044580A"/>
    <w:rsid w:val="00447343"/>
    <w:rsid w:val="00447E87"/>
    <w:rsid w:val="004531BA"/>
    <w:rsid w:val="00454045"/>
    <w:rsid w:val="0045471E"/>
    <w:rsid w:val="00454834"/>
    <w:rsid w:val="00454891"/>
    <w:rsid w:val="00454F9A"/>
    <w:rsid w:val="004551FE"/>
    <w:rsid w:val="004601CB"/>
    <w:rsid w:val="00460793"/>
    <w:rsid w:val="00460BD0"/>
    <w:rsid w:val="004611E9"/>
    <w:rsid w:val="0046147F"/>
    <w:rsid w:val="00461A6F"/>
    <w:rsid w:val="00462855"/>
    <w:rsid w:val="00465925"/>
    <w:rsid w:val="0046597C"/>
    <w:rsid w:val="00466A8E"/>
    <w:rsid w:val="004670A7"/>
    <w:rsid w:val="004701B1"/>
    <w:rsid w:val="004703B0"/>
    <w:rsid w:val="00470810"/>
    <w:rsid w:val="004708C1"/>
    <w:rsid w:val="00471C4B"/>
    <w:rsid w:val="00472833"/>
    <w:rsid w:val="004728CF"/>
    <w:rsid w:val="00475AD4"/>
    <w:rsid w:val="00475FA9"/>
    <w:rsid w:val="00480537"/>
    <w:rsid w:val="00480658"/>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09E"/>
    <w:rsid w:val="004A5445"/>
    <w:rsid w:val="004A5609"/>
    <w:rsid w:val="004A628D"/>
    <w:rsid w:val="004A6F4E"/>
    <w:rsid w:val="004B067E"/>
    <w:rsid w:val="004B14B4"/>
    <w:rsid w:val="004B2642"/>
    <w:rsid w:val="004B412C"/>
    <w:rsid w:val="004B41DD"/>
    <w:rsid w:val="004B47E8"/>
    <w:rsid w:val="004B562F"/>
    <w:rsid w:val="004B5E80"/>
    <w:rsid w:val="004C01CE"/>
    <w:rsid w:val="004C07BB"/>
    <w:rsid w:val="004C1BCA"/>
    <w:rsid w:val="004C1F86"/>
    <w:rsid w:val="004C39A4"/>
    <w:rsid w:val="004C4E42"/>
    <w:rsid w:val="004C5D87"/>
    <w:rsid w:val="004C61A0"/>
    <w:rsid w:val="004D11CF"/>
    <w:rsid w:val="004D2978"/>
    <w:rsid w:val="004D34FF"/>
    <w:rsid w:val="004D3A99"/>
    <w:rsid w:val="004D52A3"/>
    <w:rsid w:val="004D62FB"/>
    <w:rsid w:val="004D63BD"/>
    <w:rsid w:val="004D670D"/>
    <w:rsid w:val="004E18CA"/>
    <w:rsid w:val="004E27A9"/>
    <w:rsid w:val="004E444B"/>
    <w:rsid w:val="004E458E"/>
    <w:rsid w:val="004E4BE2"/>
    <w:rsid w:val="004E4E8D"/>
    <w:rsid w:val="004E51E2"/>
    <w:rsid w:val="004E5915"/>
    <w:rsid w:val="004E78E2"/>
    <w:rsid w:val="004F1013"/>
    <w:rsid w:val="004F16AC"/>
    <w:rsid w:val="004F212F"/>
    <w:rsid w:val="004F2683"/>
    <w:rsid w:val="004F40FB"/>
    <w:rsid w:val="004F4E34"/>
    <w:rsid w:val="004F5B44"/>
    <w:rsid w:val="004F5B6D"/>
    <w:rsid w:val="004F6018"/>
    <w:rsid w:val="004F72F6"/>
    <w:rsid w:val="00500561"/>
    <w:rsid w:val="00500A71"/>
    <w:rsid w:val="005014C9"/>
    <w:rsid w:val="00501893"/>
    <w:rsid w:val="00502401"/>
    <w:rsid w:val="00502647"/>
    <w:rsid w:val="00505170"/>
    <w:rsid w:val="005051BE"/>
    <w:rsid w:val="005059F2"/>
    <w:rsid w:val="00505F3C"/>
    <w:rsid w:val="005062E1"/>
    <w:rsid w:val="005113B5"/>
    <w:rsid w:val="00512C9F"/>
    <w:rsid w:val="00514611"/>
    <w:rsid w:val="00515258"/>
    <w:rsid w:val="0051558B"/>
    <w:rsid w:val="00515C76"/>
    <w:rsid w:val="00516BF8"/>
    <w:rsid w:val="005170E7"/>
    <w:rsid w:val="00517632"/>
    <w:rsid w:val="00517983"/>
    <w:rsid w:val="00521ECA"/>
    <w:rsid w:val="005223AB"/>
    <w:rsid w:val="005225A3"/>
    <w:rsid w:val="005258AC"/>
    <w:rsid w:val="00525962"/>
    <w:rsid w:val="0052599B"/>
    <w:rsid w:val="005265A4"/>
    <w:rsid w:val="00532A1F"/>
    <w:rsid w:val="0053381A"/>
    <w:rsid w:val="00536A17"/>
    <w:rsid w:val="00536C41"/>
    <w:rsid w:val="00537E56"/>
    <w:rsid w:val="00540186"/>
    <w:rsid w:val="00540345"/>
    <w:rsid w:val="00540E81"/>
    <w:rsid w:val="00540F84"/>
    <w:rsid w:val="005437D5"/>
    <w:rsid w:val="00543F68"/>
    <w:rsid w:val="00543F6F"/>
    <w:rsid w:val="005448AF"/>
    <w:rsid w:val="00546945"/>
    <w:rsid w:val="005503A0"/>
    <w:rsid w:val="0055040B"/>
    <w:rsid w:val="00552201"/>
    <w:rsid w:val="0055315D"/>
    <w:rsid w:val="00553B88"/>
    <w:rsid w:val="00554128"/>
    <w:rsid w:val="00554582"/>
    <w:rsid w:val="00554D25"/>
    <w:rsid w:val="00555F32"/>
    <w:rsid w:val="005564F1"/>
    <w:rsid w:val="00556841"/>
    <w:rsid w:val="00557DC4"/>
    <w:rsid w:val="005623E5"/>
    <w:rsid w:val="0056251D"/>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95872"/>
    <w:rsid w:val="005A3F0E"/>
    <w:rsid w:val="005A3F2C"/>
    <w:rsid w:val="005A4358"/>
    <w:rsid w:val="005A4F80"/>
    <w:rsid w:val="005A586F"/>
    <w:rsid w:val="005A6A26"/>
    <w:rsid w:val="005A7739"/>
    <w:rsid w:val="005B0147"/>
    <w:rsid w:val="005B024C"/>
    <w:rsid w:val="005B2C64"/>
    <w:rsid w:val="005B4455"/>
    <w:rsid w:val="005B4713"/>
    <w:rsid w:val="005B64BC"/>
    <w:rsid w:val="005B6AA6"/>
    <w:rsid w:val="005B71F3"/>
    <w:rsid w:val="005C1DCF"/>
    <w:rsid w:val="005C3B95"/>
    <w:rsid w:val="005C6415"/>
    <w:rsid w:val="005D2945"/>
    <w:rsid w:val="005D4275"/>
    <w:rsid w:val="005D4910"/>
    <w:rsid w:val="005D579B"/>
    <w:rsid w:val="005D5EEC"/>
    <w:rsid w:val="005D5F41"/>
    <w:rsid w:val="005D6243"/>
    <w:rsid w:val="005D7117"/>
    <w:rsid w:val="005D7D2B"/>
    <w:rsid w:val="005E4DE4"/>
    <w:rsid w:val="005E580B"/>
    <w:rsid w:val="005E7B55"/>
    <w:rsid w:val="005F0F69"/>
    <w:rsid w:val="005F1419"/>
    <w:rsid w:val="005F1C8F"/>
    <w:rsid w:val="005F388F"/>
    <w:rsid w:val="005F5962"/>
    <w:rsid w:val="005F6144"/>
    <w:rsid w:val="005F764B"/>
    <w:rsid w:val="00601829"/>
    <w:rsid w:val="00603110"/>
    <w:rsid w:val="0060368A"/>
    <w:rsid w:val="00603DEE"/>
    <w:rsid w:val="00604633"/>
    <w:rsid w:val="00606CA6"/>
    <w:rsid w:val="00610BD0"/>
    <w:rsid w:val="00611E9D"/>
    <w:rsid w:val="00612C49"/>
    <w:rsid w:val="00613E35"/>
    <w:rsid w:val="006153E6"/>
    <w:rsid w:val="006176F5"/>
    <w:rsid w:val="00621DF2"/>
    <w:rsid w:val="0062246F"/>
    <w:rsid w:val="00622A3F"/>
    <w:rsid w:val="00623229"/>
    <w:rsid w:val="006237A9"/>
    <w:rsid w:val="00623A5C"/>
    <w:rsid w:val="00624EF3"/>
    <w:rsid w:val="0062600D"/>
    <w:rsid w:val="00626036"/>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2F7F"/>
    <w:rsid w:val="00653B19"/>
    <w:rsid w:val="00653BC1"/>
    <w:rsid w:val="0065539A"/>
    <w:rsid w:val="00655632"/>
    <w:rsid w:val="00655D69"/>
    <w:rsid w:val="00655F27"/>
    <w:rsid w:val="00655F43"/>
    <w:rsid w:val="0065699D"/>
    <w:rsid w:val="00656F91"/>
    <w:rsid w:val="0066139C"/>
    <w:rsid w:val="006634B4"/>
    <w:rsid w:val="00664143"/>
    <w:rsid w:val="00664E8B"/>
    <w:rsid w:val="0066508F"/>
    <w:rsid w:val="006666D4"/>
    <w:rsid w:val="00667417"/>
    <w:rsid w:val="0067020D"/>
    <w:rsid w:val="006702BE"/>
    <w:rsid w:val="00671D07"/>
    <w:rsid w:val="00673E8F"/>
    <w:rsid w:val="006766F0"/>
    <w:rsid w:val="00676B0F"/>
    <w:rsid w:val="006779D7"/>
    <w:rsid w:val="00677C20"/>
    <w:rsid w:val="00681F01"/>
    <w:rsid w:val="0068204D"/>
    <w:rsid w:val="006825C4"/>
    <w:rsid w:val="006845F6"/>
    <w:rsid w:val="0068673E"/>
    <w:rsid w:val="00687A94"/>
    <w:rsid w:val="006947AF"/>
    <w:rsid w:val="00695783"/>
    <w:rsid w:val="00696588"/>
    <w:rsid w:val="00697BA7"/>
    <w:rsid w:val="006A005C"/>
    <w:rsid w:val="006A08AD"/>
    <w:rsid w:val="006A18E2"/>
    <w:rsid w:val="006A1CFA"/>
    <w:rsid w:val="006A1F31"/>
    <w:rsid w:val="006A2A5C"/>
    <w:rsid w:val="006A312B"/>
    <w:rsid w:val="006A33C5"/>
    <w:rsid w:val="006A3DC2"/>
    <w:rsid w:val="006A3E1F"/>
    <w:rsid w:val="006A4E18"/>
    <w:rsid w:val="006A5817"/>
    <w:rsid w:val="006A6342"/>
    <w:rsid w:val="006A7B5C"/>
    <w:rsid w:val="006A7B60"/>
    <w:rsid w:val="006B05D2"/>
    <w:rsid w:val="006B1BC5"/>
    <w:rsid w:val="006B34C4"/>
    <w:rsid w:val="006B406A"/>
    <w:rsid w:val="006B4188"/>
    <w:rsid w:val="006B4297"/>
    <w:rsid w:val="006B438A"/>
    <w:rsid w:val="006B51C8"/>
    <w:rsid w:val="006B587C"/>
    <w:rsid w:val="006B667A"/>
    <w:rsid w:val="006B756D"/>
    <w:rsid w:val="006B7A10"/>
    <w:rsid w:val="006C0888"/>
    <w:rsid w:val="006C0FF7"/>
    <w:rsid w:val="006C29C3"/>
    <w:rsid w:val="006C3194"/>
    <w:rsid w:val="006C4794"/>
    <w:rsid w:val="006C47EA"/>
    <w:rsid w:val="006C4867"/>
    <w:rsid w:val="006C4DE5"/>
    <w:rsid w:val="006C50C6"/>
    <w:rsid w:val="006C54EE"/>
    <w:rsid w:val="006C56BD"/>
    <w:rsid w:val="006C5996"/>
    <w:rsid w:val="006C6917"/>
    <w:rsid w:val="006C708E"/>
    <w:rsid w:val="006D1C51"/>
    <w:rsid w:val="006D1E3E"/>
    <w:rsid w:val="006D32D6"/>
    <w:rsid w:val="006D3C86"/>
    <w:rsid w:val="006D4C1C"/>
    <w:rsid w:val="006D4CBA"/>
    <w:rsid w:val="006D6A8E"/>
    <w:rsid w:val="006E028F"/>
    <w:rsid w:val="006E095B"/>
    <w:rsid w:val="006E275E"/>
    <w:rsid w:val="006E3E4B"/>
    <w:rsid w:val="006E62BE"/>
    <w:rsid w:val="006F150D"/>
    <w:rsid w:val="006F2496"/>
    <w:rsid w:val="006F3F7B"/>
    <w:rsid w:val="006F5457"/>
    <w:rsid w:val="006F6110"/>
    <w:rsid w:val="006F64CA"/>
    <w:rsid w:val="006F64DD"/>
    <w:rsid w:val="007012F7"/>
    <w:rsid w:val="007015F4"/>
    <w:rsid w:val="00701FA5"/>
    <w:rsid w:val="00702A8D"/>
    <w:rsid w:val="00702CD8"/>
    <w:rsid w:val="00703411"/>
    <w:rsid w:val="007043BB"/>
    <w:rsid w:val="00705B96"/>
    <w:rsid w:val="00705CCF"/>
    <w:rsid w:val="007076C5"/>
    <w:rsid w:val="00710DE3"/>
    <w:rsid w:val="0071165B"/>
    <w:rsid w:val="00712CBE"/>
    <w:rsid w:val="0072031F"/>
    <w:rsid w:val="00720B6D"/>
    <w:rsid w:val="00723CEB"/>
    <w:rsid w:val="00724CF9"/>
    <w:rsid w:val="00725A5C"/>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C96"/>
    <w:rsid w:val="00740F10"/>
    <w:rsid w:val="0074173E"/>
    <w:rsid w:val="007424D8"/>
    <w:rsid w:val="00744698"/>
    <w:rsid w:val="00744C37"/>
    <w:rsid w:val="00747231"/>
    <w:rsid w:val="007500C7"/>
    <w:rsid w:val="00750149"/>
    <w:rsid w:val="00750FAF"/>
    <w:rsid w:val="0075165C"/>
    <w:rsid w:val="00751B06"/>
    <w:rsid w:val="007529A0"/>
    <w:rsid w:val="00753E32"/>
    <w:rsid w:val="00753F6A"/>
    <w:rsid w:val="0075402E"/>
    <w:rsid w:val="0075499B"/>
    <w:rsid w:val="007550CF"/>
    <w:rsid w:val="00755131"/>
    <w:rsid w:val="00755CCC"/>
    <w:rsid w:val="007573A0"/>
    <w:rsid w:val="00760AE6"/>
    <w:rsid w:val="00762816"/>
    <w:rsid w:val="00762BD1"/>
    <w:rsid w:val="00763A2B"/>
    <w:rsid w:val="00767C59"/>
    <w:rsid w:val="00767EE9"/>
    <w:rsid w:val="00770904"/>
    <w:rsid w:val="007726A1"/>
    <w:rsid w:val="00774171"/>
    <w:rsid w:val="00774F25"/>
    <w:rsid w:val="0077556C"/>
    <w:rsid w:val="00776888"/>
    <w:rsid w:val="0077736B"/>
    <w:rsid w:val="00781EF2"/>
    <w:rsid w:val="00782943"/>
    <w:rsid w:val="00783D50"/>
    <w:rsid w:val="00786F5F"/>
    <w:rsid w:val="00786F9B"/>
    <w:rsid w:val="00791543"/>
    <w:rsid w:val="007931BB"/>
    <w:rsid w:val="00793A31"/>
    <w:rsid w:val="00793C8E"/>
    <w:rsid w:val="00794043"/>
    <w:rsid w:val="00795B1C"/>
    <w:rsid w:val="00795FBB"/>
    <w:rsid w:val="0079679D"/>
    <w:rsid w:val="007A0D21"/>
    <w:rsid w:val="007A1019"/>
    <w:rsid w:val="007A12ED"/>
    <w:rsid w:val="007A2F73"/>
    <w:rsid w:val="007A3E6C"/>
    <w:rsid w:val="007A527B"/>
    <w:rsid w:val="007A540D"/>
    <w:rsid w:val="007A5674"/>
    <w:rsid w:val="007A6C1C"/>
    <w:rsid w:val="007A6E07"/>
    <w:rsid w:val="007B01E8"/>
    <w:rsid w:val="007B1177"/>
    <w:rsid w:val="007B12C6"/>
    <w:rsid w:val="007B2E41"/>
    <w:rsid w:val="007B3FC5"/>
    <w:rsid w:val="007B52BC"/>
    <w:rsid w:val="007B53FA"/>
    <w:rsid w:val="007B5E95"/>
    <w:rsid w:val="007B68A0"/>
    <w:rsid w:val="007B6D24"/>
    <w:rsid w:val="007B7457"/>
    <w:rsid w:val="007B7A9F"/>
    <w:rsid w:val="007C1A65"/>
    <w:rsid w:val="007C1E57"/>
    <w:rsid w:val="007C4213"/>
    <w:rsid w:val="007C48BF"/>
    <w:rsid w:val="007C5E96"/>
    <w:rsid w:val="007C723E"/>
    <w:rsid w:val="007D03CF"/>
    <w:rsid w:val="007D0486"/>
    <w:rsid w:val="007D237E"/>
    <w:rsid w:val="007D44DD"/>
    <w:rsid w:val="007D55CD"/>
    <w:rsid w:val="007D6088"/>
    <w:rsid w:val="007D61CA"/>
    <w:rsid w:val="007D74A9"/>
    <w:rsid w:val="007D7F29"/>
    <w:rsid w:val="007E081E"/>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AF6"/>
    <w:rsid w:val="007F5B3D"/>
    <w:rsid w:val="007F632D"/>
    <w:rsid w:val="007F6A39"/>
    <w:rsid w:val="00800B2D"/>
    <w:rsid w:val="00800F0B"/>
    <w:rsid w:val="008029E1"/>
    <w:rsid w:val="008036C0"/>
    <w:rsid w:val="00805156"/>
    <w:rsid w:val="00806712"/>
    <w:rsid w:val="00807E66"/>
    <w:rsid w:val="00810645"/>
    <w:rsid w:val="00811723"/>
    <w:rsid w:val="00811A07"/>
    <w:rsid w:val="008137DB"/>
    <w:rsid w:val="0081434C"/>
    <w:rsid w:val="008153FA"/>
    <w:rsid w:val="00815DBE"/>
    <w:rsid w:val="00816CA9"/>
    <w:rsid w:val="00817A10"/>
    <w:rsid w:val="008205D5"/>
    <w:rsid w:val="00822112"/>
    <w:rsid w:val="0082249F"/>
    <w:rsid w:val="0082265F"/>
    <w:rsid w:val="00824045"/>
    <w:rsid w:val="0082544F"/>
    <w:rsid w:val="00826287"/>
    <w:rsid w:val="00826517"/>
    <w:rsid w:val="008276E5"/>
    <w:rsid w:val="00831CE5"/>
    <w:rsid w:val="008328EF"/>
    <w:rsid w:val="00833DE6"/>
    <w:rsid w:val="0083456F"/>
    <w:rsid w:val="008349A1"/>
    <w:rsid w:val="0083651D"/>
    <w:rsid w:val="008365A0"/>
    <w:rsid w:val="008365EB"/>
    <w:rsid w:val="00836F95"/>
    <w:rsid w:val="0083714D"/>
    <w:rsid w:val="00840602"/>
    <w:rsid w:val="008406BA"/>
    <w:rsid w:val="00842031"/>
    <w:rsid w:val="008422DD"/>
    <w:rsid w:val="00844608"/>
    <w:rsid w:val="00847303"/>
    <w:rsid w:val="00847A64"/>
    <w:rsid w:val="0085028F"/>
    <w:rsid w:val="00850B65"/>
    <w:rsid w:val="00850F5B"/>
    <w:rsid w:val="00851A2B"/>
    <w:rsid w:val="00854EDF"/>
    <w:rsid w:val="008573FF"/>
    <w:rsid w:val="00857953"/>
    <w:rsid w:val="00861D0B"/>
    <w:rsid w:val="00861F29"/>
    <w:rsid w:val="00862325"/>
    <w:rsid w:val="00862350"/>
    <w:rsid w:val="0086420C"/>
    <w:rsid w:val="008668CE"/>
    <w:rsid w:val="008701AA"/>
    <w:rsid w:val="008722C1"/>
    <w:rsid w:val="00875E4B"/>
    <w:rsid w:val="00875FA2"/>
    <w:rsid w:val="00876FFB"/>
    <w:rsid w:val="008825B1"/>
    <w:rsid w:val="008830A7"/>
    <w:rsid w:val="008831EF"/>
    <w:rsid w:val="0088328A"/>
    <w:rsid w:val="00883F20"/>
    <w:rsid w:val="00884F52"/>
    <w:rsid w:val="00885FF3"/>
    <w:rsid w:val="00886063"/>
    <w:rsid w:val="00886D8F"/>
    <w:rsid w:val="008906BF"/>
    <w:rsid w:val="0089081B"/>
    <w:rsid w:val="00891E65"/>
    <w:rsid w:val="00893477"/>
    <w:rsid w:val="008934CC"/>
    <w:rsid w:val="00897556"/>
    <w:rsid w:val="00897726"/>
    <w:rsid w:val="008A0CBA"/>
    <w:rsid w:val="008A109D"/>
    <w:rsid w:val="008A19E4"/>
    <w:rsid w:val="008A2858"/>
    <w:rsid w:val="008A2BAD"/>
    <w:rsid w:val="008A3D53"/>
    <w:rsid w:val="008A3EE5"/>
    <w:rsid w:val="008A49EB"/>
    <w:rsid w:val="008A64F3"/>
    <w:rsid w:val="008A710C"/>
    <w:rsid w:val="008A731E"/>
    <w:rsid w:val="008A7722"/>
    <w:rsid w:val="008B0405"/>
    <w:rsid w:val="008B2EEF"/>
    <w:rsid w:val="008B46CE"/>
    <w:rsid w:val="008B4873"/>
    <w:rsid w:val="008B6E4D"/>
    <w:rsid w:val="008C0073"/>
    <w:rsid w:val="008C0DAF"/>
    <w:rsid w:val="008C0FB3"/>
    <w:rsid w:val="008C12BE"/>
    <w:rsid w:val="008C18AE"/>
    <w:rsid w:val="008C1C98"/>
    <w:rsid w:val="008C201E"/>
    <w:rsid w:val="008C3EED"/>
    <w:rsid w:val="008C7129"/>
    <w:rsid w:val="008D17B9"/>
    <w:rsid w:val="008D17C1"/>
    <w:rsid w:val="008D2422"/>
    <w:rsid w:val="008D2AF8"/>
    <w:rsid w:val="008D3629"/>
    <w:rsid w:val="008D45E4"/>
    <w:rsid w:val="008D6499"/>
    <w:rsid w:val="008D69ED"/>
    <w:rsid w:val="008D70B9"/>
    <w:rsid w:val="008D741A"/>
    <w:rsid w:val="008E28FE"/>
    <w:rsid w:val="008E4E08"/>
    <w:rsid w:val="008E50C6"/>
    <w:rsid w:val="008E558B"/>
    <w:rsid w:val="008E684C"/>
    <w:rsid w:val="008F1295"/>
    <w:rsid w:val="008F146A"/>
    <w:rsid w:val="008F1E2F"/>
    <w:rsid w:val="008F255C"/>
    <w:rsid w:val="008F2CDB"/>
    <w:rsid w:val="008F31B7"/>
    <w:rsid w:val="008F3223"/>
    <w:rsid w:val="008F388B"/>
    <w:rsid w:val="008F3C9E"/>
    <w:rsid w:val="008F4F4F"/>
    <w:rsid w:val="008F5E9F"/>
    <w:rsid w:val="009001CB"/>
    <w:rsid w:val="009015D6"/>
    <w:rsid w:val="00901961"/>
    <w:rsid w:val="00905575"/>
    <w:rsid w:val="00906155"/>
    <w:rsid w:val="00906793"/>
    <w:rsid w:val="0090754D"/>
    <w:rsid w:val="00910E44"/>
    <w:rsid w:val="00912AEF"/>
    <w:rsid w:val="00915099"/>
    <w:rsid w:val="009157E0"/>
    <w:rsid w:val="00915BEB"/>
    <w:rsid w:val="00920568"/>
    <w:rsid w:val="00920883"/>
    <w:rsid w:val="00920C85"/>
    <w:rsid w:val="00920F56"/>
    <w:rsid w:val="00921619"/>
    <w:rsid w:val="009235F4"/>
    <w:rsid w:val="00925103"/>
    <w:rsid w:val="00927350"/>
    <w:rsid w:val="00931885"/>
    <w:rsid w:val="00931906"/>
    <w:rsid w:val="00931E1A"/>
    <w:rsid w:val="00932537"/>
    <w:rsid w:val="0093255B"/>
    <w:rsid w:val="0093606F"/>
    <w:rsid w:val="00937F37"/>
    <w:rsid w:val="00940B80"/>
    <w:rsid w:val="00941863"/>
    <w:rsid w:val="009431A0"/>
    <w:rsid w:val="00943775"/>
    <w:rsid w:val="00943B7C"/>
    <w:rsid w:val="0094598E"/>
    <w:rsid w:val="00945F53"/>
    <w:rsid w:val="00946263"/>
    <w:rsid w:val="009502D8"/>
    <w:rsid w:val="009507D4"/>
    <w:rsid w:val="00950AE8"/>
    <w:rsid w:val="00950F24"/>
    <w:rsid w:val="00952119"/>
    <w:rsid w:val="00952FD4"/>
    <w:rsid w:val="009536E0"/>
    <w:rsid w:val="0095446D"/>
    <w:rsid w:val="00954A5E"/>
    <w:rsid w:val="0095571C"/>
    <w:rsid w:val="00955840"/>
    <w:rsid w:val="00956B8B"/>
    <w:rsid w:val="00956EDF"/>
    <w:rsid w:val="00962A91"/>
    <w:rsid w:val="00962AB6"/>
    <w:rsid w:val="009633C6"/>
    <w:rsid w:val="00964D7A"/>
    <w:rsid w:val="009659D4"/>
    <w:rsid w:val="00972FC9"/>
    <w:rsid w:val="00974A1B"/>
    <w:rsid w:val="00974A9C"/>
    <w:rsid w:val="0097613F"/>
    <w:rsid w:val="0097639C"/>
    <w:rsid w:val="00980EF9"/>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3B2C"/>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42F"/>
    <w:rsid w:val="009C1937"/>
    <w:rsid w:val="009C1A7B"/>
    <w:rsid w:val="009C36B9"/>
    <w:rsid w:val="009C3ACE"/>
    <w:rsid w:val="009C6327"/>
    <w:rsid w:val="009C6652"/>
    <w:rsid w:val="009C6948"/>
    <w:rsid w:val="009C75DE"/>
    <w:rsid w:val="009D0619"/>
    <w:rsid w:val="009D0742"/>
    <w:rsid w:val="009D1A65"/>
    <w:rsid w:val="009D1C2E"/>
    <w:rsid w:val="009D342B"/>
    <w:rsid w:val="009D432A"/>
    <w:rsid w:val="009D57E2"/>
    <w:rsid w:val="009D5FA1"/>
    <w:rsid w:val="009D61BC"/>
    <w:rsid w:val="009D7E0A"/>
    <w:rsid w:val="009E0D4A"/>
    <w:rsid w:val="009E1952"/>
    <w:rsid w:val="009E293F"/>
    <w:rsid w:val="009E392D"/>
    <w:rsid w:val="009E6701"/>
    <w:rsid w:val="009E7512"/>
    <w:rsid w:val="009E778C"/>
    <w:rsid w:val="009F068B"/>
    <w:rsid w:val="009F3369"/>
    <w:rsid w:val="009F3553"/>
    <w:rsid w:val="009F3713"/>
    <w:rsid w:val="009F38F6"/>
    <w:rsid w:val="009F46DD"/>
    <w:rsid w:val="009F48D1"/>
    <w:rsid w:val="009F5B21"/>
    <w:rsid w:val="009F6CFC"/>
    <w:rsid w:val="00A0062C"/>
    <w:rsid w:val="00A02201"/>
    <w:rsid w:val="00A03C72"/>
    <w:rsid w:val="00A04A43"/>
    <w:rsid w:val="00A05143"/>
    <w:rsid w:val="00A051D4"/>
    <w:rsid w:val="00A0599E"/>
    <w:rsid w:val="00A076DD"/>
    <w:rsid w:val="00A10285"/>
    <w:rsid w:val="00A14002"/>
    <w:rsid w:val="00A14D2A"/>
    <w:rsid w:val="00A15041"/>
    <w:rsid w:val="00A15595"/>
    <w:rsid w:val="00A160B1"/>
    <w:rsid w:val="00A168CA"/>
    <w:rsid w:val="00A1714E"/>
    <w:rsid w:val="00A1779D"/>
    <w:rsid w:val="00A21E53"/>
    <w:rsid w:val="00A22257"/>
    <w:rsid w:val="00A22453"/>
    <w:rsid w:val="00A22AF5"/>
    <w:rsid w:val="00A240E7"/>
    <w:rsid w:val="00A25C20"/>
    <w:rsid w:val="00A25DAD"/>
    <w:rsid w:val="00A27FCB"/>
    <w:rsid w:val="00A3000E"/>
    <w:rsid w:val="00A3071B"/>
    <w:rsid w:val="00A30F52"/>
    <w:rsid w:val="00A341FB"/>
    <w:rsid w:val="00A37EEE"/>
    <w:rsid w:val="00A41893"/>
    <w:rsid w:val="00A42AE7"/>
    <w:rsid w:val="00A4313A"/>
    <w:rsid w:val="00A4366F"/>
    <w:rsid w:val="00A45918"/>
    <w:rsid w:val="00A4596A"/>
    <w:rsid w:val="00A46657"/>
    <w:rsid w:val="00A4669B"/>
    <w:rsid w:val="00A47CF4"/>
    <w:rsid w:val="00A50839"/>
    <w:rsid w:val="00A56C6F"/>
    <w:rsid w:val="00A60EFC"/>
    <w:rsid w:val="00A61328"/>
    <w:rsid w:val="00A61E66"/>
    <w:rsid w:val="00A63D90"/>
    <w:rsid w:val="00A63F77"/>
    <w:rsid w:val="00A64D77"/>
    <w:rsid w:val="00A6524A"/>
    <w:rsid w:val="00A6648D"/>
    <w:rsid w:val="00A71BC7"/>
    <w:rsid w:val="00A72250"/>
    <w:rsid w:val="00A72C54"/>
    <w:rsid w:val="00A72C7A"/>
    <w:rsid w:val="00A739EF"/>
    <w:rsid w:val="00A750F8"/>
    <w:rsid w:val="00A75F07"/>
    <w:rsid w:val="00A816CA"/>
    <w:rsid w:val="00A818B9"/>
    <w:rsid w:val="00A82E8F"/>
    <w:rsid w:val="00A85217"/>
    <w:rsid w:val="00A877E6"/>
    <w:rsid w:val="00A87D97"/>
    <w:rsid w:val="00A91926"/>
    <w:rsid w:val="00A9276E"/>
    <w:rsid w:val="00A928B7"/>
    <w:rsid w:val="00A95438"/>
    <w:rsid w:val="00A95CED"/>
    <w:rsid w:val="00A9674C"/>
    <w:rsid w:val="00A96854"/>
    <w:rsid w:val="00A97A83"/>
    <w:rsid w:val="00A97DB5"/>
    <w:rsid w:val="00AA1CA8"/>
    <w:rsid w:val="00AA3137"/>
    <w:rsid w:val="00AA5CD9"/>
    <w:rsid w:val="00AA7051"/>
    <w:rsid w:val="00AA79AF"/>
    <w:rsid w:val="00AB2BC7"/>
    <w:rsid w:val="00AB30D8"/>
    <w:rsid w:val="00AB3A2C"/>
    <w:rsid w:val="00AB5429"/>
    <w:rsid w:val="00AB6173"/>
    <w:rsid w:val="00AB7147"/>
    <w:rsid w:val="00AC03E0"/>
    <w:rsid w:val="00AC09AF"/>
    <w:rsid w:val="00AC0CBE"/>
    <w:rsid w:val="00AC2A33"/>
    <w:rsid w:val="00AC2A8B"/>
    <w:rsid w:val="00AC2F01"/>
    <w:rsid w:val="00AC3F86"/>
    <w:rsid w:val="00AC517E"/>
    <w:rsid w:val="00AC61FD"/>
    <w:rsid w:val="00AC6397"/>
    <w:rsid w:val="00AC65CA"/>
    <w:rsid w:val="00AC6E96"/>
    <w:rsid w:val="00AC7F5C"/>
    <w:rsid w:val="00AD03AA"/>
    <w:rsid w:val="00AD04C5"/>
    <w:rsid w:val="00AD17B1"/>
    <w:rsid w:val="00AD3260"/>
    <w:rsid w:val="00AD36B9"/>
    <w:rsid w:val="00AD4F2D"/>
    <w:rsid w:val="00AD517B"/>
    <w:rsid w:val="00AD566C"/>
    <w:rsid w:val="00AD6F35"/>
    <w:rsid w:val="00AE09F6"/>
    <w:rsid w:val="00AE2593"/>
    <w:rsid w:val="00AE27F1"/>
    <w:rsid w:val="00AE60C1"/>
    <w:rsid w:val="00AE63BD"/>
    <w:rsid w:val="00AE672E"/>
    <w:rsid w:val="00AE75F6"/>
    <w:rsid w:val="00AF1CA8"/>
    <w:rsid w:val="00AF25B8"/>
    <w:rsid w:val="00AF364A"/>
    <w:rsid w:val="00AF3FDB"/>
    <w:rsid w:val="00AF4617"/>
    <w:rsid w:val="00AF552D"/>
    <w:rsid w:val="00AF57B9"/>
    <w:rsid w:val="00AF63A9"/>
    <w:rsid w:val="00AF65F1"/>
    <w:rsid w:val="00AF689B"/>
    <w:rsid w:val="00AF73DC"/>
    <w:rsid w:val="00AF77A6"/>
    <w:rsid w:val="00AF7B63"/>
    <w:rsid w:val="00B00211"/>
    <w:rsid w:val="00B0032A"/>
    <w:rsid w:val="00B02722"/>
    <w:rsid w:val="00B034E8"/>
    <w:rsid w:val="00B0461E"/>
    <w:rsid w:val="00B05965"/>
    <w:rsid w:val="00B07D52"/>
    <w:rsid w:val="00B10065"/>
    <w:rsid w:val="00B11DF7"/>
    <w:rsid w:val="00B129FD"/>
    <w:rsid w:val="00B15191"/>
    <w:rsid w:val="00B159A8"/>
    <w:rsid w:val="00B16AE3"/>
    <w:rsid w:val="00B177D7"/>
    <w:rsid w:val="00B20189"/>
    <w:rsid w:val="00B21C01"/>
    <w:rsid w:val="00B2318A"/>
    <w:rsid w:val="00B23843"/>
    <w:rsid w:val="00B23F85"/>
    <w:rsid w:val="00B24237"/>
    <w:rsid w:val="00B2435A"/>
    <w:rsid w:val="00B27992"/>
    <w:rsid w:val="00B315EB"/>
    <w:rsid w:val="00B31B07"/>
    <w:rsid w:val="00B3459E"/>
    <w:rsid w:val="00B34F6B"/>
    <w:rsid w:val="00B34FC0"/>
    <w:rsid w:val="00B35E0D"/>
    <w:rsid w:val="00B37200"/>
    <w:rsid w:val="00B378DA"/>
    <w:rsid w:val="00B408D6"/>
    <w:rsid w:val="00B40C46"/>
    <w:rsid w:val="00B42972"/>
    <w:rsid w:val="00B43246"/>
    <w:rsid w:val="00B4403D"/>
    <w:rsid w:val="00B4492A"/>
    <w:rsid w:val="00B45BAF"/>
    <w:rsid w:val="00B4703A"/>
    <w:rsid w:val="00B473BE"/>
    <w:rsid w:val="00B47A51"/>
    <w:rsid w:val="00B50DCF"/>
    <w:rsid w:val="00B5166A"/>
    <w:rsid w:val="00B518C1"/>
    <w:rsid w:val="00B51B09"/>
    <w:rsid w:val="00B536F8"/>
    <w:rsid w:val="00B53F56"/>
    <w:rsid w:val="00B54B0C"/>
    <w:rsid w:val="00B54CFF"/>
    <w:rsid w:val="00B54DCC"/>
    <w:rsid w:val="00B551C2"/>
    <w:rsid w:val="00B55C79"/>
    <w:rsid w:val="00B56026"/>
    <w:rsid w:val="00B57D91"/>
    <w:rsid w:val="00B602CD"/>
    <w:rsid w:val="00B609C0"/>
    <w:rsid w:val="00B61B8D"/>
    <w:rsid w:val="00B62670"/>
    <w:rsid w:val="00B65C82"/>
    <w:rsid w:val="00B6671D"/>
    <w:rsid w:val="00B66CF1"/>
    <w:rsid w:val="00B67B52"/>
    <w:rsid w:val="00B705C9"/>
    <w:rsid w:val="00B70705"/>
    <w:rsid w:val="00B7079D"/>
    <w:rsid w:val="00B71D6C"/>
    <w:rsid w:val="00B724F2"/>
    <w:rsid w:val="00B7300F"/>
    <w:rsid w:val="00B7305D"/>
    <w:rsid w:val="00B73ABB"/>
    <w:rsid w:val="00B749E7"/>
    <w:rsid w:val="00B76626"/>
    <w:rsid w:val="00B76A84"/>
    <w:rsid w:val="00B80039"/>
    <w:rsid w:val="00B800E6"/>
    <w:rsid w:val="00B804FB"/>
    <w:rsid w:val="00B8055C"/>
    <w:rsid w:val="00B80680"/>
    <w:rsid w:val="00B81892"/>
    <w:rsid w:val="00B82507"/>
    <w:rsid w:val="00B82796"/>
    <w:rsid w:val="00B83ECD"/>
    <w:rsid w:val="00B84610"/>
    <w:rsid w:val="00B84D3D"/>
    <w:rsid w:val="00B86C46"/>
    <w:rsid w:val="00B870CE"/>
    <w:rsid w:val="00B91B47"/>
    <w:rsid w:val="00B92886"/>
    <w:rsid w:val="00B93091"/>
    <w:rsid w:val="00B943AE"/>
    <w:rsid w:val="00B97946"/>
    <w:rsid w:val="00B97AD1"/>
    <w:rsid w:val="00BA0417"/>
    <w:rsid w:val="00BA0F65"/>
    <w:rsid w:val="00BA1105"/>
    <w:rsid w:val="00BA1512"/>
    <w:rsid w:val="00BA26DC"/>
    <w:rsid w:val="00BA33E1"/>
    <w:rsid w:val="00BA52E8"/>
    <w:rsid w:val="00BA5E12"/>
    <w:rsid w:val="00BA6BB7"/>
    <w:rsid w:val="00BA76A9"/>
    <w:rsid w:val="00BB021B"/>
    <w:rsid w:val="00BB2275"/>
    <w:rsid w:val="00BB2373"/>
    <w:rsid w:val="00BB2DA5"/>
    <w:rsid w:val="00BB2FF6"/>
    <w:rsid w:val="00BB4173"/>
    <w:rsid w:val="00BB5D39"/>
    <w:rsid w:val="00BB7105"/>
    <w:rsid w:val="00BB77A6"/>
    <w:rsid w:val="00BC0EDE"/>
    <w:rsid w:val="00BC1258"/>
    <w:rsid w:val="00BC2E73"/>
    <w:rsid w:val="00BC3240"/>
    <w:rsid w:val="00BC357C"/>
    <w:rsid w:val="00BC3778"/>
    <w:rsid w:val="00BC43CC"/>
    <w:rsid w:val="00BC4E10"/>
    <w:rsid w:val="00BC6D7A"/>
    <w:rsid w:val="00BD1123"/>
    <w:rsid w:val="00BD1908"/>
    <w:rsid w:val="00BD397D"/>
    <w:rsid w:val="00BD3C60"/>
    <w:rsid w:val="00BD4572"/>
    <w:rsid w:val="00BD5A54"/>
    <w:rsid w:val="00BD5FF3"/>
    <w:rsid w:val="00BD61BE"/>
    <w:rsid w:val="00BD6CAF"/>
    <w:rsid w:val="00BE10EA"/>
    <w:rsid w:val="00BE13AD"/>
    <w:rsid w:val="00BE378D"/>
    <w:rsid w:val="00BE3D6B"/>
    <w:rsid w:val="00BE4D8C"/>
    <w:rsid w:val="00BE5490"/>
    <w:rsid w:val="00BE6214"/>
    <w:rsid w:val="00BE6C0D"/>
    <w:rsid w:val="00BE7671"/>
    <w:rsid w:val="00BF1A90"/>
    <w:rsid w:val="00BF1D65"/>
    <w:rsid w:val="00BF2539"/>
    <w:rsid w:val="00BF25CE"/>
    <w:rsid w:val="00BF28ED"/>
    <w:rsid w:val="00BF41AF"/>
    <w:rsid w:val="00BF5305"/>
    <w:rsid w:val="00BF575C"/>
    <w:rsid w:val="00BF58CC"/>
    <w:rsid w:val="00BF5A8C"/>
    <w:rsid w:val="00BF6ED3"/>
    <w:rsid w:val="00BF6F78"/>
    <w:rsid w:val="00BF6FF4"/>
    <w:rsid w:val="00BF7463"/>
    <w:rsid w:val="00BF7B31"/>
    <w:rsid w:val="00C02345"/>
    <w:rsid w:val="00C02556"/>
    <w:rsid w:val="00C03AB2"/>
    <w:rsid w:val="00C046A2"/>
    <w:rsid w:val="00C06799"/>
    <w:rsid w:val="00C070F8"/>
    <w:rsid w:val="00C10711"/>
    <w:rsid w:val="00C1078B"/>
    <w:rsid w:val="00C10BA8"/>
    <w:rsid w:val="00C12B2C"/>
    <w:rsid w:val="00C12EBB"/>
    <w:rsid w:val="00C14799"/>
    <w:rsid w:val="00C15BB3"/>
    <w:rsid w:val="00C16DFE"/>
    <w:rsid w:val="00C16FBB"/>
    <w:rsid w:val="00C173EF"/>
    <w:rsid w:val="00C17985"/>
    <w:rsid w:val="00C20149"/>
    <w:rsid w:val="00C20EE0"/>
    <w:rsid w:val="00C2163B"/>
    <w:rsid w:val="00C2199C"/>
    <w:rsid w:val="00C21CC9"/>
    <w:rsid w:val="00C22733"/>
    <w:rsid w:val="00C22941"/>
    <w:rsid w:val="00C231B0"/>
    <w:rsid w:val="00C23F77"/>
    <w:rsid w:val="00C246D2"/>
    <w:rsid w:val="00C24974"/>
    <w:rsid w:val="00C26528"/>
    <w:rsid w:val="00C2692D"/>
    <w:rsid w:val="00C30868"/>
    <w:rsid w:val="00C30C49"/>
    <w:rsid w:val="00C31BD2"/>
    <w:rsid w:val="00C331E0"/>
    <w:rsid w:val="00C3326D"/>
    <w:rsid w:val="00C3327F"/>
    <w:rsid w:val="00C33635"/>
    <w:rsid w:val="00C33760"/>
    <w:rsid w:val="00C34622"/>
    <w:rsid w:val="00C34E97"/>
    <w:rsid w:val="00C358C2"/>
    <w:rsid w:val="00C36108"/>
    <w:rsid w:val="00C414BC"/>
    <w:rsid w:val="00C41DEC"/>
    <w:rsid w:val="00C42697"/>
    <w:rsid w:val="00C42963"/>
    <w:rsid w:val="00C42A0D"/>
    <w:rsid w:val="00C42C45"/>
    <w:rsid w:val="00C44504"/>
    <w:rsid w:val="00C448AD"/>
    <w:rsid w:val="00C44AE3"/>
    <w:rsid w:val="00C45036"/>
    <w:rsid w:val="00C46AD9"/>
    <w:rsid w:val="00C52977"/>
    <w:rsid w:val="00C53500"/>
    <w:rsid w:val="00C53B8C"/>
    <w:rsid w:val="00C53FE6"/>
    <w:rsid w:val="00C57066"/>
    <w:rsid w:val="00C57C9C"/>
    <w:rsid w:val="00C60B16"/>
    <w:rsid w:val="00C610A2"/>
    <w:rsid w:val="00C61BB1"/>
    <w:rsid w:val="00C62676"/>
    <w:rsid w:val="00C62FB2"/>
    <w:rsid w:val="00C634B2"/>
    <w:rsid w:val="00C65485"/>
    <w:rsid w:val="00C70FF5"/>
    <w:rsid w:val="00C71AF2"/>
    <w:rsid w:val="00C71CDF"/>
    <w:rsid w:val="00C71CF3"/>
    <w:rsid w:val="00C71EF8"/>
    <w:rsid w:val="00C71F73"/>
    <w:rsid w:val="00C73490"/>
    <w:rsid w:val="00C73A4A"/>
    <w:rsid w:val="00C7536F"/>
    <w:rsid w:val="00C75A5C"/>
    <w:rsid w:val="00C761B5"/>
    <w:rsid w:val="00C762F0"/>
    <w:rsid w:val="00C77A55"/>
    <w:rsid w:val="00C800EC"/>
    <w:rsid w:val="00C80374"/>
    <w:rsid w:val="00C80CF1"/>
    <w:rsid w:val="00C81A7E"/>
    <w:rsid w:val="00C83DB0"/>
    <w:rsid w:val="00C842C0"/>
    <w:rsid w:val="00C85B22"/>
    <w:rsid w:val="00C85C8F"/>
    <w:rsid w:val="00C87B52"/>
    <w:rsid w:val="00C900B1"/>
    <w:rsid w:val="00C90E1E"/>
    <w:rsid w:val="00C912FB"/>
    <w:rsid w:val="00C91F00"/>
    <w:rsid w:val="00C923A6"/>
    <w:rsid w:val="00C924E1"/>
    <w:rsid w:val="00C925EB"/>
    <w:rsid w:val="00C92873"/>
    <w:rsid w:val="00C92C04"/>
    <w:rsid w:val="00C936BD"/>
    <w:rsid w:val="00C971C7"/>
    <w:rsid w:val="00C97EF4"/>
    <w:rsid w:val="00CA02A6"/>
    <w:rsid w:val="00CA07A6"/>
    <w:rsid w:val="00CA0965"/>
    <w:rsid w:val="00CA0968"/>
    <w:rsid w:val="00CA0DAC"/>
    <w:rsid w:val="00CA1AC2"/>
    <w:rsid w:val="00CA26E0"/>
    <w:rsid w:val="00CA2B18"/>
    <w:rsid w:val="00CA2B6C"/>
    <w:rsid w:val="00CA2D31"/>
    <w:rsid w:val="00CA355F"/>
    <w:rsid w:val="00CA4FEC"/>
    <w:rsid w:val="00CA548B"/>
    <w:rsid w:val="00CA5C4F"/>
    <w:rsid w:val="00CA5D8F"/>
    <w:rsid w:val="00CA6EC8"/>
    <w:rsid w:val="00CA718C"/>
    <w:rsid w:val="00CA7E49"/>
    <w:rsid w:val="00CB123E"/>
    <w:rsid w:val="00CB2327"/>
    <w:rsid w:val="00CB26BA"/>
    <w:rsid w:val="00CB27AF"/>
    <w:rsid w:val="00CB39D2"/>
    <w:rsid w:val="00CB3FEC"/>
    <w:rsid w:val="00CB4F4C"/>
    <w:rsid w:val="00CB60FE"/>
    <w:rsid w:val="00CB7979"/>
    <w:rsid w:val="00CB7CD0"/>
    <w:rsid w:val="00CC05A0"/>
    <w:rsid w:val="00CC0663"/>
    <w:rsid w:val="00CC2F00"/>
    <w:rsid w:val="00CD09CF"/>
    <w:rsid w:val="00CD1BBF"/>
    <w:rsid w:val="00CD1C7F"/>
    <w:rsid w:val="00CD1DE9"/>
    <w:rsid w:val="00CD356C"/>
    <w:rsid w:val="00CD5A00"/>
    <w:rsid w:val="00CD5D21"/>
    <w:rsid w:val="00CD6FBB"/>
    <w:rsid w:val="00CD6FF2"/>
    <w:rsid w:val="00CD7A16"/>
    <w:rsid w:val="00CD7D30"/>
    <w:rsid w:val="00CE04DA"/>
    <w:rsid w:val="00CE08C5"/>
    <w:rsid w:val="00CE11AB"/>
    <w:rsid w:val="00CE195A"/>
    <w:rsid w:val="00CE288F"/>
    <w:rsid w:val="00CE3904"/>
    <w:rsid w:val="00CE3A37"/>
    <w:rsid w:val="00CE5525"/>
    <w:rsid w:val="00CE7881"/>
    <w:rsid w:val="00CF18D5"/>
    <w:rsid w:val="00CF1B89"/>
    <w:rsid w:val="00CF1CF9"/>
    <w:rsid w:val="00CF2117"/>
    <w:rsid w:val="00CF2757"/>
    <w:rsid w:val="00CF320A"/>
    <w:rsid w:val="00CF4D17"/>
    <w:rsid w:val="00CF4D9B"/>
    <w:rsid w:val="00CF51C2"/>
    <w:rsid w:val="00CF5B7B"/>
    <w:rsid w:val="00CF5D9D"/>
    <w:rsid w:val="00CF5ECA"/>
    <w:rsid w:val="00CF634F"/>
    <w:rsid w:val="00CF641B"/>
    <w:rsid w:val="00CF678B"/>
    <w:rsid w:val="00CF6F47"/>
    <w:rsid w:val="00CF7C5E"/>
    <w:rsid w:val="00D00A23"/>
    <w:rsid w:val="00D01BCE"/>
    <w:rsid w:val="00D02E64"/>
    <w:rsid w:val="00D037A2"/>
    <w:rsid w:val="00D0487C"/>
    <w:rsid w:val="00D057A8"/>
    <w:rsid w:val="00D0592A"/>
    <w:rsid w:val="00D06E63"/>
    <w:rsid w:val="00D10CA0"/>
    <w:rsid w:val="00D1111A"/>
    <w:rsid w:val="00D119C8"/>
    <w:rsid w:val="00D150E4"/>
    <w:rsid w:val="00D151C0"/>
    <w:rsid w:val="00D15E96"/>
    <w:rsid w:val="00D203FF"/>
    <w:rsid w:val="00D213EE"/>
    <w:rsid w:val="00D2144E"/>
    <w:rsid w:val="00D21B53"/>
    <w:rsid w:val="00D21D1F"/>
    <w:rsid w:val="00D2227C"/>
    <w:rsid w:val="00D22E77"/>
    <w:rsid w:val="00D23A48"/>
    <w:rsid w:val="00D24E95"/>
    <w:rsid w:val="00D25CDF"/>
    <w:rsid w:val="00D27077"/>
    <w:rsid w:val="00D27C03"/>
    <w:rsid w:val="00D300E1"/>
    <w:rsid w:val="00D32124"/>
    <w:rsid w:val="00D33093"/>
    <w:rsid w:val="00D3378D"/>
    <w:rsid w:val="00D33B7E"/>
    <w:rsid w:val="00D3634C"/>
    <w:rsid w:val="00D406DE"/>
    <w:rsid w:val="00D41B4F"/>
    <w:rsid w:val="00D42AE9"/>
    <w:rsid w:val="00D4599B"/>
    <w:rsid w:val="00D45E4B"/>
    <w:rsid w:val="00D47290"/>
    <w:rsid w:val="00D50BC4"/>
    <w:rsid w:val="00D50E81"/>
    <w:rsid w:val="00D5154E"/>
    <w:rsid w:val="00D5189E"/>
    <w:rsid w:val="00D5221D"/>
    <w:rsid w:val="00D527F6"/>
    <w:rsid w:val="00D5364B"/>
    <w:rsid w:val="00D55286"/>
    <w:rsid w:val="00D558B6"/>
    <w:rsid w:val="00D55C8C"/>
    <w:rsid w:val="00D562D4"/>
    <w:rsid w:val="00D56CF5"/>
    <w:rsid w:val="00D5705B"/>
    <w:rsid w:val="00D60CE2"/>
    <w:rsid w:val="00D60F69"/>
    <w:rsid w:val="00D619B7"/>
    <w:rsid w:val="00D653B2"/>
    <w:rsid w:val="00D6556E"/>
    <w:rsid w:val="00D6575F"/>
    <w:rsid w:val="00D65C66"/>
    <w:rsid w:val="00D66C1A"/>
    <w:rsid w:val="00D66D42"/>
    <w:rsid w:val="00D6731E"/>
    <w:rsid w:val="00D67A40"/>
    <w:rsid w:val="00D67C7C"/>
    <w:rsid w:val="00D70462"/>
    <w:rsid w:val="00D717DB"/>
    <w:rsid w:val="00D7200C"/>
    <w:rsid w:val="00D77E21"/>
    <w:rsid w:val="00D80487"/>
    <w:rsid w:val="00D804AE"/>
    <w:rsid w:val="00D80712"/>
    <w:rsid w:val="00D81041"/>
    <w:rsid w:val="00D827D1"/>
    <w:rsid w:val="00D8297C"/>
    <w:rsid w:val="00D82C5B"/>
    <w:rsid w:val="00D83B14"/>
    <w:rsid w:val="00D83F95"/>
    <w:rsid w:val="00D8493A"/>
    <w:rsid w:val="00D8511F"/>
    <w:rsid w:val="00D8518D"/>
    <w:rsid w:val="00D85B28"/>
    <w:rsid w:val="00D85C37"/>
    <w:rsid w:val="00D85D17"/>
    <w:rsid w:val="00D85F80"/>
    <w:rsid w:val="00D867D3"/>
    <w:rsid w:val="00D90D89"/>
    <w:rsid w:val="00D90FAA"/>
    <w:rsid w:val="00D91740"/>
    <w:rsid w:val="00D93E21"/>
    <w:rsid w:val="00DA1940"/>
    <w:rsid w:val="00DA3356"/>
    <w:rsid w:val="00DA36C9"/>
    <w:rsid w:val="00DA38AD"/>
    <w:rsid w:val="00DA3EA7"/>
    <w:rsid w:val="00DA4B73"/>
    <w:rsid w:val="00DA5B23"/>
    <w:rsid w:val="00DA5CA8"/>
    <w:rsid w:val="00DB007D"/>
    <w:rsid w:val="00DB0F5F"/>
    <w:rsid w:val="00DB1984"/>
    <w:rsid w:val="00DB22B8"/>
    <w:rsid w:val="00DB2730"/>
    <w:rsid w:val="00DB32AA"/>
    <w:rsid w:val="00DB55F8"/>
    <w:rsid w:val="00DB5D20"/>
    <w:rsid w:val="00DB5D9F"/>
    <w:rsid w:val="00DC0257"/>
    <w:rsid w:val="00DC0A11"/>
    <w:rsid w:val="00DC3069"/>
    <w:rsid w:val="00DC3ACF"/>
    <w:rsid w:val="00DC3E9A"/>
    <w:rsid w:val="00DC41C4"/>
    <w:rsid w:val="00DC5F2C"/>
    <w:rsid w:val="00DC69B0"/>
    <w:rsid w:val="00DC78CC"/>
    <w:rsid w:val="00DD0BB5"/>
    <w:rsid w:val="00DD0F08"/>
    <w:rsid w:val="00DD3086"/>
    <w:rsid w:val="00DD3137"/>
    <w:rsid w:val="00DD53F0"/>
    <w:rsid w:val="00DD587B"/>
    <w:rsid w:val="00DD5BB0"/>
    <w:rsid w:val="00DE33AB"/>
    <w:rsid w:val="00DE3597"/>
    <w:rsid w:val="00DE3C44"/>
    <w:rsid w:val="00DE5201"/>
    <w:rsid w:val="00DE59C4"/>
    <w:rsid w:val="00DE795E"/>
    <w:rsid w:val="00DE7F3A"/>
    <w:rsid w:val="00DF3084"/>
    <w:rsid w:val="00DF3AA7"/>
    <w:rsid w:val="00DF4FB0"/>
    <w:rsid w:val="00DF5C64"/>
    <w:rsid w:val="00DF6AF2"/>
    <w:rsid w:val="00DF7303"/>
    <w:rsid w:val="00E0188E"/>
    <w:rsid w:val="00E02B6C"/>
    <w:rsid w:val="00E02F24"/>
    <w:rsid w:val="00E031E2"/>
    <w:rsid w:val="00E038E8"/>
    <w:rsid w:val="00E03E6D"/>
    <w:rsid w:val="00E06BDE"/>
    <w:rsid w:val="00E071F3"/>
    <w:rsid w:val="00E079AE"/>
    <w:rsid w:val="00E1051D"/>
    <w:rsid w:val="00E10E96"/>
    <w:rsid w:val="00E11231"/>
    <w:rsid w:val="00E113CD"/>
    <w:rsid w:val="00E12B28"/>
    <w:rsid w:val="00E130B7"/>
    <w:rsid w:val="00E1401F"/>
    <w:rsid w:val="00E154BE"/>
    <w:rsid w:val="00E16F89"/>
    <w:rsid w:val="00E17976"/>
    <w:rsid w:val="00E214F5"/>
    <w:rsid w:val="00E227D5"/>
    <w:rsid w:val="00E22E08"/>
    <w:rsid w:val="00E23DED"/>
    <w:rsid w:val="00E31CD6"/>
    <w:rsid w:val="00E33DD5"/>
    <w:rsid w:val="00E34806"/>
    <w:rsid w:val="00E34EFB"/>
    <w:rsid w:val="00E36BAD"/>
    <w:rsid w:val="00E371A2"/>
    <w:rsid w:val="00E37D1F"/>
    <w:rsid w:val="00E4222D"/>
    <w:rsid w:val="00E42492"/>
    <w:rsid w:val="00E4315D"/>
    <w:rsid w:val="00E43BA7"/>
    <w:rsid w:val="00E44187"/>
    <w:rsid w:val="00E45227"/>
    <w:rsid w:val="00E4685D"/>
    <w:rsid w:val="00E50EB3"/>
    <w:rsid w:val="00E527EE"/>
    <w:rsid w:val="00E55435"/>
    <w:rsid w:val="00E5577A"/>
    <w:rsid w:val="00E56EB7"/>
    <w:rsid w:val="00E57927"/>
    <w:rsid w:val="00E623CC"/>
    <w:rsid w:val="00E627A8"/>
    <w:rsid w:val="00E63047"/>
    <w:rsid w:val="00E63429"/>
    <w:rsid w:val="00E63CC0"/>
    <w:rsid w:val="00E63D81"/>
    <w:rsid w:val="00E64633"/>
    <w:rsid w:val="00E64884"/>
    <w:rsid w:val="00E668CA"/>
    <w:rsid w:val="00E70B50"/>
    <w:rsid w:val="00E7209D"/>
    <w:rsid w:val="00E723D0"/>
    <w:rsid w:val="00E737B5"/>
    <w:rsid w:val="00E73DCA"/>
    <w:rsid w:val="00E743C9"/>
    <w:rsid w:val="00E77149"/>
    <w:rsid w:val="00E779CA"/>
    <w:rsid w:val="00E779D5"/>
    <w:rsid w:val="00E77C25"/>
    <w:rsid w:val="00E8072B"/>
    <w:rsid w:val="00E8077D"/>
    <w:rsid w:val="00E817B9"/>
    <w:rsid w:val="00E82757"/>
    <w:rsid w:val="00E82F5C"/>
    <w:rsid w:val="00E84151"/>
    <w:rsid w:val="00E84A04"/>
    <w:rsid w:val="00E85A33"/>
    <w:rsid w:val="00E9034D"/>
    <w:rsid w:val="00E9046E"/>
    <w:rsid w:val="00E913C7"/>
    <w:rsid w:val="00E914A3"/>
    <w:rsid w:val="00E919B7"/>
    <w:rsid w:val="00E9294D"/>
    <w:rsid w:val="00E92DB5"/>
    <w:rsid w:val="00E92E42"/>
    <w:rsid w:val="00E93DC6"/>
    <w:rsid w:val="00E93DEA"/>
    <w:rsid w:val="00E945EF"/>
    <w:rsid w:val="00E94D87"/>
    <w:rsid w:val="00EA2649"/>
    <w:rsid w:val="00EA6B52"/>
    <w:rsid w:val="00EA7DA1"/>
    <w:rsid w:val="00EB06B6"/>
    <w:rsid w:val="00EB18DC"/>
    <w:rsid w:val="00EB23A8"/>
    <w:rsid w:val="00EB3FFC"/>
    <w:rsid w:val="00EB51BA"/>
    <w:rsid w:val="00EB7127"/>
    <w:rsid w:val="00EC2AAA"/>
    <w:rsid w:val="00EC2F3F"/>
    <w:rsid w:val="00EC4048"/>
    <w:rsid w:val="00EC434B"/>
    <w:rsid w:val="00EC5679"/>
    <w:rsid w:val="00EC5A42"/>
    <w:rsid w:val="00EC635E"/>
    <w:rsid w:val="00EC7491"/>
    <w:rsid w:val="00ED2EA9"/>
    <w:rsid w:val="00ED469E"/>
    <w:rsid w:val="00ED75B6"/>
    <w:rsid w:val="00EE03EF"/>
    <w:rsid w:val="00EE073A"/>
    <w:rsid w:val="00EE16D8"/>
    <w:rsid w:val="00EE2F8D"/>
    <w:rsid w:val="00EE3929"/>
    <w:rsid w:val="00EE40CC"/>
    <w:rsid w:val="00EE40E3"/>
    <w:rsid w:val="00EE45A1"/>
    <w:rsid w:val="00EE5E8D"/>
    <w:rsid w:val="00EE7013"/>
    <w:rsid w:val="00EF097B"/>
    <w:rsid w:val="00EF2257"/>
    <w:rsid w:val="00EF46B9"/>
    <w:rsid w:val="00EF5513"/>
    <w:rsid w:val="00EF6296"/>
    <w:rsid w:val="00F02406"/>
    <w:rsid w:val="00F042A5"/>
    <w:rsid w:val="00F04637"/>
    <w:rsid w:val="00F048BB"/>
    <w:rsid w:val="00F04D19"/>
    <w:rsid w:val="00F06356"/>
    <w:rsid w:val="00F0699C"/>
    <w:rsid w:val="00F07328"/>
    <w:rsid w:val="00F07AF7"/>
    <w:rsid w:val="00F10262"/>
    <w:rsid w:val="00F119D8"/>
    <w:rsid w:val="00F11A75"/>
    <w:rsid w:val="00F11D4B"/>
    <w:rsid w:val="00F1377F"/>
    <w:rsid w:val="00F13E55"/>
    <w:rsid w:val="00F140A5"/>
    <w:rsid w:val="00F1491A"/>
    <w:rsid w:val="00F149CE"/>
    <w:rsid w:val="00F16EC8"/>
    <w:rsid w:val="00F16ED4"/>
    <w:rsid w:val="00F2240D"/>
    <w:rsid w:val="00F253D7"/>
    <w:rsid w:val="00F2691C"/>
    <w:rsid w:val="00F276EA"/>
    <w:rsid w:val="00F27D8A"/>
    <w:rsid w:val="00F3008C"/>
    <w:rsid w:val="00F31532"/>
    <w:rsid w:val="00F33865"/>
    <w:rsid w:val="00F339B6"/>
    <w:rsid w:val="00F35076"/>
    <w:rsid w:val="00F3614C"/>
    <w:rsid w:val="00F36792"/>
    <w:rsid w:val="00F37832"/>
    <w:rsid w:val="00F37D06"/>
    <w:rsid w:val="00F4011D"/>
    <w:rsid w:val="00F4191E"/>
    <w:rsid w:val="00F42C79"/>
    <w:rsid w:val="00F43480"/>
    <w:rsid w:val="00F453A0"/>
    <w:rsid w:val="00F4586D"/>
    <w:rsid w:val="00F462FD"/>
    <w:rsid w:val="00F47A47"/>
    <w:rsid w:val="00F50C15"/>
    <w:rsid w:val="00F51CAA"/>
    <w:rsid w:val="00F562D7"/>
    <w:rsid w:val="00F57C24"/>
    <w:rsid w:val="00F606C3"/>
    <w:rsid w:val="00F6190C"/>
    <w:rsid w:val="00F619F6"/>
    <w:rsid w:val="00F61AB3"/>
    <w:rsid w:val="00F648B3"/>
    <w:rsid w:val="00F64AB0"/>
    <w:rsid w:val="00F65595"/>
    <w:rsid w:val="00F6592E"/>
    <w:rsid w:val="00F72106"/>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908A0"/>
    <w:rsid w:val="00F91639"/>
    <w:rsid w:val="00F91A44"/>
    <w:rsid w:val="00F93792"/>
    <w:rsid w:val="00F94026"/>
    <w:rsid w:val="00F94998"/>
    <w:rsid w:val="00F95354"/>
    <w:rsid w:val="00F9632C"/>
    <w:rsid w:val="00F96403"/>
    <w:rsid w:val="00F97BAC"/>
    <w:rsid w:val="00FA1512"/>
    <w:rsid w:val="00FA21E6"/>
    <w:rsid w:val="00FA39D3"/>
    <w:rsid w:val="00FA4FFB"/>
    <w:rsid w:val="00FA5997"/>
    <w:rsid w:val="00FB01CE"/>
    <w:rsid w:val="00FB06A5"/>
    <w:rsid w:val="00FB2148"/>
    <w:rsid w:val="00FB3425"/>
    <w:rsid w:val="00FB37E3"/>
    <w:rsid w:val="00FB4D54"/>
    <w:rsid w:val="00FB4DF0"/>
    <w:rsid w:val="00FB5195"/>
    <w:rsid w:val="00FB5BD5"/>
    <w:rsid w:val="00FB6274"/>
    <w:rsid w:val="00FB6796"/>
    <w:rsid w:val="00FC0B06"/>
    <w:rsid w:val="00FC0E2E"/>
    <w:rsid w:val="00FC3229"/>
    <w:rsid w:val="00FC33E8"/>
    <w:rsid w:val="00FC4AA4"/>
    <w:rsid w:val="00FC4E42"/>
    <w:rsid w:val="00FC5B2B"/>
    <w:rsid w:val="00FC6F47"/>
    <w:rsid w:val="00FC77EB"/>
    <w:rsid w:val="00FD083B"/>
    <w:rsid w:val="00FD130F"/>
    <w:rsid w:val="00FD2031"/>
    <w:rsid w:val="00FD2B86"/>
    <w:rsid w:val="00FD2C16"/>
    <w:rsid w:val="00FD64B9"/>
    <w:rsid w:val="00FD65E1"/>
    <w:rsid w:val="00FE06FE"/>
    <w:rsid w:val="00FE10B5"/>
    <w:rsid w:val="00FE42D8"/>
    <w:rsid w:val="00FE5E2E"/>
    <w:rsid w:val="00FE6621"/>
    <w:rsid w:val="00FE76DA"/>
    <w:rsid w:val="00FF0301"/>
    <w:rsid w:val="00FF04FB"/>
    <w:rsid w:val="00FF0538"/>
    <w:rsid w:val="00FF0854"/>
    <w:rsid w:val="00FF0BD5"/>
    <w:rsid w:val="00FF11DB"/>
    <w:rsid w:val="00FF1DFE"/>
    <w:rsid w:val="00FF2DD6"/>
    <w:rsid w:val="00FF2F9E"/>
    <w:rsid w:val="00FF3827"/>
    <w:rsid w:val="00FF41D6"/>
    <w:rsid w:val="00FF47F8"/>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8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1C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adtivobuga@cendoj.ramajudicial.gov.co"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7333-0E9D-4EAF-A18A-0E16477E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19</TotalTime>
  <Pages>13</Pages>
  <Words>5593</Words>
  <Characters>30763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12</cp:revision>
  <cp:lastPrinted>2025-01-22T20:41:00Z</cp:lastPrinted>
  <dcterms:created xsi:type="dcterms:W3CDTF">2025-01-22T20:38:00Z</dcterms:created>
  <dcterms:modified xsi:type="dcterms:W3CDTF">2025-02-05T17:05:00Z</dcterms:modified>
</cp:coreProperties>
</file>