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DB37" w14:textId="77777777" w:rsidR="005558F1" w:rsidRDefault="005558F1" w:rsidP="005558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  <w:r>
        <w:rPr>
          <w:rFonts w:ascii="TimesNewRomanPSMT" w:hAnsi="TimesNewRomanPSMT" w:cs="TimesNewRomanPSMT"/>
          <w:kern w:val="0"/>
          <w:sz w:val="20"/>
          <w:szCs w:val="20"/>
          <w:lang w:val="es-CO"/>
        </w:rPr>
        <w:t>46-2023-35-01 FANNY MIREYA RAMIREZ RIOS VS COLPENSIONES Y OTROS</w:t>
      </w:r>
    </w:p>
    <w:p w14:paraId="6B838F84" w14:textId="0ED8DD82" w:rsidR="005558F1" w:rsidRDefault="005558F1" w:rsidP="009F6F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es-CO"/>
        </w:rPr>
      </w:pPr>
    </w:p>
    <w:p w14:paraId="3125A02F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REPUBLICA DE COLOMBIA</w:t>
      </w:r>
    </w:p>
    <w:p w14:paraId="0B7EEDD7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TRIBUNAL SUPERIOR DE BOGOTA D.C.</w:t>
      </w:r>
    </w:p>
    <w:p w14:paraId="1F76FE84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SALA LABORAL</w:t>
      </w:r>
    </w:p>
    <w:p w14:paraId="644038DF" w14:textId="77777777" w:rsidR="009F6F7F" w:rsidRDefault="009F6F7F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3E177154" w14:textId="77777777" w:rsidR="009F6F7F" w:rsidRDefault="009F6F7F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330EC447" w14:textId="24637C02" w:rsidR="005558F1" w:rsidRDefault="005558F1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PROCESO ORDINARIO No.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46-2023-35-01</w:t>
      </w:r>
    </w:p>
    <w:p w14:paraId="588CA5B8" w14:textId="468E1E59" w:rsidR="005558F1" w:rsidRDefault="005558F1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ASUNTO: 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APELACIÓN AUTO</w:t>
      </w:r>
    </w:p>
    <w:p w14:paraId="26BE5A17" w14:textId="032E6242" w:rsidR="005558F1" w:rsidRDefault="005558F1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DEMANDANTE: 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FANNY MIREYA RAMIREZ RIOS</w:t>
      </w:r>
    </w:p>
    <w:p w14:paraId="6F92DA73" w14:textId="72DAEB0D" w:rsidR="005558F1" w:rsidRDefault="005558F1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DEMANDADOS: 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COLPENSIONES Y OTROS</w:t>
      </w:r>
    </w:p>
    <w:p w14:paraId="6FD37386" w14:textId="77777777" w:rsidR="005558F1" w:rsidRDefault="005558F1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 U D I E N C I A D E J U Z G A M I E N T O</w:t>
      </w:r>
    </w:p>
    <w:p w14:paraId="10AAB1CE" w14:textId="2A28D27A" w:rsidR="005558F1" w:rsidRDefault="005558F1" w:rsidP="005558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MAGISTRADA PONENTE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MARLENY RUEDA OLARTE</w:t>
      </w:r>
    </w:p>
    <w:p w14:paraId="410626CC" w14:textId="77777777" w:rsidR="009F6F7F" w:rsidRDefault="009F6F7F" w:rsidP="005558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5F479F1A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5A021141" w14:textId="480B2E7C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Bogotá D.C., a los veintinueve (29) días del mes de febrero de dos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mil veinticuatro; previa deliberación de los Magistrados y conforme a los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términos acordados en la Sala de Decisión y teniendo en cuenta los alegatos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presentados por Seguros Bolívar y Colpensiones, se procede a dictar la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siguiente,</w:t>
      </w:r>
    </w:p>
    <w:p w14:paraId="44490306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1C5CE1AD" w14:textId="70032901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DECISION</w:t>
      </w:r>
    </w:p>
    <w:p w14:paraId="3B8F670F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62AB1A7" w14:textId="0C417762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Tribunal Superior de Bogotá por conducto de la Sala Laboral,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resuelve el recurso de apelación interpuesto por la apoderada de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COLFONDOS SA; contra el auto proferido por la Juez 46 Laboral del Circuito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 Bogotá, el día ocho (8) de septiembre de dos mil veintitrés (2023), por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medio del cual en los numerales 4 y 5 dispuso:</w:t>
      </w:r>
    </w:p>
    <w:p w14:paraId="2EEE0798" w14:textId="3B05307F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  <w:lang w:val="es-CO"/>
        </w:rPr>
      </w:pPr>
    </w:p>
    <w:p w14:paraId="7CA62755" w14:textId="541A1E45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es-CO"/>
        </w:rPr>
      </w:pPr>
    </w:p>
    <w:p w14:paraId="7DC9B996" w14:textId="0E4106C5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“CUARTO: REPONER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ordinal séptimo del auto fechado 19 de julio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2023, por las razones expuestas en la presente providencia.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consecuencia,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RECHAZAR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llamamiento en garantía de la Compañía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 Bolívar SA.</w:t>
      </w:r>
    </w:p>
    <w:p w14:paraId="5D4A2D43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</w:pPr>
    </w:p>
    <w:p w14:paraId="19352064" w14:textId="1DCD051F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QUINTO: RECHAZAR EL LLAMAMIENTO EN GARANTÍA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Allianz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de Vida SA por lo expuesto en la parte motiva de esta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providencia…” </w:t>
      </w:r>
      <w:r>
        <w:rPr>
          <w:rFonts w:ascii="ArialMT" w:hAnsi="ArialMT" w:cs="ArialMT"/>
          <w:kern w:val="0"/>
          <w:sz w:val="24"/>
          <w:szCs w:val="24"/>
          <w:lang w:val="es-CO"/>
        </w:rPr>
        <w:t>(Expediente Digitalizado).</w:t>
      </w:r>
    </w:p>
    <w:p w14:paraId="033B8795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262854E7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HECHOS</w:t>
      </w:r>
    </w:p>
    <w:p w14:paraId="6D42C46D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96F8E24" w14:textId="79EF3A1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La señora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FANNY MIREYA RAMÍREZ RÍOS</w:t>
      </w:r>
      <w:r>
        <w:rPr>
          <w:rFonts w:ascii="ArialMT" w:hAnsi="ArialMT" w:cs="ArialMT"/>
          <w:kern w:val="0"/>
          <w:sz w:val="24"/>
          <w:szCs w:val="24"/>
          <w:lang w:val="es-CO"/>
        </w:rPr>
        <w:t>, instauró demanda a través de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apoderado en contra de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COLPENSIONES Y COLFONDOS SA PENSIONES Y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CESANTÍAS, </w:t>
      </w:r>
      <w:r>
        <w:rPr>
          <w:rFonts w:ascii="ArialMT" w:hAnsi="ArialMT" w:cs="ArialMT"/>
          <w:kern w:val="0"/>
          <w:sz w:val="24"/>
          <w:szCs w:val="24"/>
          <w:lang w:val="es-CO"/>
        </w:rPr>
        <w:t>para que, a través de un proceso ordinario laboral, se declare la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ineficacia del traslado y afiliación a ese fondo, por cuanto no existió una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decisión informada, autónoma y consciente al no conocer los riesgos del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traslado. En consecuencia, solicita el traslado de aportes y sus rendimientos.</w:t>
      </w:r>
    </w:p>
    <w:p w14:paraId="47ACF151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(Expediente Digitalizado).</w:t>
      </w:r>
    </w:p>
    <w:p w14:paraId="24DF6BFC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CEC6C32" w14:textId="794F6841" w:rsidR="005558F1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>L</w:t>
      </w:r>
      <w:r w:rsidR="005558F1">
        <w:rPr>
          <w:rFonts w:ascii="ArialMT" w:hAnsi="ArialMT" w:cs="ArialMT"/>
          <w:kern w:val="0"/>
          <w:sz w:val="24"/>
          <w:szCs w:val="24"/>
          <w:lang w:val="es-CO"/>
        </w:rPr>
        <w:t>a demandada COLFONDOS SA PENSIONES Y CESANTIAS, solicitó llamar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 w:rsidR="005558F1">
        <w:rPr>
          <w:rFonts w:ascii="ArialMT" w:hAnsi="ArialMT" w:cs="ArialMT"/>
          <w:kern w:val="0"/>
          <w:sz w:val="24"/>
          <w:szCs w:val="24"/>
          <w:lang w:val="es-CO"/>
        </w:rPr>
        <w:t>en garantía ente otras a SEGUROS BOLIVAR SA Y ALLIANZ SEGUROS DE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 w:rsidR="005558F1">
        <w:rPr>
          <w:rFonts w:ascii="ArialMT" w:hAnsi="ArialMT" w:cs="ArialMT"/>
          <w:kern w:val="0"/>
          <w:sz w:val="24"/>
          <w:szCs w:val="24"/>
          <w:lang w:val="es-CO"/>
        </w:rPr>
        <w:t>VIDA SA</w:t>
      </w:r>
    </w:p>
    <w:p w14:paraId="339D22E0" w14:textId="4A5B2C23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Mediante la providencia que hoy revisa la Sala, el Juez negó la solicitud,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manifestando:</w:t>
      </w:r>
    </w:p>
    <w:p w14:paraId="25CF17D4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2E4FC717" w14:textId="26B917B4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“(…)</w:t>
      </w:r>
    </w:p>
    <w:p w14:paraId="5368BAE4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692A727A" w14:textId="225DCE64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Al respecto, la recurrente Compañía de Seguros Bolívar SA, pese a que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allegó contestación al llamamiento en garantía, solicitó que se rechace su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vinculación al proceso ante la ausencia de los requisitos previstos para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hacerlo, pues Colfondos SA no demostró la existencia de una relación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sustancial que le imponga el deber de garantizar el pago de la eventual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condenada; esto por cuanto las pólizas que se allegaron para sustentarlo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únicamente cubren los riesgos de invalidez, muerte y auxilio funerario, sin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se haya pactado o exista obligación legal de su parte para efectuar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devolución de las cotizaciones, bonos pensionales, rendimientos, retorno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primas de seguro en caso de que se declare la ineficacia y/o nulidad del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traslado realizado por la demandante; situación que se deduce del texto de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póliza cuyos beneficiarios son los afiliados del fondo de pensiones y no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Colfondos SA. Precisado lo anterior, procede el Despacho a establecer si hay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 no lugar a acoger los argumentos expuestos por la llamada en garantía.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</w:p>
    <w:p w14:paraId="012FE7A6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606DD1BA" w14:textId="42C758FC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Para ello, es importante citar el artículo 64 del CGP, aplicable 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procedimiento laboral por así permitirlo el artículo 145 del CPT y SS, que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dispone:</w:t>
      </w:r>
    </w:p>
    <w:p w14:paraId="4311FF96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6E71289C" w14:textId="07922B58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“LLAMAMIENTO EN GARANTÍA. Quien afirme tener derecho legal 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contractual a exigir de otro la indemnización del perjuicio que llegare a sufrir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 el reembolso total o parcial del pago que tuviere que hacer como resultado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la sentencia que se dicte en el proceso que promueva o se le promueva, 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quien de acuerdo con la ley sustancial tenga derecho al saneamiento por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evicción, podrá pedir, en la demanda o dentro del término para contestarla,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en el mismo proceso se resuelva sobre tal relación.”</w:t>
      </w:r>
    </w:p>
    <w:p w14:paraId="3A3EB228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22106471" w14:textId="513E7072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Así las cosas, con la figura del llamamiento en garantía se pretende que se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garantice el pago de una eventual condena a partir de la existencia de una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obligación legal o contractual entre el garante y el garantizado. En el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presente caso, la AFP Colfondos SA llamó en garantía a la Compañía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Bolívar SA a fin de que responda por una eventual condena que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exija la devolución de la prima pagada para amparar los riesgos de invalidez,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muerte y auxilio funerario de los afiliados a dicha administradora, en virtud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los contratos de seguro previsional celebrados mediante pólizas No. 5030-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0000002-01, con sus prórrogas 02-03-04, No. 6000-0000015-01 y 02 y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No.6000-0000018-01 y 02, cuyas vigencias fueron entre el año 2005 al 2008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y del 2016 al 2023. Por lo expuesto, advierte el Despacho que le asiste razón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 la recurrente, pues del texto de las pólizas antes referidas no es posible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inferir que se esté asegurando la devolución de las primas pagadas, en caso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presentarse una declaratoria de ineficacia de traslado de régimen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pensional. En este sentido, es clara la inexistencia de un compromiso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contractual a cargo de Compañía de Seguros Bolívar SA en virtud del cual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deba asumir la devolución de las primas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lastRenderedPageBreak/>
        <w:t>que le fueron pagadas, pues este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punto no fue materia de aseguramiento. En otras palabras, el origen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contractual de la relación jurídica entre Colfondos SA y Compañía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Bolívar SA se circunscribe en el eventual reconocimiento de sumas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adicionales en prestaciones económicas a los afiliados de esa AFP, mas no</w:t>
      </w:r>
    </w:p>
    <w:p w14:paraId="22A69946" w14:textId="5DC17620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abarca una posible devolución de los dineros pagados por concepto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primas. Lo que conlleva que no se cumplen los supuestos previstos en el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artículo 64 del CGP para realizar el llamamiento en garantía. Teniendo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cuenta los anteriores argumentos, se repondrá el ordinal séptimo del auto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objeto de recurso y, en su lugar, se rechazará el llamamiento en garantía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 Compañía de Seguros Bolívar SA.</w:t>
      </w:r>
    </w:p>
    <w:p w14:paraId="0C14665E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6C52EA51" w14:textId="61DD9119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“(…)</w:t>
      </w:r>
    </w:p>
    <w:p w14:paraId="158BC9D5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35038B25" w14:textId="77777777" w:rsidR="009F6F7F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Ahora, conforme solicitud que obra en el plenario, la demandada Colfondos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SA requirió la adición y pronunciamiento frente al llamamiento en garantía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Allianz Seguros de Vida SA (archivo 21 del expediente digital) quien a través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apoderado judicial allegó contestación al llamamiento el día 9 de agosto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2023 al correo electrónico del Despacho, pese a que no se había admitido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su llamado (Archivo 16 del expediente digital). Al respecto, cumple indicar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Colfondos SA llamó en garantía a la Allianz Seguros de Vida SA a fin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responda por una eventual condena que exija la devolución de la prima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pagada para amparar los riesgos de invalidez, muerte y auxilio funerario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los afiliados a dicha administradora, en virtud de los contratos de seguro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 celebrados mediante pólizas No. a No. 0209000001-1, cuyas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vigencias son entre el 1° de enero de 1994 y el 31 de diciembre de 2000. </w:t>
      </w:r>
    </w:p>
    <w:p w14:paraId="1E0051C5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5594FCB9" w14:textId="63FDE328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Por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lo anterior, y atendiendo los argumentos señalados para resolver el recurso</w:t>
      </w:r>
    </w:p>
    <w:p w14:paraId="0569015C" w14:textId="048B0221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propuesto por la Compañía de Seguros Bolívar SA, advierte el Despacho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que, para el caso de Allianz Seguros de Vida SA, tampoco se reúnen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requisitos para realizar el llamamiento en garantía en este proceso, ya que, 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revisarse la póliza, de su texto no surge que la misma asegure “la devolución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de la prima pagada”, imponiéndose rechazar este </w:t>
      </w:r>
      <w:proofErr w:type="gramStart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llamamiento….</w:t>
      </w:r>
      <w:proofErr w:type="gramEnd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”</w:t>
      </w:r>
    </w:p>
    <w:p w14:paraId="4061B5DB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53A58B05" w14:textId="77777777" w:rsidR="009F6F7F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Inconforme con esta decisión el apoderado de SKANDIA interpone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recurso afirmando en síntesis que: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“…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objeto de las pretensiones de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demanda versa sobre “Declarar la nulidad o ineficacia del traslado de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señora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FANNY MIREYA RAMIREZ RÍOS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hizo del Régimen de Prima Media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 Prestación Definida (Administrado hoy por COLPENSIONES) al Régimen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Ahorro Individual con Solidaridad” En el evento de declararse la ineficacia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la afiliación, la consecuencia jurídica de ello implica restituir las cosas 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estado al que estarían como si no hubiese existido el acto o contrato,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consecuencia, todas actos o contratos que se hubiesen derivado de este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vínculo legal deberán igualmente dejarse sin efecto. </w:t>
      </w:r>
    </w:p>
    <w:p w14:paraId="10037893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17F7263E" w14:textId="706DBE78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Ahora bien, teniendo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cuenta que COLFONDOS S.A., en cumplimiento de su obligación legal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(artículo 20 de la Ley 100 de 1993), celebró con las entidades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(1) ALLIANZ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SEGUROS DE VIDA S.A., (2) SEGUROS DE VIDA COLPATRIA S.A. hoy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AXA COLPATRIA SEGUROS DE VIDA S.A. y la (3) MAPFRE COLOMBIA</w:t>
      </w:r>
    </w:p>
    <w:p w14:paraId="7AB81015" w14:textId="5E931040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lastRenderedPageBreak/>
        <w:t>VIDA SEGUROS S.A.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,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(4) ASEGURADORA COMPAÑÍA DE SEGUROS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BOLIVAR S.A., un contrato de seguro previsional destinado a amparar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los riesgos de invalidez y muerte de los afiliados a su Fondo Obligatorio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de Pensiones (entre ellos la Demandante)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, durante la vigencia para cada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una de las aseguradoras, es evidente que en caso de que en la sentencia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ponga fin a este proceso se condene a devolver la prima pagada como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contraprestación legal por ese seguro, las entidades llamada a realizar esa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devolución es la aseguradoras llamadas en Garantía., quienes recibieron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prima pagada por mi representada, es claro que estas pólizas se pagaron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 los dineros de las cotizaciones que los empleadores en concurso con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trabajadores o independientes hacen al RAIS, para este caso 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COLFONDOS S.A PENSIONES Y CESANTÍAS, lo que indica que es legítimo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llamamiento en garantía invocado, por cuanto dicha aseguradora ha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recibido dineros de contribuciones parafiscales, en virtud de las pólizas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previsionales suscritas, esa es la causa que justifica el presente llamado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garantía. Es preciso mencionar que existen algunas sentencias de la Corte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Suprema de Justicia en donde se establece que, al existir un vicio del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consentimiento en el Traslado de Régimen Pensional de cualquier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ciudadano, las Administradoras de Fondos de Pensiones deberán devolver 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 Administradora Colombiana de Pensiones–COLPENSIONES- todos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valores contenidos en la cuenta de ahorro individual del Demandante,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incluidos los gastos de administración y aseguramiento descritos</w:t>
      </w:r>
    </w:p>
    <w:p w14:paraId="2DE5D7D1" w14:textId="7DEA852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anteriormente. Aun cuando la ratio de esas providencias es del todo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controvertible, según lo previsto en el ordenamiento jurídico vigente, en todo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caso, a la luz de los hechos relatados y de los fundamentos de derecho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expuestos, si el Despacho profiere una condena en ese sentido, la misma,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lo que se refiere a la eventual devolución de la prima del seguro previsional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debe ir dirigida contra de las aseguradoras contratadas por Colfondos S.A.,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 vista del presente llamamiento en garantía y de la relación contractual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existente entre COLFONDOS S.A. y esa aseguradora, en razón de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celebración del seguro previsional mencionado, cuyas vigencias quedaron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debidamente acreditadas en los llamamientos radicados, y que estuvieron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vigentes durante la vinculación de la demandante, la cual estuvo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comprendida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Desde el 01 de abril de 2000, vigente hasta la fecha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, y cuyas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primas fueron y han sido oportunamente pagadas por mi representada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favor de esas aseguradoras. Debe tenerse en cuenta lo mencionado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sentencia del Tribunal Superior de Bogotá en providencia del (19) días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agosto de dos mil veintidós (2022), MP Magistrado Sustanciador: MILLER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ESQUIVEL GAITÁN, dentro del proceso </w:t>
      </w:r>
      <w:proofErr w:type="spellStart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Exp</w:t>
      </w:r>
      <w:proofErr w:type="spellEnd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. </w:t>
      </w:r>
      <w:proofErr w:type="spellStart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N°</w:t>
      </w:r>
      <w:proofErr w:type="spellEnd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023 2021 00582 01, en el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cual indica (…). Así mismo, téngase en cuenta, que la Sala de Casación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Laboral de la Corte Suprema de Justicia, ha insistido en que, si se dan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supuestos para la ineficacia del traslado de régimen de ahorro individual con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solidaridad, la consecuencia jurídica no es otra que, privar de todo efecto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práctico el traslado, bajo la ficción jurídica de que aquél nunca se dio, por lo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que, la administradora del RAIS debe devolver al sistema todos los valores</w:t>
      </w:r>
    </w:p>
    <w:p w14:paraId="39013C44" w14:textId="2804D0F9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recibidos por concepto de cotización y rendimientos financieros, incluidos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gastos de administración, así como los valores utilizados en seguros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previsionales y la garantía de pensión mínima, por lo cual, se debe discutir,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entre otras cosas, ante una eventual condena, cómo la AFP debe devolver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esos recursos, esto es, si le es exigible el reclamo a la aseguradora de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dineros asumidos por el aludido seguro previsional o no. De igual manera,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resulta necesario traer a colación la sentencia de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lastRenderedPageBreak/>
        <w:t>17 de agosto de 2011, Rad.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36403, mediante la cual, la Corporación de cierre de la jurisdicción ordinaria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laboral determinó la relevancia que adquieren las aseguradoras de pensiones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 su calidad de gestoras de seguros previsionales dentro del proceso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ordinario laboral, al enseñar: “En primer lugar, no puede hacerse una lectura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restringida de la norma acusada como la que plantea el impugnante,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orientada a que cuando se refiere a controversias que vinculen a las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“entidades administradoras o prestadoras” deja por fuera de los litigios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conocimiento de la justicia laboral como potenciales demandadas a las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aseguradoras, pues es indiscutible que ellas también en sentido amplio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hacen parte de las entidades de la seguridad social como se deriva del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artículo 48 de la Constitución Política, que determina que el servicio público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la seguridad social podrá ser prestado “por entidades públicas o privadas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conformidad con la ley”. (…) Y es por propia disposición de la Ley 100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artículo 108, que las administradoras de pensiones deben contratar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previsionales para efectos de las pensiones de invalidez y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sobrevivientes, como una obligación inherente al régimen de ahorro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individual concebido por la ley con carácter de aseguramiento, con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finalidad de garantizar al afiliado o sus beneficiarios las sumas adicionales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indispensables para financiar esas prestaciones. Por lo tanto, las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aseguradoras que gestionan seguros pensionales y los seguros previsionales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invalidez y supervivencia y que están llamadas a concurrir al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financiamiento de las prestaciones por disposición de la ley y en los términos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 ella previstos, en aquellos asuntos que involucran derechos de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afiliados y sus beneficiarios deben ser consideradas como entidades de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seguridad social, y por ende con vocación natural para ser partes dentro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 conflictividad en esa materia, de conocimiento de la justicia ordinaria en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especialidad laboral con arreglo al numeral 4° del artículo 2° de la Ley 712 de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2001, que modificó el artículo 2° del Código Procesal del Trabajo y de la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Seguridad Social.” (…) Por lo anterior y conforme lo establecido en el artículo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64 del Código General del Proceso, es procedente Llamar en Garantía a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1)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ALLIANZ SEGUROS DE VIDA S.A., (2) SEGUROS DE VIDA COLPATRIA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S.A. hoy AXA COLPATRIA SEGUROS DE VIDA S.A. y la (3) MAPFRE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COLOMBIA VIDA SEGUROS S.A.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,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(4) ASEGURADORA COMPAÑÍA DE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 xml:space="preserve">SEGUROS BOLIVAR S.A..,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toda vez que existe un vínculo contractual en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virtud del cual, en caso de condena, esa sociedad debería reembolsar los</w:t>
      </w:r>
      <w:r w:rsidR="009F6F7F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valores pagados por concepto de seguro previsional obligatorio….”</w:t>
      </w:r>
    </w:p>
    <w:p w14:paraId="14FC48C8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7F71DB56" w14:textId="5BD1A6E3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CONSIDERACIONES</w:t>
      </w:r>
    </w:p>
    <w:p w14:paraId="41401A91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49222B1" w14:textId="77777777" w:rsidR="009F6F7F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La Sala resolverá el recurso de acuerdo con lo establecido en el art 66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 del C P del T y de la S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S</w:t>
      </w:r>
      <w:proofErr w:type="spellEnd"/>
      <w:r>
        <w:rPr>
          <w:rFonts w:ascii="ArialMT" w:hAnsi="ArialMT" w:cs="ArialMT"/>
          <w:kern w:val="0"/>
          <w:sz w:val="24"/>
          <w:szCs w:val="24"/>
          <w:lang w:val="es-CO"/>
        </w:rPr>
        <w:t>., advirtiendo desde ya que CONFIRMARÁ la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decisión,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siendo varias las veces en que en casos idénticos se han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expresado las razones. </w:t>
      </w:r>
      <w:r>
        <w:rPr>
          <w:rFonts w:ascii="ArialMT" w:hAnsi="ArialMT" w:cs="ArialMT"/>
          <w:kern w:val="0"/>
          <w:sz w:val="24"/>
          <w:szCs w:val="24"/>
          <w:lang w:val="es-CO"/>
        </w:rPr>
        <w:t>Veamos.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</w:p>
    <w:p w14:paraId="1A0936B9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2702EE31" w14:textId="39AAC1C4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llamamiento en garantía se encuentra contemplado en el artículo 64 del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Código General del Proceso, norma que lo define como una facultad que le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asiste a </w:t>
      </w:r>
      <w:r>
        <w:rPr>
          <w:rFonts w:ascii="Arial-ItalicMT" w:hAnsi="Arial-ItalicMT" w:cs="Arial-ItalicMT"/>
          <w:i/>
          <w:iCs/>
          <w:kern w:val="0"/>
          <w:lang w:val="es-CO"/>
        </w:rPr>
        <w:t>“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quien tenga derecho legal o contractual de exigir de otro la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indemnización del perjuicio que llegare a sufrir, o el reembolso total o parcial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del pago que tuviere que hacer como resultado de la sentencia”.</w:t>
      </w:r>
    </w:p>
    <w:p w14:paraId="1369E12E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</w:p>
    <w:p w14:paraId="2625E56A" w14:textId="1090F253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>Esta disposición aplicable en materia laboral en virtud del artículo 145 del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Código Procesal del Trabajo y de la Seguridad Social, al igual que las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previstas para su trámite, de acuerdo a la jurisprudencia de la Corte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Constitucional “</w:t>
      </w:r>
      <w:r>
        <w:rPr>
          <w:rFonts w:ascii="Arial-ItalicMT" w:hAnsi="Arial-ItalicMT" w:cs="Arial-ItalicMT"/>
          <w:i/>
          <w:iCs/>
          <w:kern w:val="0"/>
          <w:lang w:val="es-CO"/>
        </w:rPr>
        <w:t>debe concebirse como un instrumento procesal creado por el</w:t>
      </w:r>
      <w:r w:rsidR="009F6F7F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legislador con la finalidad de concretar el principio de la economía procesal, para</w:t>
      </w:r>
      <w:r w:rsidR="009F6F7F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vincular al proceso como parte a un tercero interviniente que, desde cuando se</w:t>
      </w:r>
      <w:r w:rsidR="009F6F7F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admite la solicitud por parte del juez, queda vinculado de manera forzosa a lo que se</w:t>
      </w:r>
      <w:r w:rsidR="009F6F7F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resuelva en la sentencia”.</w:t>
      </w:r>
    </w:p>
    <w:p w14:paraId="3F4A1E2C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2AD0FED2" w14:textId="7EAA8D2E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tema del llamamiento en garantía en materia laboral ha sido tratado por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la H Corte Suprema de Justicia, aceptando la procedencia de esta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intervenciónantes</w:t>
      </w:r>
      <w:proofErr w:type="spellEnd"/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 la expedición del CGP, denominados terceros, ahora otras partes-;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cuando se trata de situaciones en que se aseguran riesgos derivados de normas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del CST.</w:t>
      </w:r>
    </w:p>
    <w:p w14:paraId="77A21BF9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049E2D5" w14:textId="3715F2B0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Ahora bien, aunque procedente- se itera-. en materia laboral;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solo lo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es cuando se cumplen los requisitos de la norma, esto es el artículo 64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del CGP; requisitos, que no se dan en este caso específico.</w:t>
      </w:r>
    </w:p>
    <w:p w14:paraId="5B59A4CF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FFF21CE" w14:textId="77777777" w:rsidR="009F6F7F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Por el contrario, se itera, claro resulta la norma cuando expresa: “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quien</w:t>
      </w:r>
      <w:r w:rsidR="009F6F7F"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tenga derecho legal o contractual </w:t>
      </w:r>
      <w:r>
        <w:rPr>
          <w:rFonts w:ascii="Arial-ItalicMT" w:hAnsi="Arial-ItalicMT" w:cs="Arial-ItalicMT"/>
          <w:i/>
          <w:iCs/>
          <w:kern w:val="0"/>
          <w:lang w:val="es-CO"/>
        </w:rPr>
        <w:t>de exigir de otro la indemnización del perjuicio</w:t>
      </w:r>
      <w:r w:rsidR="009F6F7F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 xml:space="preserve">que llegare a sufrir”, </w:t>
      </w:r>
      <w:r>
        <w:rPr>
          <w:rFonts w:ascii="ArialMT" w:hAnsi="ArialMT" w:cs="ArialMT"/>
          <w:kern w:val="0"/>
          <w:sz w:val="24"/>
          <w:szCs w:val="24"/>
          <w:lang w:val="es-CO"/>
        </w:rPr>
        <w:t>lo que no es claro en este caso toda vez que, si bien se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suscribieron unas pólizas de seguro previsional; (argumento central del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recurso); de esta relación comercial, no surge el posible derecho relacionado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con las pretensiones de nulidad y/o ineficacia de la afiliación y por el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contrario,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se trata de un tomador de un seguro cuyos beneficiarios son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todos los afiliados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COLFONDOS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, incluida la demandante sí,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pero en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cuyo caso si se da una condena, se afectarían derechos de terceros,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asunto además que no corresponde al Juez Laboral definir.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</w:p>
    <w:p w14:paraId="31319D95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39753BA5" w14:textId="05CAEC96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Ahora la relación contractual a la que se refiere la norma, debe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ser del conocimiento del Juez Laboral, para que en el mismo proceso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resuelva el posible derecho de pago o indemnización del perjuicio,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siendo claro que las primas pagadas y su posible a pago a otra entidad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o reembolso escapa a la jurisdicción del Trabajo y la Seguridad Social,;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luego esta relación no es de las que la norma contenida en el art 64 del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CGP indica, esto es que otorgue a quien llama a exigir indemnización de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perjuicios o reembolso de posibles condenas, </w:t>
      </w:r>
      <w:r>
        <w:rPr>
          <w:rFonts w:ascii="ArialMT" w:hAnsi="ArialMT" w:cs="ArialMT"/>
          <w:kern w:val="0"/>
          <w:sz w:val="24"/>
          <w:szCs w:val="24"/>
          <w:lang w:val="es-CO"/>
        </w:rPr>
        <w:t>pues estas estarán a cargo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 la demandada y los posibles, se itera, conflictos que pudiera tener con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quienes contrató y suscribió pólizas, no son del conocimiento del Juez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Laboral.</w:t>
      </w:r>
    </w:p>
    <w:p w14:paraId="22C8E327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F822915" w14:textId="2FC69624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La Sala reitera que los requisitos contemplados en el artículo 64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del CGP, como sostuvo la providencia atacada no se cumplen en este</w:t>
      </w:r>
      <w:r w:rsidR="009F6F7F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caso </w:t>
      </w:r>
      <w:proofErr w:type="gramStart"/>
      <w:r>
        <w:rPr>
          <w:rFonts w:ascii="ArialMT" w:hAnsi="ArialMT" w:cs="ArialMT"/>
          <w:kern w:val="0"/>
          <w:sz w:val="24"/>
          <w:szCs w:val="24"/>
          <w:lang w:val="es-CO"/>
        </w:rPr>
        <w:t>y</w:t>
      </w:r>
      <w:proofErr w:type="gram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 en consecuencia, se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CONFIRMARÁ </w:t>
      </w:r>
      <w:r>
        <w:rPr>
          <w:rFonts w:ascii="ArialMT" w:hAnsi="ArialMT" w:cs="ArialMT"/>
          <w:kern w:val="0"/>
          <w:sz w:val="24"/>
          <w:szCs w:val="24"/>
          <w:lang w:val="es-CO"/>
        </w:rPr>
        <w:t>la decisión de la juez de primera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instancia.</w:t>
      </w:r>
    </w:p>
    <w:p w14:paraId="4F6EE717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Sin costas en esta instancia.</w:t>
      </w:r>
    </w:p>
    <w:p w14:paraId="2F1BBBA4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572CD7A" w14:textId="7DAA69B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mérito de lo expuesto por el Tribunal Superior de Bogotá, por</w:t>
      </w:r>
      <w:r w:rsidR="009F6F7F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conducto de la Sala Laboral,</w:t>
      </w:r>
    </w:p>
    <w:p w14:paraId="4B606A9D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5041B263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lastRenderedPageBreak/>
        <w:t>RESUELVE</w:t>
      </w:r>
    </w:p>
    <w:p w14:paraId="03655D8E" w14:textId="6E38722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  <w:lang w:val="es-CO"/>
        </w:rPr>
      </w:pPr>
    </w:p>
    <w:p w14:paraId="62C2BF0A" w14:textId="06F55921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es-CO"/>
        </w:rPr>
      </w:pPr>
    </w:p>
    <w:p w14:paraId="6427D426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PRIMERO: CONFIRMAR el auto apelado.</w:t>
      </w:r>
    </w:p>
    <w:p w14:paraId="112F23F4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70296C3" w14:textId="0D69069B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SEGUNDO: Sin COSTAS en la instancia.</w:t>
      </w:r>
    </w:p>
    <w:p w14:paraId="3746D8C6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95E9253" w14:textId="58831198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NOTIFIQUESE Y CUMPLASE</w:t>
      </w:r>
    </w:p>
    <w:p w14:paraId="2342DFB6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C207209" w14:textId="1D88C6E4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MARLENY RUEDA OLARTE</w:t>
      </w:r>
    </w:p>
    <w:p w14:paraId="33C3B516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Magistrada</w:t>
      </w:r>
    </w:p>
    <w:p w14:paraId="24139005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7606E388" w14:textId="33F6F4A1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MANUEL EDUARDO SERRANO BAQUERO</w:t>
      </w:r>
    </w:p>
    <w:p w14:paraId="0153D0BF" w14:textId="77777777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Magistrado</w:t>
      </w:r>
    </w:p>
    <w:p w14:paraId="5B8BADCC" w14:textId="77777777" w:rsidR="009F6F7F" w:rsidRDefault="009F6F7F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77BD814" w14:textId="578D1C83" w:rsidR="005558F1" w:rsidRDefault="005558F1" w:rsidP="009F6F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HUGO ALEXANDER RÍOS GARAY</w:t>
      </w:r>
    </w:p>
    <w:p w14:paraId="3628C7F5" w14:textId="351D1C95" w:rsidR="00B9243D" w:rsidRDefault="005558F1" w:rsidP="009F6F7F">
      <w:pPr>
        <w:jc w:val="both"/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F1"/>
    <w:rsid w:val="005558F1"/>
    <w:rsid w:val="00737460"/>
    <w:rsid w:val="009F6F7F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9BAB"/>
  <w15:chartTrackingRefBased/>
  <w15:docId w15:val="{21D6DC55-607F-4F50-AA9C-DE47368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2788</Words>
  <Characters>15335</Characters>
  <Application>Microsoft Office Word</Application>
  <DocSecurity>0</DocSecurity>
  <Lines>127</Lines>
  <Paragraphs>36</Paragraphs>
  <ScaleCrop>false</ScaleCrop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2024-03-04T20:12:00Z</dcterms:created>
  <dcterms:modified xsi:type="dcterms:W3CDTF">2024-03-04T21:01:00Z</dcterms:modified>
</cp:coreProperties>
</file>