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F91C" w14:textId="77777777" w:rsidR="00B8362C" w:rsidRPr="00615FC4" w:rsidRDefault="00B8362C" w:rsidP="00832B25">
      <w:pPr>
        <w:spacing w:line="360" w:lineRule="auto"/>
        <w:rPr>
          <w:rFonts w:ascii="Arial" w:hAnsi="Arial" w:cs="Arial"/>
          <w:bCs/>
        </w:rPr>
      </w:pPr>
      <w:r w:rsidRPr="00615FC4">
        <w:rPr>
          <w:rFonts w:ascii="Arial" w:hAnsi="Arial" w:cs="Arial"/>
          <w:bCs/>
        </w:rPr>
        <w:t>Señores</w:t>
      </w:r>
    </w:p>
    <w:p w14:paraId="4D4BCF96" w14:textId="1FE6D7E6" w:rsidR="00EE4E24" w:rsidRPr="00615FC4" w:rsidRDefault="00EE4E24" w:rsidP="00832B25">
      <w:pPr>
        <w:spacing w:line="360" w:lineRule="auto"/>
        <w:rPr>
          <w:rFonts w:ascii="Arial" w:hAnsi="Arial" w:cs="Arial"/>
          <w:b/>
        </w:rPr>
      </w:pPr>
      <w:r w:rsidRPr="00615FC4">
        <w:rPr>
          <w:rFonts w:ascii="Arial" w:hAnsi="Arial" w:cs="Arial"/>
          <w:b/>
        </w:rPr>
        <w:t>AXA COLPATRIA SEGUROS DE VIDA S.A.</w:t>
      </w:r>
    </w:p>
    <w:p w14:paraId="7A33A536" w14:textId="51891D0A" w:rsidR="00B8362C" w:rsidRPr="00615FC4" w:rsidRDefault="00B8362C" w:rsidP="00832B25">
      <w:pPr>
        <w:spacing w:line="360" w:lineRule="auto"/>
        <w:rPr>
          <w:rFonts w:ascii="Arial" w:hAnsi="Arial" w:cs="Arial"/>
          <w:b/>
          <w:bCs/>
        </w:rPr>
      </w:pPr>
      <w:r w:rsidRPr="00615FC4">
        <w:rPr>
          <w:rFonts w:ascii="Arial" w:hAnsi="Arial" w:cs="Arial"/>
        </w:rPr>
        <w:t>E.S.D.</w:t>
      </w:r>
    </w:p>
    <w:p w14:paraId="2A5604ED" w14:textId="77777777" w:rsidR="00B8362C" w:rsidRPr="00615FC4" w:rsidRDefault="00B8362C" w:rsidP="00832B25">
      <w:pPr>
        <w:spacing w:line="360" w:lineRule="auto"/>
        <w:rPr>
          <w:rFonts w:ascii="Arial" w:hAnsi="Arial" w:cs="Arial"/>
          <w:b/>
          <w:bCs/>
        </w:rPr>
      </w:pPr>
    </w:p>
    <w:p w14:paraId="6047E150" w14:textId="7668C1BF" w:rsidR="00B8362C" w:rsidRPr="00615FC4" w:rsidRDefault="00B8362C" w:rsidP="00832B25">
      <w:pPr>
        <w:spacing w:line="360" w:lineRule="auto"/>
        <w:ind w:left="708"/>
        <w:jc w:val="both"/>
        <w:rPr>
          <w:rFonts w:ascii="Arial" w:hAnsi="Arial" w:cs="Arial"/>
        </w:rPr>
      </w:pPr>
      <w:r w:rsidRPr="00615FC4">
        <w:rPr>
          <w:rFonts w:ascii="Arial" w:hAnsi="Arial" w:cs="Arial"/>
          <w:b/>
          <w:bCs/>
        </w:rPr>
        <w:t>Despacho:</w:t>
      </w:r>
      <w:r w:rsidRPr="00615FC4">
        <w:rPr>
          <w:rFonts w:ascii="Arial" w:hAnsi="Arial" w:cs="Arial"/>
        </w:rPr>
        <w:t xml:space="preserve"> Juzgado 2 Civil </w:t>
      </w:r>
      <w:r w:rsidR="00EE4E24" w:rsidRPr="00615FC4">
        <w:rPr>
          <w:rFonts w:ascii="Arial" w:hAnsi="Arial" w:cs="Arial"/>
        </w:rPr>
        <w:t>Municipal de Cali</w:t>
      </w:r>
    </w:p>
    <w:p w14:paraId="409B970C" w14:textId="15CEF404" w:rsidR="00B8362C" w:rsidRPr="00615FC4" w:rsidRDefault="00B8362C" w:rsidP="00832B25">
      <w:pPr>
        <w:spacing w:line="360" w:lineRule="auto"/>
        <w:ind w:left="708"/>
        <w:jc w:val="both"/>
        <w:rPr>
          <w:rFonts w:ascii="Arial" w:hAnsi="Arial" w:cs="Arial"/>
        </w:rPr>
      </w:pPr>
      <w:r w:rsidRPr="00615FC4">
        <w:rPr>
          <w:rFonts w:ascii="Arial" w:hAnsi="Arial" w:cs="Arial"/>
          <w:b/>
          <w:bCs/>
        </w:rPr>
        <w:t xml:space="preserve">Radicado: </w:t>
      </w:r>
      <w:r w:rsidR="00EE4E24" w:rsidRPr="00615FC4">
        <w:rPr>
          <w:rFonts w:ascii="Arial" w:hAnsi="Arial" w:cs="Arial"/>
        </w:rPr>
        <w:t>760014003002</w:t>
      </w:r>
      <w:r w:rsidR="00C10219" w:rsidRPr="00615FC4">
        <w:rPr>
          <w:rFonts w:ascii="Arial" w:hAnsi="Arial" w:cs="Arial"/>
        </w:rPr>
        <w:t>-</w:t>
      </w:r>
      <w:r w:rsidR="00EE4E24" w:rsidRPr="00615FC4">
        <w:rPr>
          <w:rFonts w:ascii="Arial" w:hAnsi="Arial" w:cs="Arial"/>
          <w:b/>
          <w:u w:val="single"/>
        </w:rPr>
        <w:t>2023</w:t>
      </w:r>
      <w:r w:rsidR="00C10219" w:rsidRPr="00615FC4">
        <w:rPr>
          <w:rFonts w:ascii="Arial" w:hAnsi="Arial" w:cs="Arial"/>
          <w:b/>
          <w:u w:val="single"/>
        </w:rPr>
        <w:t>-</w:t>
      </w:r>
      <w:r w:rsidR="00EE4E24" w:rsidRPr="00615FC4">
        <w:rPr>
          <w:rFonts w:ascii="Arial" w:hAnsi="Arial" w:cs="Arial"/>
          <w:b/>
          <w:u w:val="single"/>
        </w:rPr>
        <w:t>00890</w:t>
      </w:r>
      <w:r w:rsidR="00C10219" w:rsidRPr="00615FC4">
        <w:rPr>
          <w:rFonts w:ascii="Arial" w:hAnsi="Arial" w:cs="Arial"/>
        </w:rPr>
        <w:t>-00</w:t>
      </w:r>
    </w:p>
    <w:p w14:paraId="2BFE9129" w14:textId="0B3ECFA7" w:rsidR="00B8362C" w:rsidRPr="00615FC4" w:rsidRDefault="00B8362C" w:rsidP="00832B25">
      <w:pPr>
        <w:spacing w:line="360" w:lineRule="auto"/>
        <w:ind w:left="708"/>
        <w:jc w:val="both"/>
        <w:rPr>
          <w:rFonts w:ascii="Arial" w:hAnsi="Arial" w:cs="Arial"/>
        </w:rPr>
      </w:pPr>
      <w:r w:rsidRPr="00615FC4">
        <w:rPr>
          <w:rFonts w:ascii="Arial" w:hAnsi="Arial" w:cs="Arial"/>
          <w:b/>
          <w:bCs/>
        </w:rPr>
        <w:t>Asunto:</w:t>
      </w:r>
      <w:r w:rsidRPr="00615FC4">
        <w:rPr>
          <w:rFonts w:ascii="Arial" w:hAnsi="Arial" w:cs="Arial"/>
        </w:rPr>
        <w:t xml:space="preserve"> Responsabilidad Civil contractual.</w:t>
      </w:r>
    </w:p>
    <w:p w14:paraId="08C020E3" w14:textId="0735B4C1" w:rsidR="00EE4E24" w:rsidRPr="00615FC4" w:rsidRDefault="00EE4E24" w:rsidP="00832B25">
      <w:pPr>
        <w:spacing w:line="360" w:lineRule="auto"/>
        <w:ind w:left="708"/>
        <w:jc w:val="both"/>
        <w:rPr>
          <w:rFonts w:ascii="Arial" w:hAnsi="Arial" w:cs="Arial"/>
        </w:rPr>
      </w:pPr>
      <w:r w:rsidRPr="00615FC4">
        <w:rPr>
          <w:rFonts w:ascii="Arial" w:hAnsi="Arial" w:cs="Arial"/>
          <w:b/>
          <w:bCs/>
        </w:rPr>
        <w:t>Causante:</w:t>
      </w:r>
      <w:r w:rsidRPr="00615FC4">
        <w:rPr>
          <w:rFonts w:ascii="Arial" w:hAnsi="Arial" w:cs="Arial"/>
        </w:rPr>
        <w:t xml:space="preserve"> </w:t>
      </w:r>
      <w:r w:rsidRPr="00615FC4">
        <w:rPr>
          <w:rFonts w:ascii="Arial" w:hAnsi="Arial" w:cs="Arial"/>
          <w:spacing w:val="2"/>
          <w:shd w:val="clear" w:color="auto" w:fill="FFFFFF"/>
        </w:rPr>
        <w:t>BLANCA EMILSE MOLINA GAITAN</w:t>
      </w:r>
    </w:p>
    <w:p w14:paraId="601397A7" w14:textId="03B0E0DC" w:rsidR="00B8362C" w:rsidRPr="00615FC4" w:rsidRDefault="00B8362C" w:rsidP="00832B25">
      <w:pPr>
        <w:spacing w:line="360" w:lineRule="auto"/>
        <w:ind w:left="708"/>
        <w:jc w:val="both"/>
        <w:rPr>
          <w:rFonts w:ascii="Arial" w:hAnsi="Arial" w:cs="Arial"/>
        </w:rPr>
      </w:pPr>
      <w:r w:rsidRPr="00615FC4">
        <w:rPr>
          <w:rFonts w:ascii="Arial" w:hAnsi="Arial" w:cs="Arial"/>
          <w:b/>
          <w:bCs/>
        </w:rPr>
        <w:t>Demandantes:</w:t>
      </w:r>
      <w:r w:rsidRPr="00615FC4">
        <w:rPr>
          <w:rFonts w:ascii="Arial" w:hAnsi="Arial" w:cs="Arial"/>
        </w:rPr>
        <w:t xml:space="preserve"> </w:t>
      </w:r>
      <w:r w:rsidR="00EE4E24" w:rsidRPr="00615FC4">
        <w:rPr>
          <w:rFonts w:ascii="Arial" w:hAnsi="Arial" w:cs="Arial"/>
          <w:spacing w:val="2"/>
          <w:shd w:val="clear" w:color="auto" w:fill="FFFFFF"/>
        </w:rPr>
        <w:t>JAVIER TARCISIO MIRA BUILES (esposo), y sus hijos CARLOS EDUARDO MIRA MOLINA, JULIÁN DAVID MIRA MOLINA y JOSÉ ALEJANDRO MIRA MOLINA.</w:t>
      </w:r>
    </w:p>
    <w:p w14:paraId="6AADBFA0" w14:textId="33AF0B53" w:rsidR="00B8362C" w:rsidRPr="00615FC4" w:rsidRDefault="00B8362C" w:rsidP="00832B25">
      <w:pPr>
        <w:spacing w:line="360" w:lineRule="auto"/>
        <w:ind w:left="708"/>
        <w:jc w:val="both"/>
        <w:rPr>
          <w:rFonts w:ascii="Arial" w:hAnsi="Arial" w:cs="Arial"/>
        </w:rPr>
      </w:pPr>
      <w:r w:rsidRPr="00615FC4">
        <w:rPr>
          <w:rFonts w:ascii="Arial" w:hAnsi="Arial" w:cs="Arial"/>
          <w:b/>
          <w:bCs/>
        </w:rPr>
        <w:t>Demandados:</w:t>
      </w:r>
      <w:r w:rsidRPr="00615FC4">
        <w:rPr>
          <w:rFonts w:ascii="Arial" w:hAnsi="Arial" w:cs="Arial"/>
        </w:rPr>
        <w:t xml:space="preserve"> </w:t>
      </w:r>
      <w:r w:rsidR="00EE4E24" w:rsidRPr="00615FC4">
        <w:rPr>
          <w:rFonts w:ascii="Arial" w:hAnsi="Arial" w:cs="Arial"/>
          <w:spacing w:val="2"/>
          <w:shd w:val="clear" w:color="auto" w:fill="FFFFFF"/>
        </w:rPr>
        <w:t>ARL AXA COLPATRIA SEGUROS DE VIDA S.A.</w:t>
      </w:r>
    </w:p>
    <w:p w14:paraId="7CCA7FED" w14:textId="77777777" w:rsidR="00B8362C" w:rsidRPr="00615FC4" w:rsidRDefault="00B8362C" w:rsidP="00832B25">
      <w:pPr>
        <w:spacing w:line="360" w:lineRule="auto"/>
        <w:jc w:val="both"/>
        <w:rPr>
          <w:rFonts w:ascii="Arial" w:hAnsi="Arial" w:cs="Arial"/>
          <w:b/>
          <w:bCs/>
        </w:rPr>
      </w:pPr>
    </w:p>
    <w:p w14:paraId="7F9AB04A" w14:textId="15BE4898" w:rsidR="00B8362C" w:rsidRPr="00615FC4" w:rsidRDefault="00B8362C" w:rsidP="00832B25">
      <w:pPr>
        <w:spacing w:line="360" w:lineRule="auto"/>
        <w:jc w:val="right"/>
        <w:rPr>
          <w:rFonts w:ascii="Arial" w:hAnsi="Arial" w:cs="Arial"/>
        </w:rPr>
      </w:pPr>
      <w:r w:rsidRPr="00615FC4">
        <w:rPr>
          <w:rFonts w:ascii="Arial" w:hAnsi="Arial" w:cs="Arial"/>
          <w:b/>
          <w:bCs/>
        </w:rPr>
        <w:t>Asunto:</w:t>
      </w:r>
      <w:r w:rsidRPr="00615FC4">
        <w:rPr>
          <w:rFonts w:ascii="Arial" w:hAnsi="Arial" w:cs="Arial"/>
        </w:rPr>
        <w:t xml:space="preserve"> análisis viabilidad respecto</w:t>
      </w:r>
      <w:r w:rsidR="00C10219" w:rsidRPr="00615FC4">
        <w:rPr>
          <w:rFonts w:ascii="Arial" w:hAnsi="Arial" w:cs="Arial"/>
        </w:rPr>
        <w:t xml:space="preserve"> a</w:t>
      </w:r>
      <w:r w:rsidRPr="00615FC4">
        <w:rPr>
          <w:rFonts w:ascii="Arial" w:hAnsi="Arial" w:cs="Arial"/>
        </w:rPr>
        <w:t xml:space="preserve"> aportar dictamen pericial</w:t>
      </w:r>
      <w:r w:rsidRPr="00615FC4">
        <w:rPr>
          <w:rFonts w:ascii="Arial" w:hAnsi="Arial" w:cs="Arial"/>
          <w:b/>
          <w:bCs/>
        </w:rPr>
        <w:t xml:space="preserve"> (CASE</w:t>
      </w:r>
      <w:r w:rsidR="00EE4E24" w:rsidRPr="00615FC4">
        <w:rPr>
          <w:rFonts w:ascii="Arial" w:hAnsi="Arial" w:cs="Arial"/>
          <w:b/>
          <w:bCs/>
        </w:rPr>
        <w:t xml:space="preserve"> 18977</w:t>
      </w:r>
      <w:r w:rsidRPr="00615FC4">
        <w:rPr>
          <w:rFonts w:ascii="Arial" w:hAnsi="Arial" w:cs="Arial"/>
          <w:b/>
          <w:bCs/>
        </w:rPr>
        <w:t>)</w:t>
      </w:r>
    </w:p>
    <w:p w14:paraId="6C69F733" w14:textId="77777777" w:rsidR="00B8362C" w:rsidRPr="00615FC4" w:rsidRDefault="00B8362C" w:rsidP="00832B25">
      <w:pPr>
        <w:spacing w:line="360" w:lineRule="auto"/>
        <w:jc w:val="both"/>
        <w:rPr>
          <w:rFonts w:ascii="Arial" w:hAnsi="Arial" w:cs="Arial"/>
          <w:b/>
          <w:bCs/>
        </w:rPr>
      </w:pPr>
    </w:p>
    <w:p w14:paraId="5C016DCE" w14:textId="713D6DCD" w:rsidR="00B8362C" w:rsidRPr="00615FC4" w:rsidRDefault="00797FEF" w:rsidP="00832B25">
      <w:pPr>
        <w:spacing w:line="360" w:lineRule="auto"/>
        <w:jc w:val="both"/>
        <w:rPr>
          <w:rFonts w:ascii="Arial" w:hAnsi="Arial" w:cs="Arial"/>
          <w:bCs/>
        </w:rPr>
      </w:pPr>
      <w:r w:rsidRPr="00615FC4">
        <w:rPr>
          <w:rFonts w:ascii="Arial" w:hAnsi="Arial" w:cs="Arial"/>
          <w:bCs/>
        </w:rPr>
        <w:t>D</w:t>
      </w:r>
      <w:r w:rsidR="00B8362C" w:rsidRPr="00615FC4">
        <w:rPr>
          <w:rFonts w:ascii="Arial" w:hAnsi="Arial" w:cs="Arial"/>
          <w:bCs/>
        </w:rPr>
        <w:t xml:space="preserve">e conformidad con lo dispuesto en el auto interlocutorio </w:t>
      </w:r>
      <w:r w:rsidR="00EE4E24" w:rsidRPr="00615FC4">
        <w:rPr>
          <w:rFonts w:ascii="Arial" w:hAnsi="Arial" w:cs="Arial"/>
          <w:bCs/>
        </w:rPr>
        <w:t xml:space="preserve">No. 1203 </w:t>
      </w:r>
      <w:r w:rsidR="00B8362C" w:rsidRPr="00615FC4">
        <w:rPr>
          <w:rFonts w:ascii="Arial" w:hAnsi="Arial" w:cs="Arial"/>
          <w:bCs/>
        </w:rPr>
        <w:t xml:space="preserve">con fecha de elaboración </w:t>
      </w:r>
      <w:r w:rsidR="00EE4E24" w:rsidRPr="00615FC4">
        <w:rPr>
          <w:rFonts w:ascii="Arial" w:hAnsi="Arial" w:cs="Arial"/>
          <w:bCs/>
        </w:rPr>
        <w:t xml:space="preserve">02 de mayo de 2023 </w:t>
      </w:r>
      <w:r w:rsidR="00B8362C" w:rsidRPr="00615FC4">
        <w:rPr>
          <w:rFonts w:ascii="Arial" w:hAnsi="Arial" w:cs="Arial"/>
          <w:bCs/>
        </w:rPr>
        <w:t>y notificado en estados el día</w:t>
      </w:r>
      <w:r w:rsidR="00EE4E24" w:rsidRPr="00615FC4">
        <w:rPr>
          <w:rFonts w:ascii="Arial" w:hAnsi="Arial" w:cs="Arial"/>
          <w:bCs/>
        </w:rPr>
        <w:t xml:space="preserve"> 02 de julio de 2024</w:t>
      </w:r>
      <w:r w:rsidR="00B8362C" w:rsidRPr="00615FC4">
        <w:rPr>
          <w:rFonts w:ascii="Arial" w:hAnsi="Arial" w:cs="Arial"/>
          <w:bCs/>
        </w:rPr>
        <w:t xml:space="preserve">, el despacho realizó el decreto probatorio, </w:t>
      </w:r>
      <w:r w:rsidR="00C1731E" w:rsidRPr="00615FC4">
        <w:rPr>
          <w:rFonts w:ascii="Arial" w:hAnsi="Arial" w:cs="Arial"/>
          <w:bCs/>
        </w:rPr>
        <w:t>concediendo a AXA COLPATRIA SEGUROS DE VIDA S.A., el término de quince (15) días para aportar el dictamen pericial anunciado</w:t>
      </w:r>
      <w:r w:rsidR="00E639EF" w:rsidRPr="00615FC4">
        <w:rPr>
          <w:rFonts w:ascii="Arial" w:hAnsi="Arial" w:cs="Arial"/>
          <w:bCs/>
        </w:rPr>
        <w:t xml:space="preserve"> en la contestación de la demanda</w:t>
      </w:r>
      <w:r w:rsidR="00C1731E" w:rsidRPr="00615FC4">
        <w:rPr>
          <w:rFonts w:ascii="Arial" w:hAnsi="Arial" w:cs="Arial"/>
          <w:bCs/>
        </w:rPr>
        <w:t>.</w:t>
      </w:r>
      <w:r w:rsidR="00403943" w:rsidRPr="00615FC4">
        <w:rPr>
          <w:rFonts w:ascii="Arial" w:hAnsi="Arial" w:cs="Arial"/>
          <w:bCs/>
        </w:rPr>
        <w:t xml:space="preserve"> El término para aportarlo está condicionado a que COSMITET LTDA y a la CLÍNICA IMBANACO </w:t>
      </w:r>
      <w:r w:rsidR="00403943" w:rsidRPr="00BB6325">
        <w:rPr>
          <w:rFonts w:ascii="Arial" w:hAnsi="Arial" w:cs="Arial"/>
          <w:color w:val="000000"/>
          <w:shd w:val="clear" w:color="auto" w:fill="FFFFFF"/>
        </w:rPr>
        <w:t xml:space="preserve">aporten la historia clínica y esta se ponga en conocimiento por el Juzgado, concediéndose un término a dichas entidades de 5 días. </w:t>
      </w:r>
      <w:r w:rsidR="00403943" w:rsidRPr="00615FC4">
        <w:rPr>
          <w:rFonts w:ascii="Arial" w:hAnsi="Arial" w:cs="Arial"/>
          <w:bCs/>
        </w:rPr>
        <w:t>E</w:t>
      </w:r>
      <w:r w:rsidR="00B8362C" w:rsidRPr="00615FC4">
        <w:rPr>
          <w:rFonts w:ascii="Arial" w:hAnsi="Arial" w:cs="Arial"/>
          <w:bCs/>
        </w:rPr>
        <w:t xml:space="preserve">n ese orden de ideas, </w:t>
      </w:r>
      <w:r w:rsidR="00403943" w:rsidRPr="00615FC4">
        <w:rPr>
          <w:rFonts w:ascii="Arial" w:hAnsi="Arial" w:cs="Arial"/>
          <w:bCs/>
        </w:rPr>
        <w:t xml:space="preserve">en principio, </w:t>
      </w:r>
      <w:r w:rsidR="00B8362C" w:rsidRPr="00615FC4">
        <w:rPr>
          <w:rFonts w:ascii="Arial" w:hAnsi="Arial" w:cs="Arial"/>
          <w:bCs/>
        </w:rPr>
        <w:t xml:space="preserve">la fecha límite para aportar el dictamen pericial </w:t>
      </w:r>
      <w:r w:rsidR="00403943" w:rsidRPr="00615FC4">
        <w:rPr>
          <w:rFonts w:ascii="Arial" w:hAnsi="Arial" w:cs="Arial"/>
          <w:bCs/>
        </w:rPr>
        <w:t>correspondería al</w:t>
      </w:r>
      <w:r w:rsidR="00351ADC" w:rsidRPr="00615FC4">
        <w:rPr>
          <w:rFonts w:ascii="Arial" w:hAnsi="Arial" w:cs="Arial"/>
          <w:bCs/>
        </w:rPr>
        <w:t xml:space="preserve"> 30 de julio de 2024</w:t>
      </w:r>
      <w:r w:rsidR="00B8362C" w:rsidRPr="00615FC4">
        <w:rPr>
          <w:rFonts w:ascii="Arial" w:hAnsi="Arial" w:cs="Arial"/>
          <w:bCs/>
        </w:rPr>
        <w:t>.</w:t>
      </w:r>
      <w:r w:rsidR="00403943" w:rsidRPr="00615FC4">
        <w:rPr>
          <w:rFonts w:ascii="Arial" w:hAnsi="Arial" w:cs="Arial"/>
          <w:bCs/>
        </w:rPr>
        <w:t xml:space="preserve"> </w:t>
      </w:r>
    </w:p>
    <w:p w14:paraId="6018F804" w14:textId="3195C768" w:rsidR="00403943" w:rsidRPr="00615FC4" w:rsidRDefault="00403943" w:rsidP="00832B25">
      <w:pPr>
        <w:spacing w:line="360" w:lineRule="auto"/>
        <w:jc w:val="both"/>
        <w:rPr>
          <w:rFonts w:ascii="Arial" w:hAnsi="Arial" w:cs="Arial"/>
          <w:bCs/>
        </w:rPr>
      </w:pPr>
    </w:p>
    <w:p w14:paraId="5A0FC14A" w14:textId="2DCE43A1" w:rsidR="00403943" w:rsidRPr="00615FC4" w:rsidRDefault="00403943" w:rsidP="00832B25">
      <w:pPr>
        <w:spacing w:line="360" w:lineRule="auto"/>
        <w:jc w:val="both"/>
        <w:rPr>
          <w:rFonts w:ascii="Arial" w:hAnsi="Arial" w:cs="Arial"/>
          <w:bCs/>
        </w:rPr>
      </w:pPr>
      <w:r w:rsidRPr="00615FC4">
        <w:rPr>
          <w:rFonts w:ascii="Arial" w:hAnsi="Arial" w:cs="Arial"/>
          <w:bCs/>
        </w:rPr>
        <w:t xml:space="preserve">No obstante, como se abordará a continuación, se sugiere no aportar la expertica. </w:t>
      </w:r>
    </w:p>
    <w:p w14:paraId="3DDE5187" w14:textId="77777777" w:rsidR="00B8362C" w:rsidRPr="00615FC4" w:rsidRDefault="00B8362C" w:rsidP="00832B25">
      <w:pPr>
        <w:spacing w:line="360" w:lineRule="auto"/>
        <w:jc w:val="both"/>
        <w:rPr>
          <w:rFonts w:ascii="Arial" w:hAnsi="Arial" w:cs="Arial"/>
          <w:b/>
          <w:bCs/>
        </w:rPr>
      </w:pPr>
    </w:p>
    <w:p w14:paraId="14EA6BC8" w14:textId="77777777" w:rsidR="00B8362C" w:rsidRPr="00615FC4" w:rsidRDefault="00B8362C" w:rsidP="00832B25">
      <w:pPr>
        <w:spacing w:line="360" w:lineRule="auto"/>
        <w:jc w:val="both"/>
        <w:rPr>
          <w:rFonts w:ascii="Arial" w:hAnsi="Arial" w:cs="Arial"/>
          <w:b/>
          <w:bCs/>
        </w:rPr>
      </w:pPr>
    </w:p>
    <w:p w14:paraId="003592EE" w14:textId="3D55E7A4" w:rsidR="00B8362C" w:rsidRPr="00615FC4" w:rsidRDefault="00B8362C" w:rsidP="00832B25">
      <w:pPr>
        <w:pStyle w:val="Prrafodelista"/>
        <w:numPr>
          <w:ilvl w:val="0"/>
          <w:numId w:val="5"/>
        </w:numPr>
        <w:spacing w:after="0" w:line="360" w:lineRule="auto"/>
        <w:jc w:val="both"/>
        <w:rPr>
          <w:rFonts w:ascii="Arial" w:hAnsi="Arial" w:cs="Arial"/>
          <w:b/>
          <w:bCs/>
        </w:rPr>
      </w:pPr>
      <w:r w:rsidRPr="00615FC4">
        <w:rPr>
          <w:rFonts w:ascii="Arial" w:hAnsi="Arial" w:cs="Arial"/>
          <w:b/>
          <w:bCs/>
        </w:rPr>
        <w:t>CONCEPTO</w:t>
      </w:r>
      <w:r w:rsidR="00623A62" w:rsidRPr="00615FC4">
        <w:rPr>
          <w:rFonts w:ascii="Arial" w:hAnsi="Arial" w:cs="Arial"/>
          <w:b/>
          <w:bCs/>
        </w:rPr>
        <w:t xml:space="preserve"> DE VIABILIDAD</w:t>
      </w:r>
    </w:p>
    <w:p w14:paraId="22525B93" w14:textId="77777777" w:rsidR="00B8362C" w:rsidRPr="00615FC4" w:rsidRDefault="00B8362C" w:rsidP="00832B25">
      <w:pPr>
        <w:pStyle w:val="Prrafodelista"/>
        <w:spacing w:after="0" w:line="360" w:lineRule="auto"/>
        <w:ind w:left="1080"/>
        <w:jc w:val="both"/>
        <w:rPr>
          <w:rFonts w:ascii="Arial" w:hAnsi="Arial" w:cs="Arial"/>
          <w:b/>
          <w:bCs/>
        </w:rPr>
      </w:pPr>
    </w:p>
    <w:p w14:paraId="4C8FE933" w14:textId="4C2625C5" w:rsidR="00B8362C" w:rsidRPr="00615FC4" w:rsidRDefault="00B8362C" w:rsidP="00832B25">
      <w:pPr>
        <w:spacing w:line="360" w:lineRule="auto"/>
        <w:jc w:val="both"/>
        <w:rPr>
          <w:rFonts w:ascii="Arial" w:hAnsi="Arial" w:cs="Arial"/>
        </w:rPr>
      </w:pPr>
      <w:r w:rsidRPr="00615FC4">
        <w:rPr>
          <w:rFonts w:ascii="Arial" w:hAnsi="Arial" w:cs="Arial"/>
        </w:rPr>
        <w:t xml:space="preserve">De conformidad el análisis de las pruebas obrantes en el </w:t>
      </w:r>
      <w:r w:rsidR="00BB6325" w:rsidRPr="00615FC4">
        <w:rPr>
          <w:rFonts w:ascii="Arial" w:hAnsi="Arial" w:cs="Arial"/>
        </w:rPr>
        <w:t>expediente</w:t>
      </w:r>
      <w:r w:rsidRPr="00615FC4">
        <w:rPr>
          <w:rFonts w:ascii="Arial" w:hAnsi="Arial" w:cs="Arial"/>
        </w:rPr>
        <w:t xml:space="preserve"> resulta preciso exponer que, </w:t>
      </w:r>
      <w:r w:rsidR="00351ADC" w:rsidRPr="00615FC4">
        <w:rPr>
          <w:rFonts w:ascii="Arial" w:hAnsi="Arial" w:cs="Arial"/>
          <w:b/>
          <w:bCs/>
        </w:rPr>
        <w:t>NO</w:t>
      </w:r>
      <w:r w:rsidRPr="00615FC4">
        <w:rPr>
          <w:rFonts w:ascii="Arial" w:hAnsi="Arial" w:cs="Arial"/>
          <w:b/>
          <w:bCs/>
        </w:rPr>
        <w:t xml:space="preserve"> es necesario</w:t>
      </w:r>
      <w:r w:rsidRPr="00615FC4">
        <w:rPr>
          <w:rFonts w:ascii="Arial" w:hAnsi="Arial" w:cs="Arial"/>
        </w:rPr>
        <w:t xml:space="preserve"> aportar el dictamen pericial</w:t>
      </w:r>
      <w:r w:rsidR="00CA7123" w:rsidRPr="00615FC4">
        <w:rPr>
          <w:rFonts w:ascii="Arial" w:hAnsi="Arial" w:cs="Arial"/>
        </w:rPr>
        <w:t xml:space="preserve">. La experticia </w:t>
      </w:r>
      <w:r w:rsidR="00DA07BF" w:rsidRPr="00615FC4">
        <w:rPr>
          <w:rFonts w:ascii="Arial" w:hAnsi="Arial" w:cs="Arial"/>
        </w:rPr>
        <w:t xml:space="preserve">tenía la finalidad de demostrar la reticencia </w:t>
      </w:r>
      <w:r w:rsidR="00BD2A1B" w:rsidRPr="00615FC4">
        <w:rPr>
          <w:rFonts w:ascii="Arial" w:hAnsi="Arial" w:cs="Arial"/>
        </w:rPr>
        <w:t>de la asegurada</w:t>
      </w:r>
      <w:r w:rsidR="00DA07BF" w:rsidRPr="00615FC4">
        <w:rPr>
          <w:rFonts w:ascii="Arial" w:hAnsi="Arial" w:cs="Arial"/>
        </w:rPr>
        <w:t xml:space="preserve"> y la relevancia médica y técnica de las enfermedades no informadas a la compañía al momento de la suscripción del contrato de seguro, </w:t>
      </w:r>
      <w:r w:rsidR="00CA7123" w:rsidRPr="00615FC4">
        <w:rPr>
          <w:rFonts w:ascii="Arial" w:hAnsi="Arial" w:cs="Arial"/>
        </w:rPr>
        <w:t xml:space="preserve">así como la incidencia que las mismas tuvieron a la hora de expedir el seguro. Sin embargo, se advierte que la obtención de esta prueba resulta inocua toda vez </w:t>
      </w:r>
      <w:r w:rsidR="00BB6325" w:rsidRPr="00615FC4">
        <w:rPr>
          <w:rFonts w:ascii="Arial" w:hAnsi="Arial" w:cs="Arial"/>
        </w:rPr>
        <w:t xml:space="preserve">que, </w:t>
      </w:r>
      <w:r w:rsidR="00BB6325" w:rsidRPr="00BB6325">
        <w:rPr>
          <w:rFonts w:ascii="Arial" w:hAnsi="Arial" w:cs="Arial"/>
          <w:spacing w:val="2"/>
          <w:shd w:val="clear" w:color="auto" w:fill="FFFFFF"/>
        </w:rPr>
        <w:t>la</w:t>
      </w:r>
      <w:r w:rsidR="00BB6325" w:rsidRPr="00615FC4">
        <w:rPr>
          <w:rFonts w:ascii="Arial" w:hAnsi="Arial" w:cs="Arial"/>
          <w:spacing w:val="2"/>
          <w:shd w:val="clear" w:color="auto" w:fill="FFFFFF"/>
        </w:rPr>
        <w:t xml:space="preserve"> causa de la muerte de la asegurada fue el cáncer de páncreas</w:t>
      </w:r>
      <w:r w:rsidR="00BB6325">
        <w:rPr>
          <w:rFonts w:ascii="Arial" w:hAnsi="Arial" w:cs="Arial"/>
          <w:spacing w:val="2"/>
          <w:shd w:val="clear" w:color="auto" w:fill="FFFFFF"/>
        </w:rPr>
        <w:t xml:space="preserve">, por ende, no se logrará acreditar ante el despacho el nexo de causalidad de la información objeto de reticencia y la causa del siniestro, además no existen pruebas que acredite la mala </w:t>
      </w:r>
      <w:proofErr w:type="spellStart"/>
      <w:r w:rsidR="00BB6325">
        <w:rPr>
          <w:rFonts w:ascii="Arial" w:hAnsi="Arial" w:cs="Arial"/>
          <w:spacing w:val="2"/>
          <w:shd w:val="clear" w:color="auto" w:fill="FFFFFF"/>
        </w:rPr>
        <w:t>fé</w:t>
      </w:r>
      <w:proofErr w:type="spellEnd"/>
      <w:r w:rsidR="00BB6325">
        <w:rPr>
          <w:rFonts w:ascii="Arial" w:hAnsi="Arial" w:cs="Arial"/>
          <w:spacing w:val="2"/>
          <w:shd w:val="clear" w:color="auto" w:fill="FFFFFF"/>
        </w:rPr>
        <w:t xml:space="preserve"> por parte de la señora Blanca Emilse al momento de suscribir el seguro, entre otros aspectos jurídicos que son analizados en el siguiente acápite. </w:t>
      </w:r>
    </w:p>
    <w:p w14:paraId="2FC4F900" w14:textId="77777777" w:rsidR="00B8362C" w:rsidRPr="00615FC4" w:rsidRDefault="00B8362C" w:rsidP="00832B25">
      <w:pPr>
        <w:spacing w:line="360" w:lineRule="auto"/>
        <w:jc w:val="both"/>
        <w:rPr>
          <w:rFonts w:ascii="Arial" w:hAnsi="Arial" w:cs="Arial"/>
          <w:b/>
          <w:bCs/>
        </w:rPr>
      </w:pPr>
    </w:p>
    <w:p w14:paraId="329154C2" w14:textId="77777777" w:rsidR="00B8362C" w:rsidRPr="00615FC4" w:rsidRDefault="00B8362C" w:rsidP="00832B25">
      <w:pPr>
        <w:spacing w:line="360" w:lineRule="auto"/>
        <w:rPr>
          <w:rFonts w:ascii="Arial" w:hAnsi="Arial" w:cs="Arial"/>
        </w:rPr>
      </w:pPr>
      <w:r w:rsidRPr="00615FC4">
        <w:rPr>
          <w:rFonts w:ascii="Arial" w:hAnsi="Arial" w:cs="Arial"/>
          <w:b/>
          <w:bCs/>
          <w:u w:val="single"/>
        </w:rPr>
        <w:lastRenderedPageBreak/>
        <w:t>Para llegar a la conclusión anterior se tuvo en cuenta lo siguiente:</w:t>
      </w:r>
      <w:r w:rsidRPr="00615FC4">
        <w:rPr>
          <w:rFonts w:ascii="Arial" w:hAnsi="Arial" w:cs="Arial"/>
        </w:rPr>
        <w:t xml:space="preserve"> </w:t>
      </w:r>
    </w:p>
    <w:p w14:paraId="0C6D7590" w14:textId="77777777" w:rsidR="00B8362C" w:rsidRPr="00615FC4" w:rsidRDefault="00B8362C" w:rsidP="00832B25">
      <w:pPr>
        <w:spacing w:line="360" w:lineRule="auto"/>
        <w:rPr>
          <w:rFonts w:ascii="Arial" w:hAnsi="Arial" w:cs="Arial"/>
        </w:rPr>
      </w:pPr>
    </w:p>
    <w:p w14:paraId="5E43DC0B" w14:textId="77777777" w:rsidR="00B8362C" w:rsidRPr="00615FC4" w:rsidRDefault="00B8362C" w:rsidP="00832B25">
      <w:pPr>
        <w:pStyle w:val="Prrafodelista"/>
        <w:numPr>
          <w:ilvl w:val="0"/>
          <w:numId w:val="5"/>
        </w:numPr>
        <w:spacing w:after="0" w:line="360" w:lineRule="auto"/>
        <w:jc w:val="both"/>
        <w:rPr>
          <w:rFonts w:ascii="Arial" w:hAnsi="Arial" w:cs="Arial"/>
        </w:rPr>
      </w:pPr>
      <w:r w:rsidRPr="00615FC4">
        <w:rPr>
          <w:rFonts w:ascii="Arial" w:hAnsi="Arial" w:cs="Arial"/>
          <w:b/>
          <w:bCs/>
        </w:rPr>
        <w:t>HECHOS</w:t>
      </w:r>
    </w:p>
    <w:p w14:paraId="6C5D7DD1" w14:textId="77777777" w:rsidR="00B8362C" w:rsidRPr="00615FC4" w:rsidRDefault="00B8362C" w:rsidP="00832B25">
      <w:pPr>
        <w:spacing w:line="360" w:lineRule="auto"/>
        <w:jc w:val="both"/>
        <w:rPr>
          <w:rFonts w:ascii="Arial" w:hAnsi="Arial" w:cs="Arial"/>
        </w:rPr>
      </w:pPr>
    </w:p>
    <w:p w14:paraId="02E1305C" w14:textId="45EFEDBD" w:rsidR="00DA07BF" w:rsidRPr="00615FC4" w:rsidRDefault="00DA07BF" w:rsidP="00832B25">
      <w:pPr>
        <w:spacing w:line="360" w:lineRule="auto"/>
        <w:jc w:val="both"/>
        <w:rPr>
          <w:rFonts w:ascii="Arial" w:hAnsi="Arial" w:cs="Arial"/>
          <w:spacing w:val="2"/>
          <w:shd w:val="clear" w:color="auto" w:fill="FFFFFF"/>
        </w:rPr>
      </w:pPr>
      <w:r w:rsidRPr="00615FC4">
        <w:rPr>
          <w:rFonts w:ascii="Arial" w:hAnsi="Arial" w:cs="Arial"/>
          <w:spacing w:val="2"/>
          <w:shd w:val="clear" w:color="auto" w:fill="FFFFFF"/>
        </w:rPr>
        <w:t xml:space="preserve">De conformidad con los hechos de la demanda la señora BLANCA EMILSE MOLINA GAITAN </w:t>
      </w:r>
      <w:r w:rsidR="00E91F51" w:rsidRPr="00615FC4">
        <w:rPr>
          <w:rFonts w:ascii="Arial" w:hAnsi="Arial" w:cs="Arial"/>
          <w:spacing w:val="2"/>
          <w:shd w:val="clear" w:color="auto" w:fill="FFFFFF"/>
        </w:rPr>
        <w:t xml:space="preserve">tomó </w:t>
      </w:r>
      <w:r w:rsidRPr="00615FC4">
        <w:rPr>
          <w:rFonts w:ascii="Arial" w:hAnsi="Arial" w:cs="Arial"/>
          <w:spacing w:val="2"/>
          <w:shd w:val="clear" w:color="auto" w:fill="FFFFFF"/>
        </w:rPr>
        <w:t xml:space="preserve">la </w:t>
      </w:r>
      <w:r w:rsidRPr="00615FC4">
        <w:rPr>
          <w:rFonts w:ascii="Arial" w:hAnsi="Arial" w:cs="Arial"/>
        </w:rPr>
        <w:t xml:space="preserve">Póliza Grupo Con Plan Familia No. 29-67- 11000 </w:t>
      </w:r>
      <w:r w:rsidRPr="00615FC4">
        <w:rPr>
          <w:rFonts w:ascii="Arial" w:hAnsi="Arial" w:cs="Arial"/>
          <w:spacing w:val="2"/>
          <w:shd w:val="clear" w:color="auto" w:fill="FFFFFF"/>
        </w:rPr>
        <w:t xml:space="preserve">con la compañía aseguradora AXA COLPATRIA SEGUROS DE VIDA S.A, además, se indicó que los beneficiarios del seguro por motivo de incapacidad total y permanente y cobertura básico de muerte eran los señores JAVIER TARCISIO MIRA BUILES (esposo), y sus hijos CARLOS EDUARDO MIRA MOLINA, JULIÁN DAVID MIRA MOLINA y JOSÉ ALEJANDRO MIRA MOLINA. </w:t>
      </w:r>
    </w:p>
    <w:p w14:paraId="567DEF16" w14:textId="77777777" w:rsidR="00DA07BF" w:rsidRPr="00615FC4" w:rsidRDefault="00DA07BF" w:rsidP="00832B25">
      <w:pPr>
        <w:spacing w:line="360" w:lineRule="auto"/>
        <w:jc w:val="both"/>
        <w:rPr>
          <w:rFonts w:ascii="Arial" w:hAnsi="Arial" w:cs="Arial"/>
          <w:spacing w:val="2"/>
          <w:shd w:val="clear" w:color="auto" w:fill="FFFFFF"/>
        </w:rPr>
      </w:pPr>
    </w:p>
    <w:p w14:paraId="1FBB6601" w14:textId="6287D90D" w:rsidR="00B8362C" w:rsidRPr="00615FC4" w:rsidRDefault="00DA07BF" w:rsidP="00832B25">
      <w:pPr>
        <w:spacing w:line="360" w:lineRule="auto"/>
        <w:jc w:val="both"/>
        <w:rPr>
          <w:rFonts w:ascii="Arial" w:hAnsi="Arial" w:cs="Arial"/>
        </w:rPr>
      </w:pPr>
      <w:r w:rsidRPr="00615FC4">
        <w:rPr>
          <w:rFonts w:ascii="Arial" w:hAnsi="Arial" w:cs="Arial"/>
          <w:spacing w:val="2"/>
          <w:shd w:val="clear" w:color="auto" w:fill="FFFFFF"/>
        </w:rPr>
        <w:t xml:space="preserve">El 22 de enero de 2022 la señora BLANCA MOLINA fue diagnosticada con cáncer de páncreas, </w:t>
      </w:r>
      <w:r w:rsidR="00E91F51" w:rsidRPr="00615FC4">
        <w:rPr>
          <w:rFonts w:ascii="Arial" w:hAnsi="Arial" w:cs="Arial"/>
          <w:spacing w:val="2"/>
          <w:shd w:val="clear" w:color="auto" w:fill="FFFFFF"/>
        </w:rPr>
        <w:t xml:space="preserve">y lamentablemente fallece </w:t>
      </w:r>
      <w:r w:rsidRPr="00615FC4">
        <w:rPr>
          <w:rFonts w:ascii="Arial" w:hAnsi="Arial" w:cs="Arial"/>
          <w:spacing w:val="2"/>
          <w:shd w:val="clear" w:color="auto" w:fill="FFFFFF"/>
        </w:rPr>
        <w:t xml:space="preserve">el 27 de marzo de 2022 debido a complicaciones </w:t>
      </w:r>
      <w:r w:rsidR="00E91F51" w:rsidRPr="00615FC4">
        <w:rPr>
          <w:rFonts w:ascii="Arial" w:hAnsi="Arial" w:cs="Arial"/>
          <w:spacing w:val="2"/>
          <w:shd w:val="clear" w:color="auto" w:fill="FFFFFF"/>
        </w:rPr>
        <w:t>propias de esa patología. D</w:t>
      </w:r>
      <w:r w:rsidRPr="00615FC4">
        <w:rPr>
          <w:rFonts w:ascii="Arial" w:hAnsi="Arial" w:cs="Arial"/>
          <w:spacing w:val="2"/>
          <w:shd w:val="clear" w:color="auto" w:fill="FFFFFF"/>
        </w:rPr>
        <w:t xml:space="preserve">ebido a lo anterior los beneficiarios realizaron solicitud de reclamación ante la aseguradora el 13 de junio de 2022, sin embargo, </w:t>
      </w:r>
      <w:r w:rsidR="00E91F51" w:rsidRPr="00615FC4">
        <w:rPr>
          <w:rFonts w:ascii="Arial" w:hAnsi="Arial" w:cs="Arial"/>
          <w:spacing w:val="2"/>
          <w:shd w:val="clear" w:color="auto" w:fill="FFFFFF"/>
        </w:rPr>
        <w:t>AXA</w:t>
      </w:r>
      <w:r w:rsidRPr="00615FC4">
        <w:rPr>
          <w:rFonts w:ascii="Arial" w:hAnsi="Arial" w:cs="Arial"/>
          <w:spacing w:val="2"/>
          <w:shd w:val="clear" w:color="auto" w:fill="FFFFFF"/>
        </w:rPr>
        <w:t xml:space="preserve"> envió respuesta el 10 de agosto de 2022 objetando la reclamación debido a que la señora BLANCA MOLINA habría omitido información sobre su estado de salud al momento de adquirir la póliza de seguro.</w:t>
      </w:r>
      <w:r w:rsidR="00A62470" w:rsidRPr="00615FC4">
        <w:rPr>
          <w:rFonts w:ascii="Arial" w:hAnsi="Arial" w:cs="Arial"/>
          <w:spacing w:val="2"/>
          <w:shd w:val="clear" w:color="auto" w:fill="FFFFFF"/>
        </w:rPr>
        <w:t xml:space="preserve"> Configurándose </w:t>
      </w:r>
      <w:r w:rsidR="00B90BF8" w:rsidRPr="00615FC4">
        <w:rPr>
          <w:rFonts w:ascii="Arial" w:hAnsi="Arial" w:cs="Arial"/>
          <w:spacing w:val="2"/>
          <w:shd w:val="clear" w:color="auto" w:fill="FFFFFF"/>
        </w:rPr>
        <w:t xml:space="preserve">la consecuencia legal </w:t>
      </w:r>
      <w:r w:rsidR="00A62470" w:rsidRPr="00615FC4">
        <w:rPr>
          <w:rFonts w:ascii="Arial" w:hAnsi="Arial" w:cs="Arial"/>
          <w:spacing w:val="2"/>
          <w:shd w:val="clear" w:color="auto" w:fill="FFFFFF"/>
        </w:rPr>
        <w:t>insert</w:t>
      </w:r>
      <w:r w:rsidR="00B90BF8" w:rsidRPr="00615FC4">
        <w:rPr>
          <w:rFonts w:ascii="Arial" w:hAnsi="Arial" w:cs="Arial"/>
          <w:spacing w:val="2"/>
          <w:shd w:val="clear" w:color="auto" w:fill="FFFFFF"/>
        </w:rPr>
        <w:t>a</w:t>
      </w:r>
      <w:r w:rsidR="00A62470" w:rsidRPr="00615FC4">
        <w:rPr>
          <w:rFonts w:ascii="Arial" w:hAnsi="Arial" w:cs="Arial"/>
          <w:spacing w:val="2"/>
          <w:shd w:val="clear" w:color="auto" w:fill="FFFFFF"/>
        </w:rPr>
        <w:t xml:space="preserve"> en el Art.1058 del C. Co. </w:t>
      </w:r>
    </w:p>
    <w:p w14:paraId="7344EF7B" w14:textId="4D11488D" w:rsidR="00B8362C" w:rsidRPr="00615FC4" w:rsidRDefault="00B8362C" w:rsidP="00832B25">
      <w:pPr>
        <w:spacing w:line="360" w:lineRule="auto"/>
        <w:jc w:val="both"/>
        <w:rPr>
          <w:rFonts w:ascii="Arial" w:hAnsi="Arial" w:cs="Arial"/>
        </w:rPr>
      </w:pPr>
    </w:p>
    <w:p w14:paraId="2B191CD8" w14:textId="77777777" w:rsidR="00284DB0" w:rsidRPr="00615FC4" w:rsidRDefault="00284DB0" w:rsidP="00832B25">
      <w:pPr>
        <w:spacing w:line="360" w:lineRule="auto"/>
        <w:jc w:val="both"/>
        <w:rPr>
          <w:rFonts w:ascii="Arial" w:hAnsi="Arial" w:cs="Arial"/>
        </w:rPr>
      </w:pPr>
    </w:p>
    <w:p w14:paraId="174F4EEC" w14:textId="6AC63246" w:rsidR="003D3D96" w:rsidRPr="00615FC4" w:rsidRDefault="003D3D96" w:rsidP="00832B25">
      <w:pPr>
        <w:pStyle w:val="Prrafodelista"/>
        <w:numPr>
          <w:ilvl w:val="0"/>
          <w:numId w:val="5"/>
        </w:numPr>
        <w:spacing w:after="0" w:line="360" w:lineRule="auto"/>
        <w:jc w:val="both"/>
        <w:rPr>
          <w:rFonts w:ascii="Arial" w:hAnsi="Arial" w:cs="Arial"/>
          <w:b/>
        </w:rPr>
      </w:pPr>
      <w:r w:rsidRPr="00615FC4">
        <w:rPr>
          <w:rFonts w:ascii="Arial" w:hAnsi="Arial" w:cs="Arial"/>
          <w:b/>
        </w:rPr>
        <w:t>PRETENSIONES</w:t>
      </w:r>
    </w:p>
    <w:p w14:paraId="50838CBC" w14:textId="6E83D9EB" w:rsidR="003D3D96" w:rsidRPr="00934A6C" w:rsidRDefault="003D3D96" w:rsidP="00112BB1">
      <w:pPr>
        <w:spacing w:line="360" w:lineRule="auto"/>
        <w:ind w:left="360"/>
        <w:jc w:val="both"/>
        <w:rPr>
          <w:rFonts w:ascii="Arial" w:hAnsi="Arial" w:cs="Arial"/>
          <w:b/>
        </w:rPr>
      </w:pPr>
    </w:p>
    <w:p w14:paraId="440B0412" w14:textId="50FAF7E1" w:rsidR="00112BB1" w:rsidRPr="00BB6325" w:rsidRDefault="00112BB1" w:rsidP="00112BB1">
      <w:pPr>
        <w:pStyle w:val="Prrafodelista"/>
        <w:numPr>
          <w:ilvl w:val="0"/>
          <w:numId w:val="11"/>
        </w:numPr>
        <w:spacing w:line="360" w:lineRule="auto"/>
        <w:jc w:val="both"/>
        <w:rPr>
          <w:rFonts w:ascii="Arial" w:hAnsi="Arial" w:cs="Arial"/>
          <w:b/>
        </w:rPr>
      </w:pPr>
      <w:r w:rsidRPr="00BB6325">
        <w:rPr>
          <w:rFonts w:ascii="Arial" w:hAnsi="Arial" w:cs="Arial"/>
        </w:rPr>
        <w:t>Por la suma de DIECIOCHO MILLONES DOSCIENTOS CINCUENTA Y NUEVE MIL CUATROCIENTOS VEINTIOCHO ($18.</w:t>
      </w:r>
      <w:proofErr w:type="gramStart"/>
      <w:r w:rsidRPr="00BB6325">
        <w:rPr>
          <w:rFonts w:ascii="Arial" w:hAnsi="Arial" w:cs="Arial"/>
        </w:rPr>
        <w:t>259.428.oo</w:t>
      </w:r>
      <w:proofErr w:type="gramEnd"/>
      <w:r w:rsidRPr="00BB6325">
        <w:rPr>
          <w:rFonts w:ascii="Arial" w:hAnsi="Arial" w:cs="Arial"/>
        </w:rPr>
        <w:t xml:space="preserve">) MONEDA CORRIENTE suma de dinero que CONSTITUYE EL MONTO DEL VALOR RECLAMADO por el siniestro ocurrido bajo el amparo de la póliza No.11000, cuyo tomador y asegurado fue la señora BLANCA EMILSE MOLINA GAITAN, (q.e.p.d.) y como beneficiarios los señores aquí demandantes. </w:t>
      </w:r>
    </w:p>
    <w:p w14:paraId="218E0AB7" w14:textId="77777777" w:rsidR="00112BB1" w:rsidRPr="00BB6325" w:rsidRDefault="00112BB1" w:rsidP="00BB6325">
      <w:pPr>
        <w:pStyle w:val="Prrafodelista"/>
        <w:spacing w:line="360" w:lineRule="auto"/>
        <w:jc w:val="both"/>
        <w:rPr>
          <w:rFonts w:ascii="Arial" w:hAnsi="Arial" w:cs="Arial"/>
          <w:b/>
        </w:rPr>
      </w:pPr>
    </w:p>
    <w:p w14:paraId="0C65CD9D" w14:textId="4E172DAA" w:rsidR="00112BB1" w:rsidRPr="00BB6325" w:rsidRDefault="00112BB1" w:rsidP="00112BB1">
      <w:pPr>
        <w:pStyle w:val="Prrafodelista"/>
        <w:numPr>
          <w:ilvl w:val="0"/>
          <w:numId w:val="11"/>
        </w:numPr>
        <w:spacing w:line="360" w:lineRule="auto"/>
        <w:jc w:val="both"/>
        <w:rPr>
          <w:rFonts w:ascii="Arial" w:hAnsi="Arial" w:cs="Arial"/>
          <w:b/>
        </w:rPr>
      </w:pPr>
      <w:r w:rsidRPr="00BB6325">
        <w:rPr>
          <w:rFonts w:ascii="Arial" w:hAnsi="Arial" w:cs="Arial"/>
        </w:rPr>
        <w:t>Por la suma resultante de aplicar la tasa de interés moratoria a que hace referencia el artículo 1080 del Código de Comercio, al capital indicado en el literal anterior. Lo anterior deberá contarse desde el día trece (13) de julio de 2022, fecha desde la cual se cumple el mes que la Ley les concede a las aseguradoras para pagar los siniestros, hasta la fecha que se efectúe el pago.</w:t>
      </w:r>
    </w:p>
    <w:p w14:paraId="12264FB4" w14:textId="77777777" w:rsidR="00112BB1" w:rsidRPr="00BB6325" w:rsidRDefault="00112BB1" w:rsidP="00BB6325">
      <w:pPr>
        <w:spacing w:line="360" w:lineRule="auto"/>
        <w:jc w:val="both"/>
        <w:rPr>
          <w:rFonts w:ascii="Arial" w:hAnsi="Arial" w:cs="Arial"/>
          <w:b/>
        </w:rPr>
      </w:pPr>
    </w:p>
    <w:p w14:paraId="42FA2DCD" w14:textId="0444C6DF" w:rsidR="00112BB1" w:rsidRPr="00BB6325" w:rsidRDefault="00112BB1" w:rsidP="00BB6325">
      <w:pPr>
        <w:pStyle w:val="Prrafodelista"/>
        <w:numPr>
          <w:ilvl w:val="0"/>
          <w:numId w:val="11"/>
        </w:numPr>
        <w:spacing w:line="360" w:lineRule="auto"/>
        <w:jc w:val="both"/>
        <w:rPr>
          <w:rFonts w:ascii="Arial" w:hAnsi="Arial" w:cs="Arial"/>
          <w:b/>
        </w:rPr>
      </w:pPr>
      <w:r w:rsidRPr="00BB6325">
        <w:rPr>
          <w:rFonts w:ascii="Arial" w:hAnsi="Arial" w:cs="Arial"/>
        </w:rPr>
        <w:t xml:space="preserve">Costas y agencias en derecho. </w:t>
      </w:r>
    </w:p>
    <w:p w14:paraId="5A20EAB5" w14:textId="7D24A9F8" w:rsidR="003D3D96" w:rsidRPr="00615FC4" w:rsidRDefault="003D3D96" w:rsidP="00832B25">
      <w:pPr>
        <w:pStyle w:val="Prrafodelista"/>
        <w:spacing w:after="0" w:line="360" w:lineRule="auto"/>
        <w:ind w:left="1080"/>
        <w:jc w:val="both"/>
        <w:rPr>
          <w:rFonts w:ascii="Arial" w:hAnsi="Arial" w:cs="Arial"/>
          <w:b/>
        </w:rPr>
      </w:pPr>
    </w:p>
    <w:p w14:paraId="02998A94" w14:textId="77777777" w:rsidR="003D3D96" w:rsidRPr="00615FC4" w:rsidRDefault="003D3D96" w:rsidP="00832B25">
      <w:pPr>
        <w:pStyle w:val="Prrafodelista"/>
        <w:spacing w:after="0" w:line="360" w:lineRule="auto"/>
        <w:ind w:left="1080"/>
        <w:jc w:val="both"/>
        <w:rPr>
          <w:rFonts w:ascii="Arial" w:hAnsi="Arial" w:cs="Arial"/>
          <w:b/>
        </w:rPr>
      </w:pPr>
    </w:p>
    <w:p w14:paraId="36A42796" w14:textId="6DCAC75E" w:rsidR="00B8362C" w:rsidRPr="00615FC4" w:rsidRDefault="00B8362C" w:rsidP="00832B25">
      <w:pPr>
        <w:pStyle w:val="Prrafodelista"/>
        <w:numPr>
          <w:ilvl w:val="0"/>
          <w:numId w:val="5"/>
        </w:numPr>
        <w:spacing w:after="0" w:line="360" w:lineRule="auto"/>
        <w:jc w:val="both"/>
        <w:rPr>
          <w:rFonts w:ascii="Arial" w:hAnsi="Arial" w:cs="Arial"/>
          <w:b/>
        </w:rPr>
      </w:pPr>
      <w:r w:rsidRPr="00615FC4">
        <w:rPr>
          <w:rFonts w:ascii="Arial" w:hAnsi="Arial" w:cs="Arial"/>
          <w:b/>
          <w:bCs/>
        </w:rPr>
        <w:t>LIQUIDACIÓN OBJETIVA PRETENSIONES</w:t>
      </w:r>
    </w:p>
    <w:p w14:paraId="528F8087" w14:textId="77777777" w:rsidR="00B8362C" w:rsidRPr="00615FC4" w:rsidRDefault="00B8362C" w:rsidP="00832B25">
      <w:pPr>
        <w:spacing w:line="360" w:lineRule="auto"/>
        <w:jc w:val="both"/>
        <w:rPr>
          <w:rFonts w:ascii="Arial" w:hAnsi="Arial" w:cs="Arial"/>
        </w:rPr>
      </w:pPr>
    </w:p>
    <w:p w14:paraId="70722996" w14:textId="534C0707" w:rsidR="00DA07BF" w:rsidRPr="00615FC4" w:rsidRDefault="00DA07BF" w:rsidP="00832B25">
      <w:pPr>
        <w:pStyle w:val="NormalWeb"/>
        <w:shd w:val="clear" w:color="auto" w:fill="FFFFFF"/>
        <w:spacing w:before="0" w:beforeAutospacing="0" w:after="0" w:afterAutospacing="0" w:line="360" w:lineRule="auto"/>
        <w:jc w:val="both"/>
        <w:rPr>
          <w:rFonts w:ascii="Arial" w:hAnsi="Arial" w:cs="Arial"/>
          <w:spacing w:val="2"/>
          <w:sz w:val="22"/>
          <w:szCs w:val="22"/>
          <w:shd w:val="clear" w:color="auto" w:fill="FFFFFF"/>
        </w:rPr>
      </w:pPr>
      <w:r w:rsidRPr="00615FC4">
        <w:rPr>
          <w:rFonts w:ascii="Arial" w:hAnsi="Arial" w:cs="Arial"/>
          <w:spacing w:val="2"/>
          <w:sz w:val="22"/>
          <w:szCs w:val="22"/>
          <w:shd w:val="clear" w:color="auto" w:fill="FFFFFF"/>
        </w:rPr>
        <w:lastRenderedPageBreak/>
        <w:t xml:space="preserve">Valor del seguro para el amparo básico de muerte: </w:t>
      </w:r>
      <w:r w:rsidR="00615FC4" w:rsidRPr="00615FC4">
        <w:rPr>
          <w:rStyle w:val="Textoennegrita"/>
          <w:rFonts w:ascii="Arial" w:hAnsi="Arial" w:cs="Arial"/>
          <w:b w:val="0"/>
          <w:bCs w:val="0"/>
          <w:color w:val="000000"/>
          <w:sz w:val="22"/>
          <w:szCs w:val="22"/>
        </w:rPr>
        <w:t>$</w:t>
      </w:r>
      <w:r w:rsidR="00615FC4" w:rsidRPr="00AA1CC6">
        <w:rPr>
          <w:rFonts w:ascii="Arial" w:hAnsi="Arial" w:cs="Arial"/>
          <w:sz w:val="22"/>
          <w:szCs w:val="22"/>
        </w:rPr>
        <w:t>18.259.428</w:t>
      </w:r>
      <w:r w:rsidR="003E655A" w:rsidRPr="00615FC4">
        <w:rPr>
          <w:rFonts w:ascii="Arial" w:hAnsi="Arial" w:cs="Arial"/>
          <w:spacing w:val="2"/>
          <w:sz w:val="22"/>
          <w:szCs w:val="22"/>
          <w:shd w:val="clear" w:color="auto" w:fill="FFFFFF"/>
        </w:rPr>
        <w:t xml:space="preserve"> (</w:t>
      </w:r>
      <w:r w:rsidR="00615FC4">
        <w:rPr>
          <w:rFonts w:ascii="Arial" w:hAnsi="Arial" w:cs="Arial"/>
          <w:spacing w:val="2"/>
          <w:sz w:val="22"/>
          <w:szCs w:val="22"/>
          <w:shd w:val="clear" w:color="auto" w:fill="FFFFFF"/>
        </w:rPr>
        <w:t xml:space="preserve">de conformidad a </w:t>
      </w:r>
      <w:r w:rsidR="003E655A" w:rsidRPr="00615FC4">
        <w:rPr>
          <w:rFonts w:ascii="Arial" w:hAnsi="Arial" w:cs="Arial"/>
          <w:spacing w:val="2"/>
          <w:sz w:val="22"/>
          <w:szCs w:val="22"/>
          <w:shd w:val="clear" w:color="auto" w:fill="FFFFFF"/>
        </w:rPr>
        <w:t>la anotación posterior)</w:t>
      </w:r>
      <w:r w:rsidRPr="00615FC4">
        <w:rPr>
          <w:rFonts w:ascii="Arial" w:hAnsi="Arial" w:cs="Arial"/>
          <w:spacing w:val="2"/>
          <w:sz w:val="22"/>
          <w:szCs w:val="22"/>
          <w:shd w:val="clear" w:color="auto" w:fill="FFFFFF"/>
        </w:rPr>
        <w:t xml:space="preserve"> </w:t>
      </w:r>
    </w:p>
    <w:p w14:paraId="0448600F" w14:textId="26B67EB9" w:rsidR="00DA07BF" w:rsidRPr="00615FC4" w:rsidRDefault="00DA07BF" w:rsidP="00832B25">
      <w:pPr>
        <w:pStyle w:val="NormalWeb"/>
        <w:shd w:val="clear" w:color="auto" w:fill="FFFFFF"/>
        <w:spacing w:before="0" w:beforeAutospacing="0" w:after="0" w:afterAutospacing="0" w:line="360" w:lineRule="auto"/>
        <w:jc w:val="both"/>
        <w:rPr>
          <w:rFonts w:ascii="Arial" w:hAnsi="Arial" w:cs="Arial"/>
          <w:spacing w:val="2"/>
          <w:sz w:val="22"/>
          <w:szCs w:val="22"/>
          <w:shd w:val="clear" w:color="auto" w:fill="FFFFFF"/>
        </w:rPr>
      </w:pPr>
      <w:r w:rsidRPr="00615FC4">
        <w:rPr>
          <w:rFonts w:ascii="Arial" w:hAnsi="Arial" w:cs="Arial"/>
          <w:spacing w:val="2"/>
          <w:sz w:val="22"/>
          <w:szCs w:val="22"/>
          <w:shd w:val="clear" w:color="auto" w:fill="FFFFFF"/>
        </w:rPr>
        <w:t>Intereses moratorios: $</w:t>
      </w:r>
      <w:r w:rsidR="00112BB1" w:rsidRPr="00615FC4">
        <w:rPr>
          <w:rFonts w:ascii="Arial" w:hAnsi="Arial" w:cs="Arial"/>
          <w:spacing w:val="2"/>
          <w:sz w:val="22"/>
          <w:szCs w:val="22"/>
          <w:shd w:val="clear" w:color="auto" w:fill="FFFFFF"/>
        </w:rPr>
        <w:t>13.000.000</w:t>
      </w:r>
      <w:r w:rsidRPr="00615FC4">
        <w:rPr>
          <w:rFonts w:ascii="Arial" w:hAnsi="Arial" w:cs="Arial"/>
          <w:spacing w:val="2"/>
          <w:sz w:val="22"/>
          <w:szCs w:val="22"/>
          <w:shd w:val="clear" w:color="auto" w:fill="FFFFFF"/>
        </w:rPr>
        <w:t xml:space="preserve"> </w:t>
      </w:r>
    </w:p>
    <w:p w14:paraId="07F5BC82" w14:textId="1BDC8D5C" w:rsidR="00B8362C" w:rsidRPr="00615FC4" w:rsidRDefault="00DA07BF" w:rsidP="00BB6325">
      <w:pPr>
        <w:pStyle w:val="NormalWeb"/>
        <w:shd w:val="clear" w:color="auto" w:fill="FFFFFF"/>
        <w:spacing w:before="0" w:beforeAutospacing="0" w:after="0" w:afterAutospacing="0" w:line="360" w:lineRule="auto"/>
        <w:jc w:val="both"/>
        <w:rPr>
          <w:rFonts w:ascii="Arial" w:hAnsi="Arial" w:cs="Arial"/>
          <w:b/>
          <w:bCs/>
          <w:sz w:val="22"/>
          <w:szCs w:val="22"/>
          <w:u w:val="single"/>
          <w:shd w:val="clear" w:color="auto" w:fill="FFFFFF"/>
        </w:rPr>
      </w:pPr>
      <w:r w:rsidRPr="00615FC4">
        <w:rPr>
          <w:rFonts w:ascii="Arial" w:hAnsi="Arial" w:cs="Arial"/>
          <w:spacing w:val="2"/>
          <w:sz w:val="22"/>
          <w:szCs w:val="22"/>
          <w:shd w:val="clear" w:color="auto" w:fill="FFFFFF"/>
        </w:rPr>
        <w:t>Fecha inicial cobro de intereses: 13 de julio de 2022 (tomamos el mes siguiente a la reclamación remitida a la compañía</w:t>
      </w:r>
      <w:r w:rsidR="00112BB1" w:rsidRPr="00615FC4">
        <w:rPr>
          <w:rFonts w:ascii="Arial" w:hAnsi="Arial" w:cs="Arial"/>
          <w:sz w:val="22"/>
          <w:szCs w:val="22"/>
        </w:rPr>
        <w:t xml:space="preserve"> liquidados hasta el 15 de julio de 2024)</w:t>
      </w:r>
    </w:p>
    <w:p w14:paraId="794D7C6C" w14:textId="03B37FF7" w:rsidR="00B8362C" w:rsidRPr="00615FC4" w:rsidRDefault="00284DB0" w:rsidP="00832B25">
      <w:pPr>
        <w:spacing w:line="360" w:lineRule="auto"/>
        <w:jc w:val="both"/>
        <w:rPr>
          <w:rFonts w:ascii="Arial" w:hAnsi="Arial" w:cs="Arial"/>
        </w:rPr>
      </w:pPr>
      <w:r w:rsidRPr="00615FC4">
        <w:rPr>
          <w:rFonts w:ascii="Arial" w:hAnsi="Arial" w:cs="Arial"/>
        </w:rPr>
        <w:t xml:space="preserve">Total: </w:t>
      </w:r>
      <w:r w:rsidR="00112BB1" w:rsidRPr="00615FC4">
        <w:rPr>
          <w:rFonts w:ascii="Arial" w:hAnsi="Arial" w:cs="Arial"/>
        </w:rPr>
        <w:t>$29.784.247</w:t>
      </w:r>
    </w:p>
    <w:p w14:paraId="1699D9E0" w14:textId="77777777" w:rsidR="00284DB0" w:rsidRPr="00615FC4" w:rsidRDefault="00284DB0" w:rsidP="00832B25">
      <w:pPr>
        <w:spacing w:line="360" w:lineRule="auto"/>
        <w:jc w:val="both"/>
        <w:rPr>
          <w:rFonts w:ascii="Arial" w:hAnsi="Arial" w:cs="Arial"/>
        </w:rPr>
      </w:pPr>
    </w:p>
    <w:p w14:paraId="2CAB3A17" w14:textId="77777777" w:rsidR="00B8362C" w:rsidRPr="00615FC4" w:rsidRDefault="00B8362C" w:rsidP="00832B25">
      <w:pPr>
        <w:pStyle w:val="Prrafodelista"/>
        <w:numPr>
          <w:ilvl w:val="0"/>
          <w:numId w:val="5"/>
        </w:numPr>
        <w:spacing w:after="0" w:line="360" w:lineRule="auto"/>
        <w:jc w:val="both"/>
        <w:rPr>
          <w:rFonts w:ascii="Arial" w:hAnsi="Arial" w:cs="Arial"/>
          <w:b/>
          <w:bCs/>
        </w:rPr>
      </w:pPr>
      <w:r w:rsidRPr="00615FC4">
        <w:rPr>
          <w:rFonts w:ascii="Arial" w:hAnsi="Arial" w:cs="Arial"/>
          <w:b/>
          <w:bCs/>
        </w:rPr>
        <w:t>ANÁLISIS RESPECTO A LA PÓLIZA</w:t>
      </w:r>
    </w:p>
    <w:p w14:paraId="3FE04BC3" w14:textId="77777777" w:rsidR="00B8362C" w:rsidRPr="00615FC4" w:rsidRDefault="00B8362C" w:rsidP="00832B25">
      <w:pPr>
        <w:spacing w:line="360" w:lineRule="auto"/>
        <w:jc w:val="both"/>
        <w:rPr>
          <w:rFonts w:ascii="Arial" w:hAnsi="Arial" w:cs="Arial"/>
          <w:b/>
          <w:bCs/>
        </w:rPr>
      </w:pPr>
    </w:p>
    <w:p w14:paraId="5A44958C" w14:textId="77777777" w:rsidR="003133A1" w:rsidRPr="00615FC4" w:rsidRDefault="003133A1" w:rsidP="003133A1">
      <w:pPr>
        <w:spacing w:line="360" w:lineRule="auto"/>
        <w:jc w:val="both"/>
        <w:rPr>
          <w:rFonts w:ascii="Arial" w:hAnsi="Arial" w:cs="Arial"/>
          <w:color w:val="000000"/>
        </w:rPr>
      </w:pPr>
      <w:r w:rsidRPr="00615FC4">
        <w:rPr>
          <w:rFonts w:ascii="Arial" w:hAnsi="Arial" w:cs="Arial"/>
          <w:spacing w:val="2"/>
          <w:shd w:val="clear" w:color="auto" w:fill="FFFFFF"/>
        </w:rPr>
        <w:t xml:space="preserve">Con la demanda se vinculó la </w:t>
      </w:r>
      <w:r w:rsidR="00DA07BF" w:rsidRPr="00615FC4">
        <w:rPr>
          <w:rFonts w:ascii="Arial" w:hAnsi="Arial" w:cs="Arial"/>
          <w:spacing w:val="2"/>
          <w:shd w:val="clear" w:color="auto" w:fill="FFFFFF"/>
        </w:rPr>
        <w:t xml:space="preserve">Póliza de Seguro de Banca Seguros Grupo con Plan Familia No. 11000 </w:t>
      </w:r>
      <w:r w:rsidRPr="00615FC4">
        <w:rPr>
          <w:rFonts w:ascii="Arial" w:hAnsi="Arial" w:cs="Arial"/>
          <w:color w:val="000000"/>
        </w:rPr>
        <w:t>de la cual se extrae la siguiente información:</w:t>
      </w:r>
    </w:p>
    <w:p w14:paraId="142A0968" w14:textId="77777777" w:rsidR="003133A1" w:rsidRPr="00615FC4" w:rsidRDefault="003133A1" w:rsidP="003133A1">
      <w:pPr>
        <w:pStyle w:val="NormalWeb"/>
        <w:spacing w:before="0" w:beforeAutospacing="0" w:after="0" w:afterAutospacing="0" w:line="360" w:lineRule="auto"/>
        <w:ind w:left="720"/>
        <w:rPr>
          <w:rStyle w:val="Textoennegrita"/>
          <w:rFonts w:ascii="Arial" w:hAnsi="Arial" w:cs="Arial"/>
          <w:b w:val="0"/>
          <w:bCs w:val="0"/>
          <w:color w:val="000000"/>
          <w:sz w:val="22"/>
          <w:szCs w:val="22"/>
          <w:lang w:val="es-ES" w:eastAsia="en-US"/>
        </w:rPr>
      </w:pPr>
    </w:p>
    <w:p w14:paraId="3F0F66A9" w14:textId="2E64244E" w:rsidR="003133A1" w:rsidRPr="00615FC4" w:rsidRDefault="003133A1" w:rsidP="003133A1">
      <w:pPr>
        <w:pStyle w:val="NormalWeb"/>
        <w:numPr>
          <w:ilvl w:val="0"/>
          <w:numId w:val="4"/>
        </w:numPr>
        <w:spacing w:before="0" w:beforeAutospacing="0" w:after="0" w:afterAutospacing="0" w:line="360" w:lineRule="auto"/>
        <w:rPr>
          <w:rFonts w:ascii="Arial" w:hAnsi="Arial" w:cs="Arial"/>
          <w:color w:val="000000"/>
          <w:sz w:val="22"/>
          <w:szCs w:val="22"/>
        </w:rPr>
      </w:pPr>
      <w:r w:rsidRPr="00615FC4">
        <w:rPr>
          <w:rStyle w:val="Textoennegrita"/>
          <w:rFonts w:ascii="Arial" w:hAnsi="Arial" w:cs="Arial"/>
          <w:color w:val="000000"/>
          <w:sz w:val="22"/>
          <w:szCs w:val="22"/>
        </w:rPr>
        <w:t>Tomador</w:t>
      </w:r>
      <w:r w:rsidR="003E655A" w:rsidRPr="00BB6325">
        <w:rPr>
          <w:rFonts w:ascii="Arial" w:hAnsi="Arial" w:cs="Arial"/>
          <w:sz w:val="22"/>
          <w:szCs w:val="22"/>
        </w:rPr>
        <w:t>: BANCO SCOTIABANK COLPATRIA S.A.</w:t>
      </w:r>
      <w:r w:rsidR="003E655A" w:rsidRPr="00615FC4">
        <w:rPr>
          <w:rFonts w:ascii="Arial" w:hAnsi="Arial" w:cs="Arial"/>
          <w:sz w:val="22"/>
          <w:szCs w:val="22"/>
        </w:rPr>
        <w:t xml:space="preserve"> </w:t>
      </w:r>
    </w:p>
    <w:p w14:paraId="4CE2456C" w14:textId="4FC63CC4" w:rsidR="003133A1" w:rsidRPr="00615FC4" w:rsidRDefault="003133A1" w:rsidP="003133A1">
      <w:pPr>
        <w:pStyle w:val="NormalWeb"/>
        <w:numPr>
          <w:ilvl w:val="0"/>
          <w:numId w:val="4"/>
        </w:numPr>
        <w:spacing w:before="0" w:beforeAutospacing="0" w:after="0" w:afterAutospacing="0" w:line="360" w:lineRule="auto"/>
        <w:rPr>
          <w:rFonts w:ascii="Arial" w:hAnsi="Arial" w:cs="Arial"/>
          <w:color w:val="000000"/>
          <w:sz w:val="22"/>
          <w:szCs w:val="22"/>
        </w:rPr>
      </w:pPr>
      <w:r w:rsidRPr="00615FC4">
        <w:rPr>
          <w:rStyle w:val="Textoennegrita"/>
          <w:rFonts w:ascii="Arial" w:hAnsi="Arial" w:cs="Arial"/>
          <w:color w:val="000000"/>
          <w:sz w:val="22"/>
          <w:szCs w:val="22"/>
        </w:rPr>
        <w:t>Asegurado</w:t>
      </w:r>
      <w:r w:rsidRPr="00615FC4">
        <w:rPr>
          <w:rFonts w:ascii="Arial" w:hAnsi="Arial" w:cs="Arial"/>
          <w:sz w:val="22"/>
          <w:szCs w:val="22"/>
        </w:rPr>
        <w:t xml:space="preserve">: </w:t>
      </w:r>
      <w:r w:rsidR="003E655A" w:rsidRPr="00615FC4">
        <w:rPr>
          <w:rFonts w:ascii="Arial" w:hAnsi="Arial" w:cs="Arial"/>
          <w:sz w:val="22"/>
          <w:szCs w:val="22"/>
        </w:rPr>
        <w:t>BLANCA EMILSE MOLINA GAITÁN</w:t>
      </w:r>
    </w:p>
    <w:p w14:paraId="43FF842F" w14:textId="0A8A0E2E" w:rsidR="006E2D69" w:rsidRPr="00615FC4" w:rsidRDefault="006E2D69" w:rsidP="003133A1">
      <w:pPr>
        <w:pStyle w:val="NormalWeb"/>
        <w:numPr>
          <w:ilvl w:val="0"/>
          <w:numId w:val="4"/>
        </w:numPr>
        <w:spacing w:before="0" w:beforeAutospacing="0" w:after="0" w:afterAutospacing="0" w:line="360" w:lineRule="auto"/>
        <w:rPr>
          <w:rFonts w:ascii="Arial" w:hAnsi="Arial" w:cs="Arial"/>
          <w:color w:val="000000"/>
          <w:sz w:val="22"/>
          <w:szCs w:val="22"/>
        </w:rPr>
      </w:pPr>
      <w:proofErr w:type="spellStart"/>
      <w:r w:rsidRPr="00615FC4">
        <w:rPr>
          <w:rStyle w:val="Textoennegrita"/>
          <w:rFonts w:ascii="Arial" w:hAnsi="Arial" w:cs="Arial"/>
          <w:color w:val="000000"/>
          <w:sz w:val="22"/>
          <w:szCs w:val="22"/>
        </w:rPr>
        <w:t>Benenficiarios</w:t>
      </w:r>
      <w:proofErr w:type="spellEnd"/>
      <w:r w:rsidRPr="00BB6325">
        <w:rPr>
          <w:rFonts w:ascii="Arial" w:hAnsi="Arial" w:cs="Arial"/>
          <w:sz w:val="22"/>
          <w:szCs w:val="22"/>
        </w:rPr>
        <w:t>:</w:t>
      </w:r>
      <w:r w:rsidR="003E655A" w:rsidRPr="00BB6325">
        <w:rPr>
          <w:rFonts w:ascii="Arial" w:hAnsi="Arial" w:cs="Arial"/>
          <w:sz w:val="22"/>
          <w:szCs w:val="22"/>
        </w:rPr>
        <w:t xml:space="preserve"> </w:t>
      </w:r>
      <w:r w:rsidR="003E655A" w:rsidRPr="00BB6325">
        <w:rPr>
          <w:rFonts w:ascii="Arial" w:hAnsi="Arial" w:cs="Arial"/>
          <w:spacing w:val="2"/>
          <w:sz w:val="22"/>
          <w:szCs w:val="22"/>
          <w:shd w:val="clear" w:color="auto" w:fill="FFFFFF"/>
        </w:rPr>
        <w:t>los señores JAVIER TARCISIO MIRA BUILES (esposo de la causante), y sus hijos CARLOS EDUARDO MIRA MOLINA, JULIÁN DAVID MIRA MOLINA y JOSÉ ALEJANDRO MIRA MOLINA.</w:t>
      </w:r>
    </w:p>
    <w:p w14:paraId="7C56DE1D" w14:textId="7727C69B" w:rsidR="00112BB1" w:rsidRPr="00BB6325" w:rsidRDefault="009953AA" w:rsidP="00112BB1">
      <w:pPr>
        <w:pStyle w:val="NormalWeb"/>
        <w:numPr>
          <w:ilvl w:val="0"/>
          <w:numId w:val="4"/>
        </w:numPr>
        <w:spacing w:before="0" w:beforeAutospacing="0" w:after="0" w:afterAutospacing="0" w:line="360" w:lineRule="auto"/>
        <w:rPr>
          <w:rStyle w:val="Textoennegrita"/>
          <w:rFonts w:ascii="Arial" w:hAnsi="Arial" w:cs="Arial"/>
          <w:b w:val="0"/>
          <w:bCs w:val="0"/>
          <w:color w:val="000000"/>
          <w:sz w:val="22"/>
          <w:szCs w:val="22"/>
        </w:rPr>
      </w:pPr>
      <w:r w:rsidRPr="00615FC4">
        <w:rPr>
          <w:rStyle w:val="Textoennegrita"/>
          <w:rFonts w:ascii="Arial" w:hAnsi="Arial" w:cs="Arial"/>
          <w:color w:val="000000"/>
          <w:sz w:val="22"/>
          <w:szCs w:val="22"/>
        </w:rPr>
        <w:t>Vigencia</w:t>
      </w:r>
      <w:r w:rsidRPr="00BB6325">
        <w:rPr>
          <w:rFonts w:ascii="Arial" w:hAnsi="Arial" w:cs="Arial"/>
          <w:sz w:val="22"/>
          <w:szCs w:val="22"/>
        </w:rPr>
        <w:t>:</w:t>
      </w:r>
      <w:r w:rsidR="00112BB1" w:rsidRPr="00BB6325">
        <w:rPr>
          <w:rFonts w:ascii="Arial" w:hAnsi="Arial" w:cs="Arial"/>
          <w:sz w:val="22"/>
          <w:szCs w:val="22"/>
        </w:rPr>
        <w:t xml:space="preserve">  </w:t>
      </w:r>
      <w:r w:rsidR="00BA3008" w:rsidRPr="00BB6325">
        <w:rPr>
          <w:rFonts w:ascii="Arial" w:hAnsi="Arial" w:cs="Arial"/>
          <w:sz w:val="22"/>
          <w:szCs w:val="22"/>
        </w:rPr>
        <w:t xml:space="preserve">08 de febrero de 2019 (anual renovable), ultima renovación 08 de febrero de 2022. </w:t>
      </w:r>
    </w:p>
    <w:p w14:paraId="1F8E2CE2" w14:textId="532324A2" w:rsidR="003133A1" w:rsidRPr="00615FC4" w:rsidRDefault="003133A1" w:rsidP="00112BB1">
      <w:pPr>
        <w:pStyle w:val="NormalWeb"/>
        <w:numPr>
          <w:ilvl w:val="0"/>
          <w:numId w:val="4"/>
        </w:numPr>
        <w:spacing w:before="0" w:beforeAutospacing="0" w:after="0" w:afterAutospacing="0" w:line="360" w:lineRule="auto"/>
        <w:rPr>
          <w:rFonts w:ascii="Arial" w:hAnsi="Arial" w:cs="Arial"/>
          <w:color w:val="000000"/>
          <w:sz w:val="22"/>
          <w:szCs w:val="22"/>
        </w:rPr>
      </w:pPr>
      <w:r w:rsidRPr="00615FC4">
        <w:rPr>
          <w:rStyle w:val="Textoennegrita"/>
          <w:rFonts w:ascii="Arial" w:hAnsi="Arial" w:cs="Arial"/>
          <w:color w:val="000000"/>
          <w:sz w:val="22"/>
          <w:szCs w:val="22"/>
        </w:rPr>
        <w:t xml:space="preserve">Amparo afectado: </w:t>
      </w:r>
      <w:r w:rsidR="00112BB1" w:rsidRPr="00BB6325">
        <w:rPr>
          <w:rStyle w:val="Textoennegrita"/>
          <w:rFonts w:ascii="Arial" w:hAnsi="Arial" w:cs="Arial"/>
          <w:b w:val="0"/>
          <w:bCs w:val="0"/>
          <w:color w:val="000000"/>
          <w:sz w:val="22"/>
          <w:szCs w:val="22"/>
        </w:rPr>
        <w:t>Amparo básico de muerte</w:t>
      </w:r>
    </w:p>
    <w:p w14:paraId="5806565E" w14:textId="6D744B80" w:rsidR="003E655A" w:rsidRPr="00BB6325" w:rsidRDefault="003133A1" w:rsidP="00BB6325">
      <w:pPr>
        <w:pStyle w:val="NormalWeb"/>
        <w:numPr>
          <w:ilvl w:val="0"/>
          <w:numId w:val="4"/>
        </w:numPr>
        <w:spacing w:before="0" w:beforeAutospacing="0" w:after="0" w:afterAutospacing="0" w:line="360" w:lineRule="auto"/>
        <w:jc w:val="both"/>
        <w:rPr>
          <w:rStyle w:val="Textoennegrita"/>
          <w:rFonts w:ascii="Arial" w:hAnsi="Arial" w:cs="Arial"/>
          <w:b w:val="0"/>
          <w:bCs w:val="0"/>
          <w:color w:val="000000"/>
          <w:sz w:val="22"/>
          <w:szCs w:val="22"/>
        </w:rPr>
      </w:pPr>
      <w:r w:rsidRPr="00615FC4">
        <w:rPr>
          <w:rStyle w:val="Textoennegrita"/>
          <w:rFonts w:ascii="Arial" w:hAnsi="Arial" w:cs="Arial"/>
          <w:color w:val="000000"/>
          <w:sz w:val="22"/>
          <w:szCs w:val="22"/>
        </w:rPr>
        <w:t>Valor Asegurado</w:t>
      </w:r>
      <w:r w:rsidRPr="00615FC4">
        <w:rPr>
          <w:rFonts w:ascii="Arial" w:hAnsi="Arial" w:cs="Arial"/>
          <w:color w:val="000000"/>
          <w:sz w:val="22"/>
          <w:szCs w:val="22"/>
        </w:rPr>
        <w:t xml:space="preserve">: </w:t>
      </w:r>
      <w:r w:rsidR="00112BB1" w:rsidRPr="00615FC4">
        <w:rPr>
          <w:rFonts w:ascii="Arial" w:hAnsi="Arial" w:cs="Arial"/>
          <w:color w:val="000000"/>
          <w:sz w:val="22"/>
          <w:szCs w:val="22"/>
        </w:rPr>
        <w:t xml:space="preserve">De conformidad a la póliza remitida como antecedentes de la compañía el valor asegurado </w:t>
      </w:r>
      <w:r w:rsidR="00BA3008" w:rsidRPr="00615FC4">
        <w:rPr>
          <w:rFonts w:ascii="Arial" w:hAnsi="Arial" w:cs="Arial"/>
          <w:color w:val="000000"/>
          <w:sz w:val="22"/>
          <w:szCs w:val="22"/>
        </w:rPr>
        <w:t>(para la renovación del 08 de febrero de 202</w:t>
      </w:r>
      <w:r w:rsidR="003E655A" w:rsidRPr="00615FC4">
        <w:rPr>
          <w:rFonts w:ascii="Arial" w:hAnsi="Arial" w:cs="Arial"/>
          <w:color w:val="000000"/>
          <w:sz w:val="22"/>
          <w:szCs w:val="22"/>
        </w:rPr>
        <w:t>1</w:t>
      </w:r>
      <w:r w:rsidR="00BA3008" w:rsidRPr="00615FC4">
        <w:rPr>
          <w:rFonts w:ascii="Arial" w:hAnsi="Arial" w:cs="Arial"/>
          <w:color w:val="000000"/>
          <w:sz w:val="22"/>
          <w:szCs w:val="22"/>
        </w:rPr>
        <w:t xml:space="preserve">) </w:t>
      </w:r>
      <w:r w:rsidR="00112BB1" w:rsidRPr="00615FC4">
        <w:rPr>
          <w:rFonts w:ascii="Arial" w:hAnsi="Arial" w:cs="Arial"/>
          <w:color w:val="000000"/>
          <w:sz w:val="22"/>
          <w:szCs w:val="22"/>
        </w:rPr>
        <w:t xml:space="preserve">corresponde al valor de $16.784.156, sin embargo, </w:t>
      </w:r>
      <w:r w:rsidR="00BA3008" w:rsidRPr="00615FC4">
        <w:rPr>
          <w:rFonts w:ascii="Arial" w:hAnsi="Arial" w:cs="Arial"/>
          <w:color w:val="000000"/>
          <w:sz w:val="22"/>
          <w:szCs w:val="22"/>
        </w:rPr>
        <w:t>en el condicionado general de la póliza se indica que el valor asegurado se ajustará automáticamente en cada aniversario de conformidad a las variaciones de IPC</w:t>
      </w:r>
      <w:r w:rsidR="003E655A" w:rsidRPr="00615FC4">
        <w:rPr>
          <w:rFonts w:ascii="Arial" w:hAnsi="Arial" w:cs="Arial"/>
          <w:color w:val="000000"/>
          <w:sz w:val="22"/>
          <w:szCs w:val="22"/>
        </w:rPr>
        <w:t xml:space="preserve"> que para dicha temporada fue de 13,12%</w:t>
      </w:r>
      <w:r w:rsidR="00BA3008" w:rsidRPr="00615FC4">
        <w:rPr>
          <w:rFonts w:ascii="Arial" w:hAnsi="Arial" w:cs="Arial"/>
          <w:color w:val="000000"/>
          <w:sz w:val="22"/>
          <w:szCs w:val="22"/>
        </w:rPr>
        <w:t xml:space="preserve">. </w:t>
      </w:r>
    </w:p>
    <w:p w14:paraId="30261F11" w14:textId="132928C6" w:rsidR="003E655A" w:rsidRPr="00615FC4" w:rsidRDefault="003E655A" w:rsidP="00BB6325">
      <w:pPr>
        <w:pStyle w:val="NormalWeb"/>
        <w:spacing w:before="0" w:beforeAutospacing="0" w:after="0" w:afterAutospacing="0" w:line="360" w:lineRule="auto"/>
        <w:ind w:left="360"/>
        <w:jc w:val="both"/>
        <w:rPr>
          <w:rFonts w:ascii="Arial" w:hAnsi="Arial" w:cs="Arial"/>
          <w:color w:val="000000"/>
          <w:sz w:val="22"/>
          <w:szCs w:val="22"/>
        </w:rPr>
      </w:pPr>
      <w:r w:rsidRPr="00BB6325">
        <w:rPr>
          <w:rStyle w:val="Textoennegrita"/>
          <w:rFonts w:ascii="Arial" w:hAnsi="Arial" w:cs="Arial"/>
          <w:b w:val="0"/>
          <w:bCs w:val="0"/>
          <w:color w:val="000000"/>
          <w:sz w:val="22"/>
          <w:szCs w:val="22"/>
        </w:rPr>
        <w:t xml:space="preserve">Razón por la cual, el valor correcto sería </w:t>
      </w:r>
      <w:r w:rsidR="00372A24" w:rsidRPr="00615FC4">
        <w:rPr>
          <w:rStyle w:val="Textoennegrita"/>
          <w:rFonts w:ascii="Arial" w:hAnsi="Arial" w:cs="Arial"/>
          <w:b w:val="0"/>
          <w:bCs w:val="0"/>
          <w:color w:val="000000"/>
          <w:sz w:val="22"/>
          <w:szCs w:val="22"/>
        </w:rPr>
        <w:t>$</w:t>
      </w:r>
      <w:r w:rsidR="00372A24" w:rsidRPr="00BB6325">
        <w:rPr>
          <w:rFonts w:ascii="Arial" w:hAnsi="Arial" w:cs="Arial"/>
          <w:sz w:val="22"/>
          <w:szCs w:val="22"/>
        </w:rPr>
        <w:t>18.259.428</w:t>
      </w:r>
    </w:p>
    <w:p w14:paraId="6004CD05" w14:textId="77777777" w:rsidR="003E655A" w:rsidRPr="00615FC4" w:rsidRDefault="003E655A" w:rsidP="00BB6325">
      <w:pPr>
        <w:pStyle w:val="NormalWeb"/>
        <w:spacing w:before="0" w:beforeAutospacing="0" w:after="0" w:afterAutospacing="0" w:line="360" w:lineRule="auto"/>
        <w:rPr>
          <w:rFonts w:ascii="Arial" w:hAnsi="Arial" w:cs="Arial"/>
          <w:color w:val="000000"/>
          <w:sz w:val="22"/>
          <w:szCs w:val="22"/>
        </w:rPr>
      </w:pPr>
    </w:p>
    <w:p w14:paraId="236866E8" w14:textId="5D0B28DB" w:rsidR="003133A1" w:rsidRPr="00615FC4" w:rsidRDefault="003133A1" w:rsidP="00BB6325">
      <w:pPr>
        <w:pStyle w:val="NormalWeb"/>
        <w:spacing w:before="0" w:beforeAutospacing="0" w:after="0" w:afterAutospacing="0" w:line="360" w:lineRule="auto"/>
        <w:rPr>
          <w:rFonts w:ascii="Arial" w:hAnsi="Arial" w:cs="Arial"/>
          <w:color w:val="000000"/>
          <w:sz w:val="22"/>
          <w:szCs w:val="22"/>
        </w:rPr>
      </w:pPr>
      <w:r w:rsidRPr="00615FC4">
        <w:rPr>
          <w:rFonts w:ascii="Arial" w:hAnsi="Arial" w:cs="Arial"/>
          <w:b/>
          <w:color w:val="000000"/>
          <w:sz w:val="22"/>
          <w:szCs w:val="22"/>
        </w:rPr>
        <w:t>Exclusiones aplicables al caso</w:t>
      </w:r>
      <w:r w:rsidRPr="00615FC4">
        <w:rPr>
          <w:rFonts w:ascii="Arial" w:hAnsi="Arial" w:cs="Arial"/>
          <w:color w:val="000000"/>
          <w:sz w:val="22"/>
          <w:szCs w:val="22"/>
        </w:rPr>
        <w:t xml:space="preserve">: </w:t>
      </w:r>
    </w:p>
    <w:p w14:paraId="2B268945" w14:textId="77777777" w:rsidR="003133A1" w:rsidRPr="00615FC4" w:rsidRDefault="003133A1" w:rsidP="00832B25">
      <w:pPr>
        <w:pStyle w:val="NormalWeb"/>
        <w:spacing w:before="0" w:beforeAutospacing="0" w:after="0" w:afterAutospacing="0" w:line="360" w:lineRule="auto"/>
        <w:jc w:val="both"/>
        <w:rPr>
          <w:rFonts w:ascii="Arial" w:hAnsi="Arial" w:cs="Arial"/>
          <w:spacing w:val="2"/>
          <w:sz w:val="22"/>
          <w:szCs w:val="22"/>
          <w:shd w:val="clear" w:color="auto" w:fill="FFFFFF"/>
        </w:rPr>
      </w:pPr>
    </w:p>
    <w:p w14:paraId="3FF46F29" w14:textId="69ED7954" w:rsidR="00DA07BF" w:rsidRPr="00615FC4" w:rsidRDefault="009953AA" w:rsidP="00832B25">
      <w:pPr>
        <w:pStyle w:val="NormalWeb"/>
        <w:spacing w:before="0" w:beforeAutospacing="0" w:after="0" w:afterAutospacing="0" w:line="360" w:lineRule="auto"/>
        <w:jc w:val="both"/>
        <w:rPr>
          <w:rFonts w:ascii="Arial" w:hAnsi="Arial" w:cs="Arial"/>
          <w:spacing w:val="2"/>
          <w:sz w:val="22"/>
          <w:szCs w:val="22"/>
          <w:shd w:val="clear" w:color="auto" w:fill="FFFFFF"/>
        </w:rPr>
      </w:pPr>
      <w:r w:rsidRPr="00615FC4">
        <w:rPr>
          <w:rFonts w:ascii="Arial" w:hAnsi="Arial" w:cs="Arial"/>
          <w:spacing w:val="2"/>
          <w:sz w:val="22"/>
          <w:szCs w:val="22"/>
          <w:shd w:val="clear" w:color="auto" w:fill="FFFFFF"/>
        </w:rPr>
        <w:t>Este aseguramiento p</w:t>
      </w:r>
      <w:r w:rsidR="00DA07BF" w:rsidRPr="00BB6325">
        <w:rPr>
          <w:rFonts w:ascii="Arial" w:hAnsi="Arial" w:cs="Arial"/>
          <w:spacing w:val="2"/>
          <w:sz w:val="22"/>
          <w:szCs w:val="22"/>
          <w:shd w:val="clear" w:color="auto" w:fill="FFFFFF"/>
        </w:rPr>
        <w:t xml:space="preserve">resta cobertura material y temporal, de conformidad con los hechos y pretensiones expuestas en el líbelo de la demanda. </w:t>
      </w:r>
      <w:r w:rsidR="00DA07BF" w:rsidRPr="00615FC4">
        <w:rPr>
          <w:rFonts w:ascii="Arial" w:hAnsi="Arial" w:cs="Arial"/>
          <w:spacing w:val="2"/>
          <w:sz w:val="22"/>
          <w:szCs w:val="22"/>
          <w:shd w:val="clear" w:color="auto" w:fill="FFFFFF"/>
        </w:rPr>
        <w:t xml:space="preserve">Frente a la cobertura temporal, debe señalarse que la muerte de la asegurada ocurrió el 27 de marzo de 2022 es decir, ocurrió dentro de la tercera renovación anual de la póliza de Seguro Plan Familia que inició vigencia desde el 08 de febrero de 2022. Aunado a ello, presta cobertura material en tanto ampara la muerte de la asegurada. </w:t>
      </w:r>
    </w:p>
    <w:p w14:paraId="0076A763" w14:textId="77777777" w:rsidR="00DA07BF" w:rsidRPr="00615FC4" w:rsidRDefault="00DA07BF" w:rsidP="00832B25">
      <w:pPr>
        <w:pStyle w:val="NormalWeb"/>
        <w:spacing w:before="0" w:beforeAutospacing="0" w:after="0" w:afterAutospacing="0" w:line="360" w:lineRule="auto"/>
        <w:jc w:val="both"/>
        <w:rPr>
          <w:rFonts w:ascii="Arial" w:hAnsi="Arial" w:cs="Arial"/>
          <w:spacing w:val="2"/>
          <w:sz w:val="22"/>
          <w:szCs w:val="22"/>
          <w:shd w:val="clear" w:color="auto" w:fill="FFFFFF"/>
        </w:rPr>
      </w:pPr>
    </w:p>
    <w:p w14:paraId="54A457E1" w14:textId="017026D3" w:rsidR="00DA07BF" w:rsidRPr="00615FC4" w:rsidRDefault="00305DF9" w:rsidP="00832B25">
      <w:pPr>
        <w:pStyle w:val="NormalWeb"/>
        <w:spacing w:before="0" w:beforeAutospacing="0" w:after="0" w:afterAutospacing="0" w:line="360" w:lineRule="auto"/>
        <w:jc w:val="both"/>
        <w:rPr>
          <w:rFonts w:ascii="Arial" w:hAnsi="Arial" w:cs="Arial"/>
          <w:spacing w:val="2"/>
          <w:sz w:val="22"/>
          <w:szCs w:val="22"/>
          <w:shd w:val="clear" w:color="auto" w:fill="FFFFFF"/>
        </w:rPr>
      </w:pPr>
      <w:r w:rsidRPr="00615FC4">
        <w:rPr>
          <w:rFonts w:ascii="Arial" w:hAnsi="Arial" w:cs="Arial"/>
          <w:spacing w:val="2"/>
          <w:sz w:val="22"/>
          <w:szCs w:val="22"/>
          <w:shd w:val="clear" w:color="auto" w:fill="FFFFFF"/>
        </w:rPr>
        <w:t>Ahora bien, s</w:t>
      </w:r>
      <w:r w:rsidR="00DA07BF" w:rsidRPr="00615FC4">
        <w:rPr>
          <w:rFonts w:ascii="Arial" w:hAnsi="Arial" w:cs="Arial"/>
          <w:spacing w:val="2"/>
          <w:sz w:val="22"/>
          <w:szCs w:val="22"/>
          <w:shd w:val="clear" w:color="auto" w:fill="FFFFFF"/>
        </w:rPr>
        <w:t xml:space="preserve">i bien se alegó la nulidad </w:t>
      </w:r>
      <w:r w:rsidRPr="00615FC4">
        <w:rPr>
          <w:rFonts w:ascii="Arial" w:hAnsi="Arial" w:cs="Arial"/>
          <w:spacing w:val="2"/>
          <w:sz w:val="22"/>
          <w:szCs w:val="22"/>
          <w:shd w:val="clear" w:color="auto" w:fill="FFFFFF"/>
        </w:rPr>
        <w:t xml:space="preserve">relativa </w:t>
      </w:r>
      <w:r w:rsidR="00DA07BF" w:rsidRPr="00615FC4">
        <w:rPr>
          <w:rFonts w:ascii="Arial" w:hAnsi="Arial" w:cs="Arial"/>
          <w:spacing w:val="2"/>
          <w:sz w:val="22"/>
          <w:szCs w:val="22"/>
          <w:shd w:val="clear" w:color="auto" w:fill="FFFFFF"/>
        </w:rPr>
        <w:t>del contrato de seguro por la reticencia de la asegurada</w:t>
      </w:r>
      <w:r w:rsidR="007C40EE" w:rsidRPr="00615FC4">
        <w:rPr>
          <w:rFonts w:ascii="Arial" w:hAnsi="Arial" w:cs="Arial"/>
          <w:spacing w:val="2"/>
          <w:sz w:val="22"/>
          <w:szCs w:val="22"/>
          <w:shd w:val="clear" w:color="auto" w:fill="FFFFFF"/>
        </w:rPr>
        <w:t>,</w:t>
      </w:r>
      <w:r w:rsidR="00DA07BF" w:rsidRPr="00615FC4">
        <w:rPr>
          <w:rFonts w:ascii="Arial" w:hAnsi="Arial" w:cs="Arial"/>
          <w:spacing w:val="2"/>
          <w:sz w:val="22"/>
          <w:szCs w:val="22"/>
          <w:shd w:val="clear" w:color="auto" w:fill="FFFFFF"/>
        </w:rPr>
        <w:t xml:space="preserve"> dado que omitió informar a la compañía que sufría de patologías tales como: i) Hipertensión arterial, </w:t>
      </w:r>
      <w:proofErr w:type="spellStart"/>
      <w:r w:rsidR="00DA07BF" w:rsidRPr="00615FC4">
        <w:rPr>
          <w:rFonts w:ascii="Arial" w:hAnsi="Arial" w:cs="Arial"/>
          <w:spacing w:val="2"/>
          <w:sz w:val="22"/>
          <w:szCs w:val="22"/>
          <w:shd w:val="clear" w:color="auto" w:fill="FFFFFF"/>
        </w:rPr>
        <w:t>ii</w:t>
      </w:r>
      <w:proofErr w:type="spellEnd"/>
      <w:r w:rsidR="00DA07BF" w:rsidRPr="00615FC4">
        <w:rPr>
          <w:rFonts w:ascii="Arial" w:hAnsi="Arial" w:cs="Arial"/>
          <w:spacing w:val="2"/>
          <w:sz w:val="22"/>
          <w:szCs w:val="22"/>
          <w:shd w:val="clear" w:color="auto" w:fill="FFFFFF"/>
        </w:rPr>
        <w:t xml:space="preserve">) Diabetes Mellitus, </w:t>
      </w:r>
      <w:proofErr w:type="spellStart"/>
      <w:r w:rsidR="00DA07BF" w:rsidRPr="00615FC4">
        <w:rPr>
          <w:rFonts w:ascii="Arial" w:hAnsi="Arial" w:cs="Arial"/>
          <w:spacing w:val="2"/>
          <w:sz w:val="22"/>
          <w:szCs w:val="22"/>
          <w:shd w:val="clear" w:color="auto" w:fill="FFFFFF"/>
        </w:rPr>
        <w:t>iii</w:t>
      </w:r>
      <w:proofErr w:type="spellEnd"/>
      <w:r w:rsidR="00DA07BF" w:rsidRPr="00615FC4">
        <w:rPr>
          <w:rFonts w:ascii="Arial" w:hAnsi="Arial" w:cs="Arial"/>
          <w:spacing w:val="2"/>
          <w:sz w:val="22"/>
          <w:szCs w:val="22"/>
          <w:shd w:val="clear" w:color="auto" w:fill="FFFFFF"/>
        </w:rPr>
        <w:t xml:space="preserve">) Obesidad y </w:t>
      </w:r>
      <w:proofErr w:type="spellStart"/>
      <w:r w:rsidR="00DA07BF" w:rsidRPr="00615FC4">
        <w:rPr>
          <w:rFonts w:ascii="Arial" w:hAnsi="Arial" w:cs="Arial"/>
          <w:spacing w:val="2"/>
          <w:sz w:val="22"/>
          <w:szCs w:val="22"/>
          <w:shd w:val="clear" w:color="auto" w:fill="FFFFFF"/>
        </w:rPr>
        <w:t>iv</w:t>
      </w:r>
      <w:proofErr w:type="spellEnd"/>
      <w:r w:rsidR="00DA07BF" w:rsidRPr="00615FC4">
        <w:rPr>
          <w:rFonts w:ascii="Arial" w:hAnsi="Arial" w:cs="Arial"/>
          <w:spacing w:val="2"/>
          <w:sz w:val="22"/>
          <w:szCs w:val="22"/>
          <w:shd w:val="clear" w:color="auto" w:fill="FFFFFF"/>
        </w:rPr>
        <w:t xml:space="preserve">) Dislipidemia, lo cierto es que, dentro de la historia clínica que obra en el expediente digital no se permite percibir prueba de que la paciente sufriera de estas patologías para la época de la suscripción del seguro; además en </w:t>
      </w:r>
      <w:r w:rsidR="00DA07BF" w:rsidRPr="00615FC4">
        <w:rPr>
          <w:rFonts w:ascii="Arial" w:hAnsi="Arial" w:cs="Arial"/>
          <w:spacing w:val="2"/>
          <w:sz w:val="22"/>
          <w:szCs w:val="22"/>
          <w:shd w:val="clear" w:color="auto" w:fill="FFFFFF"/>
        </w:rPr>
        <w:lastRenderedPageBreak/>
        <w:t>sentencias de la Corte Suprema de Justicia tales como la SC167 de 2023 se ha establecido la postura de que las patologías dejadas de informar a la compañía aseguradora deben tener un nexo de causalidad directo con la causa del siniestro, siendo de indicar que en el presente caso la causal de la muerte de la asegurada fue el cáncer de páncreas</w:t>
      </w:r>
      <w:r w:rsidR="007C40EE" w:rsidRPr="00615FC4">
        <w:rPr>
          <w:rFonts w:ascii="Arial" w:hAnsi="Arial" w:cs="Arial"/>
          <w:spacing w:val="2"/>
          <w:sz w:val="22"/>
          <w:szCs w:val="22"/>
          <w:shd w:val="clear" w:color="auto" w:fill="FFFFFF"/>
        </w:rPr>
        <w:t>, el cual</w:t>
      </w:r>
      <w:r w:rsidR="00DA07BF" w:rsidRPr="00615FC4">
        <w:rPr>
          <w:rFonts w:ascii="Arial" w:hAnsi="Arial" w:cs="Arial"/>
          <w:spacing w:val="2"/>
          <w:sz w:val="22"/>
          <w:szCs w:val="22"/>
          <w:shd w:val="clear" w:color="auto" w:fill="FFFFFF"/>
        </w:rPr>
        <w:t xml:space="preserve"> no tiene relación directa con las enfermedades dejadas de informar a la compañía. Además, en el presente caso la declaración de la señora Blanca Emilse Gaitán (Q.E.P.D) no estuvo precedida de un cuestionario propiamente dicho, por lo que la anulación del vínculo contractual estará sujeto a que se logré probar dentro del proceso que el tomador haya encubierto con culpa y de mala </w:t>
      </w:r>
      <w:proofErr w:type="spellStart"/>
      <w:r w:rsidR="00DA07BF" w:rsidRPr="00615FC4">
        <w:rPr>
          <w:rFonts w:ascii="Arial" w:hAnsi="Arial" w:cs="Arial"/>
          <w:spacing w:val="2"/>
          <w:sz w:val="22"/>
          <w:szCs w:val="22"/>
          <w:shd w:val="clear" w:color="auto" w:fill="FFFFFF"/>
        </w:rPr>
        <w:t>fé</w:t>
      </w:r>
      <w:proofErr w:type="spellEnd"/>
      <w:r w:rsidR="00DA07BF" w:rsidRPr="00615FC4">
        <w:rPr>
          <w:rFonts w:ascii="Arial" w:hAnsi="Arial" w:cs="Arial"/>
          <w:spacing w:val="2"/>
          <w:sz w:val="22"/>
          <w:szCs w:val="22"/>
          <w:shd w:val="clear" w:color="auto" w:fill="FFFFFF"/>
        </w:rPr>
        <w:t xml:space="preserve"> (de acuerdo a la postura de la Corte Suprema de Justicia en la sentencia referenciada) de las circunstancias que impliquen la agravación objetiva del estado del riesgo, sin que hasta la fecha se tenga pruebas que sustenten esta postura. </w:t>
      </w:r>
    </w:p>
    <w:p w14:paraId="6EB27813" w14:textId="77777777" w:rsidR="00DA07BF" w:rsidRPr="00615FC4" w:rsidRDefault="00DA07BF" w:rsidP="00832B25">
      <w:pPr>
        <w:pStyle w:val="NormalWeb"/>
        <w:spacing w:before="0" w:beforeAutospacing="0" w:after="0" w:afterAutospacing="0" w:line="360" w:lineRule="auto"/>
        <w:jc w:val="both"/>
        <w:rPr>
          <w:rFonts w:ascii="Arial" w:hAnsi="Arial" w:cs="Arial"/>
          <w:spacing w:val="2"/>
          <w:sz w:val="22"/>
          <w:szCs w:val="22"/>
          <w:shd w:val="clear" w:color="auto" w:fill="FFFFFF"/>
        </w:rPr>
      </w:pPr>
    </w:p>
    <w:p w14:paraId="613444DD" w14:textId="77777777" w:rsidR="00DA07BF" w:rsidRPr="00615FC4" w:rsidRDefault="00DA07BF" w:rsidP="00832B25">
      <w:pPr>
        <w:pStyle w:val="NormalWeb"/>
        <w:spacing w:before="0" w:beforeAutospacing="0" w:after="0" w:afterAutospacing="0" w:line="360" w:lineRule="auto"/>
        <w:jc w:val="both"/>
        <w:rPr>
          <w:rFonts w:ascii="Arial" w:hAnsi="Arial" w:cs="Arial"/>
          <w:spacing w:val="2"/>
          <w:sz w:val="22"/>
          <w:szCs w:val="22"/>
          <w:shd w:val="clear" w:color="auto" w:fill="FFFFFF"/>
        </w:rPr>
      </w:pPr>
      <w:r w:rsidRPr="00615FC4">
        <w:rPr>
          <w:rFonts w:ascii="Arial" w:hAnsi="Arial" w:cs="Arial"/>
          <w:spacing w:val="2"/>
          <w:sz w:val="22"/>
          <w:szCs w:val="22"/>
          <w:shd w:val="clear" w:color="auto" w:fill="FFFFFF"/>
        </w:rPr>
        <w:t xml:space="preserve">Fuera de lo anterior, en el escrito de la demanda se alude que la señora Blanca Emilse Molina fue diagnosticada con cáncer el pasado 22 de enero de 2022 y que en dicha fecha se le avisó a la compañía aseguradora, es decir, previo a la tercera renovación de la póliza por lo que, se entiende que la compañía conoció de la enfermedad sobre la cual versaba el vicio de la declaración previo a la renovación. </w:t>
      </w:r>
    </w:p>
    <w:p w14:paraId="6906E0F1" w14:textId="77777777" w:rsidR="00DA07BF" w:rsidRPr="00615FC4" w:rsidRDefault="00DA07BF" w:rsidP="00832B25">
      <w:pPr>
        <w:pStyle w:val="NormalWeb"/>
        <w:spacing w:before="0" w:beforeAutospacing="0" w:after="0" w:afterAutospacing="0" w:line="360" w:lineRule="auto"/>
        <w:jc w:val="both"/>
        <w:rPr>
          <w:rFonts w:ascii="Arial" w:hAnsi="Arial" w:cs="Arial"/>
          <w:spacing w:val="2"/>
          <w:sz w:val="22"/>
          <w:szCs w:val="22"/>
          <w:shd w:val="clear" w:color="auto" w:fill="FFFFFF"/>
        </w:rPr>
      </w:pPr>
    </w:p>
    <w:p w14:paraId="42C8D98E" w14:textId="52FCBC6B" w:rsidR="00DA07BF" w:rsidRPr="00615FC4" w:rsidRDefault="00DA07BF" w:rsidP="00832B25">
      <w:pPr>
        <w:pStyle w:val="NormalWeb"/>
        <w:spacing w:before="0" w:beforeAutospacing="0" w:after="0" w:afterAutospacing="0" w:line="360" w:lineRule="auto"/>
        <w:jc w:val="both"/>
        <w:rPr>
          <w:rFonts w:ascii="Arial" w:hAnsi="Arial" w:cs="Arial"/>
          <w:spacing w:val="2"/>
          <w:sz w:val="22"/>
          <w:szCs w:val="22"/>
          <w:shd w:val="clear" w:color="auto" w:fill="FFFFFF"/>
        </w:rPr>
      </w:pPr>
      <w:r w:rsidRPr="00615FC4">
        <w:rPr>
          <w:rFonts w:ascii="Arial" w:hAnsi="Arial" w:cs="Arial"/>
          <w:spacing w:val="2"/>
          <w:sz w:val="22"/>
          <w:szCs w:val="22"/>
          <w:shd w:val="clear" w:color="auto" w:fill="FFFFFF"/>
        </w:rPr>
        <w:t>Por último,</w:t>
      </w:r>
      <w:r w:rsidR="00FD00E2" w:rsidRPr="00615FC4">
        <w:rPr>
          <w:rFonts w:ascii="Arial" w:hAnsi="Arial" w:cs="Arial"/>
          <w:spacing w:val="2"/>
          <w:sz w:val="22"/>
          <w:szCs w:val="22"/>
          <w:shd w:val="clear" w:color="auto" w:fill="FFFFFF"/>
        </w:rPr>
        <w:t xml:space="preserve"> si bien con la obtención del dictamen pericial se podría acreditar </w:t>
      </w:r>
      <w:r w:rsidR="004F5FFD" w:rsidRPr="00615FC4">
        <w:rPr>
          <w:rFonts w:ascii="Arial" w:hAnsi="Arial" w:cs="Arial"/>
          <w:spacing w:val="2"/>
          <w:sz w:val="22"/>
          <w:szCs w:val="22"/>
          <w:shd w:val="clear" w:color="auto" w:fill="FFFFFF"/>
        </w:rPr>
        <w:t xml:space="preserve">a </w:t>
      </w:r>
      <w:r w:rsidR="00FD00E2" w:rsidRPr="00615FC4">
        <w:rPr>
          <w:rFonts w:ascii="Arial" w:hAnsi="Arial" w:cs="Arial"/>
          <w:spacing w:val="2"/>
          <w:sz w:val="22"/>
          <w:szCs w:val="22"/>
          <w:shd w:val="clear" w:color="auto" w:fill="FFFFFF"/>
        </w:rPr>
        <w:t xml:space="preserve">cuál correspondería </w:t>
      </w:r>
      <w:r w:rsidRPr="00615FC4">
        <w:rPr>
          <w:rFonts w:ascii="Arial" w:hAnsi="Arial" w:cs="Arial"/>
          <w:spacing w:val="2"/>
          <w:sz w:val="22"/>
          <w:szCs w:val="22"/>
          <w:shd w:val="clear" w:color="auto" w:fill="FFFFFF"/>
        </w:rPr>
        <w:t>la consecuencia negocial diferencial</w:t>
      </w:r>
      <w:r w:rsidR="00EF78A7" w:rsidRPr="00615FC4">
        <w:rPr>
          <w:rFonts w:ascii="Arial" w:hAnsi="Arial" w:cs="Arial"/>
          <w:spacing w:val="2"/>
          <w:sz w:val="22"/>
          <w:szCs w:val="22"/>
          <w:shd w:val="clear" w:color="auto" w:fill="FFFFFF"/>
        </w:rPr>
        <w:t xml:space="preserve">, es decir, cuál habría sido la posición de la </w:t>
      </w:r>
      <w:r w:rsidRPr="00615FC4">
        <w:rPr>
          <w:rFonts w:ascii="Arial" w:hAnsi="Arial" w:cs="Arial"/>
          <w:spacing w:val="2"/>
          <w:sz w:val="22"/>
          <w:szCs w:val="22"/>
          <w:shd w:val="clear" w:color="auto" w:fill="FFFFFF"/>
        </w:rPr>
        <w:t>compañía</w:t>
      </w:r>
      <w:r w:rsidR="00EF78A7" w:rsidRPr="00615FC4">
        <w:rPr>
          <w:rFonts w:ascii="Arial" w:hAnsi="Arial" w:cs="Arial"/>
          <w:spacing w:val="2"/>
          <w:sz w:val="22"/>
          <w:szCs w:val="22"/>
          <w:shd w:val="clear" w:color="auto" w:fill="FFFFFF"/>
        </w:rPr>
        <w:t xml:space="preserve"> si esta</w:t>
      </w:r>
      <w:r w:rsidR="004F5FFD" w:rsidRPr="00615FC4">
        <w:rPr>
          <w:rFonts w:ascii="Arial" w:hAnsi="Arial" w:cs="Arial"/>
          <w:spacing w:val="2"/>
          <w:sz w:val="22"/>
          <w:szCs w:val="22"/>
          <w:shd w:val="clear" w:color="auto" w:fill="FFFFFF"/>
        </w:rPr>
        <w:t xml:space="preserve"> hubiese</w:t>
      </w:r>
      <w:r w:rsidRPr="00615FC4">
        <w:rPr>
          <w:rFonts w:ascii="Arial" w:hAnsi="Arial" w:cs="Arial"/>
          <w:spacing w:val="2"/>
          <w:sz w:val="22"/>
          <w:szCs w:val="22"/>
          <w:shd w:val="clear" w:color="auto" w:fill="FFFFFF"/>
        </w:rPr>
        <w:t xml:space="preserve"> conoc</w:t>
      </w:r>
      <w:r w:rsidR="004F5FFD" w:rsidRPr="00615FC4">
        <w:rPr>
          <w:rFonts w:ascii="Arial" w:hAnsi="Arial" w:cs="Arial"/>
          <w:spacing w:val="2"/>
          <w:sz w:val="22"/>
          <w:szCs w:val="22"/>
          <w:shd w:val="clear" w:color="auto" w:fill="FFFFFF"/>
        </w:rPr>
        <w:t>ido</w:t>
      </w:r>
      <w:r w:rsidRPr="00615FC4">
        <w:rPr>
          <w:rFonts w:ascii="Arial" w:hAnsi="Arial" w:cs="Arial"/>
          <w:spacing w:val="2"/>
          <w:sz w:val="22"/>
          <w:szCs w:val="22"/>
          <w:shd w:val="clear" w:color="auto" w:fill="FFFFFF"/>
        </w:rPr>
        <w:t xml:space="preserve"> las patologías de la señora Blanca Emilse Gaitán</w:t>
      </w:r>
      <w:r w:rsidR="00EF78A7" w:rsidRPr="00615FC4">
        <w:rPr>
          <w:rFonts w:ascii="Arial" w:hAnsi="Arial" w:cs="Arial"/>
          <w:spacing w:val="2"/>
          <w:sz w:val="22"/>
          <w:szCs w:val="22"/>
          <w:shd w:val="clear" w:color="auto" w:fill="FFFFFF"/>
        </w:rPr>
        <w:t xml:space="preserve"> antes de emitir el seguro</w:t>
      </w:r>
      <w:r w:rsidR="00FD00E2" w:rsidRPr="00615FC4">
        <w:rPr>
          <w:rFonts w:ascii="Arial" w:hAnsi="Arial" w:cs="Arial"/>
          <w:spacing w:val="2"/>
          <w:sz w:val="22"/>
          <w:szCs w:val="22"/>
          <w:shd w:val="clear" w:color="auto" w:fill="FFFFFF"/>
        </w:rPr>
        <w:t xml:space="preserve">, lo cierto es que no se cumple con el resto de los presupuestos que jurisprudencialmente se exigen para este tipo de casos, particularmente el de la relación causal </w:t>
      </w:r>
      <w:r w:rsidR="004F5FFD" w:rsidRPr="00615FC4">
        <w:rPr>
          <w:rFonts w:ascii="Arial" w:hAnsi="Arial" w:cs="Arial"/>
          <w:spacing w:val="2"/>
          <w:sz w:val="22"/>
          <w:szCs w:val="22"/>
          <w:shd w:val="clear" w:color="auto" w:fill="FFFFFF"/>
        </w:rPr>
        <w:t>entre</w:t>
      </w:r>
      <w:r w:rsidR="00FD00E2" w:rsidRPr="00615FC4">
        <w:rPr>
          <w:rFonts w:ascii="Arial" w:hAnsi="Arial" w:cs="Arial"/>
          <w:spacing w:val="2"/>
          <w:sz w:val="22"/>
          <w:szCs w:val="22"/>
          <w:shd w:val="clear" w:color="auto" w:fill="FFFFFF"/>
        </w:rPr>
        <w:t xml:space="preserve"> la enfermedad omitida y la que conllevó a la producción del siniestro.</w:t>
      </w:r>
    </w:p>
    <w:p w14:paraId="696F8DF4" w14:textId="77777777" w:rsidR="00DA07BF" w:rsidRPr="00615FC4" w:rsidRDefault="00DA07BF" w:rsidP="00832B25">
      <w:pPr>
        <w:pStyle w:val="NormalWeb"/>
        <w:spacing w:before="0" w:beforeAutospacing="0" w:after="0" w:afterAutospacing="0" w:line="360" w:lineRule="auto"/>
        <w:jc w:val="both"/>
        <w:rPr>
          <w:rFonts w:ascii="Arial" w:hAnsi="Arial" w:cs="Arial"/>
          <w:spacing w:val="2"/>
          <w:sz w:val="22"/>
          <w:szCs w:val="22"/>
          <w:shd w:val="clear" w:color="auto" w:fill="FFFFFF"/>
        </w:rPr>
      </w:pPr>
    </w:p>
    <w:p w14:paraId="1B3DC952" w14:textId="1CFE1A53" w:rsidR="00B8362C" w:rsidRPr="00615FC4" w:rsidRDefault="00DA07BF" w:rsidP="00832B25">
      <w:pPr>
        <w:spacing w:line="360" w:lineRule="auto"/>
        <w:jc w:val="both"/>
        <w:rPr>
          <w:rFonts w:ascii="Arial" w:hAnsi="Arial" w:cs="Arial"/>
          <w:b/>
          <w:bCs/>
        </w:rPr>
      </w:pPr>
      <w:r w:rsidRPr="00615FC4">
        <w:rPr>
          <w:rFonts w:ascii="Arial" w:hAnsi="Arial" w:cs="Arial"/>
          <w:spacing w:val="2"/>
          <w:shd w:val="clear" w:color="auto" w:fill="FFFFFF"/>
        </w:rPr>
        <w:t>Lo anterior sin perjuicio al carácter contingente del proceso</w:t>
      </w:r>
    </w:p>
    <w:p w14:paraId="2C610770" w14:textId="77777777" w:rsidR="00B8362C" w:rsidRPr="00615FC4" w:rsidRDefault="00B8362C" w:rsidP="00832B25">
      <w:pPr>
        <w:spacing w:line="360" w:lineRule="auto"/>
        <w:jc w:val="both"/>
        <w:rPr>
          <w:rFonts w:ascii="Arial" w:hAnsi="Arial" w:cs="Arial"/>
          <w:b/>
          <w:bCs/>
        </w:rPr>
      </w:pPr>
    </w:p>
    <w:p w14:paraId="21671374" w14:textId="5B449567" w:rsidR="00B8362C" w:rsidRPr="00615FC4" w:rsidRDefault="00B8362C" w:rsidP="00832B25">
      <w:pPr>
        <w:pStyle w:val="Prrafodelista"/>
        <w:numPr>
          <w:ilvl w:val="0"/>
          <w:numId w:val="5"/>
        </w:numPr>
        <w:spacing w:after="0" w:line="360" w:lineRule="auto"/>
        <w:jc w:val="both"/>
        <w:rPr>
          <w:rFonts w:ascii="Arial" w:hAnsi="Arial" w:cs="Arial"/>
          <w:b/>
          <w:bCs/>
        </w:rPr>
      </w:pPr>
      <w:r w:rsidRPr="00615FC4">
        <w:rPr>
          <w:rFonts w:ascii="Arial" w:hAnsi="Arial" w:cs="Arial"/>
          <w:b/>
          <w:bCs/>
        </w:rPr>
        <w:t>ANÁLISIS SUCINTO D</w:t>
      </w:r>
      <w:r w:rsidR="00DA07BF" w:rsidRPr="00615FC4">
        <w:rPr>
          <w:rFonts w:ascii="Arial" w:hAnsi="Arial" w:cs="Arial"/>
          <w:b/>
          <w:bCs/>
        </w:rPr>
        <w:t>E LA POSICIÓN JURIDICA:</w:t>
      </w:r>
    </w:p>
    <w:p w14:paraId="0A6212B9" w14:textId="77777777" w:rsidR="00B8362C" w:rsidRPr="00615FC4" w:rsidRDefault="00B8362C" w:rsidP="00832B25">
      <w:pPr>
        <w:spacing w:line="360" w:lineRule="auto"/>
        <w:jc w:val="both"/>
        <w:rPr>
          <w:rFonts w:ascii="Arial" w:hAnsi="Arial" w:cs="Arial"/>
          <w:b/>
          <w:bCs/>
        </w:rPr>
      </w:pPr>
    </w:p>
    <w:p w14:paraId="298FB362" w14:textId="747D6527" w:rsidR="00DA07BF" w:rsidRPr="00615FC4" w:rsidRDefault="00BD2A1B" w:rsidP="00832B25">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615FC4">
        <w:rPr>
          <w:rFonts w:ascii="Arial" w:hAnsi="Arial" w:cs="Arial"/>
          <w:sz w:val="22"/>
          <w:szCs w:val="22"/>
          <w:bdr w:val="none" w:sz="0" w:space="0" w:color="auto" w:frame="1"/>
        </w:rPr>
        <w:t>R</w:t>
      </w:r>
      <w:r w:rsidR="00DA07BF" w:rsidRPr="00615FC4">
        <w:rPr>
          <w:rFonts w:ascii="Arial" w:hAnsi="Arial" w:cs="Arial"/>
          <w:sz w:val="22"/>
          <w:szCs w:val="22"/>
          <w:bdr w:val="none" w:sz="0" w:space="0" w:color="auto" w:frame="1"/>
        </w:rPr>
        <w:t xml:space="preserve">especto de la obligación indemnizatoria de la compañía debe indicarse que esta estaría probada por cuanto, si bien se alegó en oportunidad (no está prescrita) la solicitud de nulidad relativa del contrato por reticencia, no se puede desconocer que para la declaración judicial de dicho fenómeno jurídico, el precedente jurisprudencial de los Tribunales y de la Corte se ha vuelto cada vez más exigente, requiriendo a las aseguradoras la acreditación de una serie de requisitos que en este caso no están enteramente probados, como se pasa a explicar: </w:t>
      </w:r>
    </w:p>
    <w:p w14:paraId="08E1716D" w14:textId="77777777" w:rsidR="00DA07BF" w:rsidRPr="00615FC4" w:rsidRDefault="00DA07BF" w:rsidP="00832B25">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BC90643" w14:textId="44D52E43" w:rsidR="00DA07BF" w:rsidRPr="00615FC4" w:rsidRDefault="00DA07BF" w:rsidP="00832B25">
      <w:pPr>
        <w:pStyle w:val="NormalWeb"/>
        <w:numPr>
          <w:ilvl w:val="0"/>
          <w:numId w:val="10"/>
        </w:numPr>
        <w:shd w:val="clear" w:color="auto" w:fill="FFFFFF"/>
        <w:spacing w:before="0" w:beforeAutospacing="0" w:after="0" w:afterAutospacing="0" w:line="360" w:lineRule="auto"/>
        <w:jc w:val="both"/>
        <w:rPr>
          <w:rFonts w:ascii="Arial" w:hAnsi="Arial" w:cs="Arial"/>
          <w:b/>
          <w:sz w:val="22"/>
          <w:szCs w:val="22"/>
          <w:bdr w:val="none" w:sz="0" w:space="0" w:color="auto" w:frame="1"/>
        </w:rPr>
      </w:pPr>
      <w:r w:rsidRPr="00615FC4">
        <w:rPr>
          <w:rFonts w:ascii="Arial" w:hAnsi="Arial" w:cs="Arial"/>
          <w:b/>
          <w:sz w:val="22"/>
          <w:szCs w:val="22"/>
          <w:bdr w:val="none" w:sz="0" w:space="0" w:color="auto" w:frame="1"/>
        </w:rPr>
        <w:t xml:space="preserve">El nexo de causalidad entre el siniestro y los hechos no declarados: </w:t>
      </w:r>
      <w:r w:rsidRPr="00615FC4">
        <w:rPr>
          <w:rFonts w:ascii="Arial" w:hAnsi="Arial" w:cs="Arial"/>
          <w:sz w:val="22"/>
          <w:szCs w:val="22"/>
          <w:bdr w:val="none" w:sz="0" w:space="0" w:color="auto" w:frame="1"/>
        </w:rPr>
        <w:t>Los últimos postulados jurisprudenciales establecen</w:t>
      </w:r>
      <w:r w:rsidRPr="00615FC4">
        <w:rPr>
          <w:rFonts w:ascii="Arial" w:hAnsi="Arial" w:cs="Arial"/>
          <w:b/>
          <w:sz w:val="22"/>
          <w:szCs w:val="22"/>
          <w:bdr w:val="none" w:sz="0" w:space="0" w:color="auto" w:frame="1"/>
        </w:rPr>
        <w:t xml:space="preserve"> </w:t>
      </w:r>
      <w:r w:rsidRPr="00615FC4">
        <w:rPr>
          <w:rFonts w:ascii="Arial" w:hAnsi="Arial" w:cs="Arial"/>
          <w:sz w:val="22"/>
          <w:szCs w:val="22"/>
          <w:bdr w:val="none" w:sz="0" w:space="0" w:color="auto" w:frame="1"/>
        </w:rPr>
        <w:t>l</w:t>
      </w:r>
      <w:r w:rsidRPr="00615FC4">
        <w:rPr>
          <w:rFonts w:ascii="Arial" w:hAnsi="Arial" w:cs="Arial"/>
          <w:sz w:val="22"/>
          <w:szCs w:val="22"/>
        </w:rPr>
        <w:t xml:space="preserve">a necesidad de que la reticencia o inexactitud tenga relación de causalidad con el siniestro que haya podido sobrevenir, justamente porque lo que se pretende es restablecer o tutelar un equilibrio contractual roto ab initio, en el momento de celebrar el </w:t>
      </w:r>
      <w:r w:rsidRPr="00615FC4">
        <w:rPr>
          <w:rFonts w:ascii="Arial" w:hAnsi="Arial" w:cs="Arial"/>
          <w:sz w:val="22"/>
          <w:szCs w:val="22"/>
        </w:rPr>
        <w:lastRenderedPageBreak/>
        <w:t xml:space="preserve">contrato de seguro, y no al acaecer el siniestro. La relación causal que importa y que, para estos efectos, ata el error o el dolo con el consentimiento </w:t>
      </w:r>
      <w:r w:rsidR="00BD2A1B" w:rsidRPr="00615FC4">
        <w:rPr>
          <w:rFonts w:ascii="Arial" w:hAnsi="Arial" w:cs="Arial"/>
          <w:sz w:val="22"/>
          <w:szCs w:val="22"/>
        </w:rPr>
        <w:t>de la aseguradora</w:t>
      </w:r>
      <w:r w:rsidRPr="00615FC4">
        <w:rPr>
          <w:rFonts w:ascii="Arial" w:hAnsi="Arial" w:cs="Arial"/>
          <w:sz w:val="22"/>
          <w:szCs w:val="22"/>
        </w:rPr>
        <w:t xml:space="preserve">. </w:t>
      </w:r>
      <w:proofErr w:type="gramStart"/>
      <w:r w:rsidRPr="00615FC4">
        <w:rPr>
          <w:rFonts w:ascii="Arial" w:hAnsi="Arial" w:cs="Arial"/>
          <w:sz w:val="22"/>
          <w:szCs w:val="22"/>
        </w:rPr>
        <w:t>En relación a</w:t>
      </w:r>
      <w:proofErr w:type="gramEnd"/>
      <w:r w:rsidRPr="00615FC4">
        <w:rPr>
          <w:rFonts w:ascii="Arial" w:hAnsi="Arial" w:cs="Arial"/>
          <w:sz w:val="22"/>
          <w:szCs w:val="22"/>
        </w:rPr>
        <w:t xml:space="preserve"> ello es indispensable establecer que la causa de muerte </w:t>
      </w:r>
      <w:r w:rsidR="00BD2A1B" w:rsidRPr="00615FC4">
        <w:rPr>
          <w:rFonts w:ascii="Arial" w:hAnsi="Arial" w:cs="Arial"/>
          <w:sz w:val="22"/>
          <w:szCs w:val="22"/>
        </w:rPr>
        <w:t>de la asegurada</w:t>
      </w:r>
      <w:r w:rsidRPr="00615FC4">
        <w:rPr>
          <w:rFonts w:ascii="Arial" w:hAnsi="Arial" w:cs="Arial"/>
          <w:sz w:val="22"/>
          <w:szCs w:val="22"/>
        </w:rPr>
        <w:t xml:space="preserve"> fue</w:t>
      </w:r>
      <w:r w:rsidR="00BD2A1B" w:rsidRPr="00615FC4">
        <w:rPr>
          <w:rFonts w:ascii="Arial" w:hAnsi="Arial" w:cs="Arial"/>
          <w:sz w:val="22"/>
          <w:szCs w:val="22"/>
        </w:rPr>
        <w:t xml:space="preserve"> cáncer de páncreas</w:t>
      </w:r>
      <w:r w:rsidRPr="00615FC4">
        <w:rPr>
          <w:rFonts w:ascii="Arial" w:hAnsi="Arial" w:cs="Arial"/>
          <w:sz w:val="22"/>
          <w:szCs w:val="22"/>
        </w:rPr>
        <w:t xml:space="preserve">. </w:t>
      </w:r>
      <w:r w:rsidRPr="00615FC4">
        <w:rPr>
          <w:rFonts w:ascii="Arial" w:hAnsi="Arial" w:cs="Arial"/>
          <w:sz w:val="22"/>
          <w:szCs w:val="22"/>
          <w:bdr w:val="none" w:sz="0" w:space="0" w:color="auto" w:frame="1"/>
        </w:rPr>
        <w:t xml:space="preserve">De manera que, si </w:t>
      </w:r>
      <w:r w:rsidR="00BD2A1B" w:rsidRPr="00615FC4">
        <w:rPr>
          <w:rFonts w:ascii="Arial" w:hAnsi="Arial" w:cs="Arial"/>
          <w:sz w:val="22"/>
          <w:szCs w:val="22"/>
          <w:bdr w:val="none" w:sz="0" w:space="0" w:color="auto" w:frame="1"/>
        </w:rPr>
        <w:t xml:space="preserve">bien eventualmente se logra probar que la señora Blanca Emilse </w:t>
      </w:r>
      <w:r w:rsidRPr="00615FC4">
        <w:rPr>
          <w:rFonts w:ascii="Arial" w:hAnsi="Arial" w:cs="Arial"/>
          <w:sz w:val="22"/>
          <w:szCs w:val="22"/>
          <w:bdr w:val="none" w:sz="0" w:space="0" w:color="auto" w:frame="1"/>
        </w:rPr>
        <w:t>al momento de realizar la declaración de asegurabilidad</w:t>
      </w:r>
      <w:r w:rsidRPr="00615FC4">
        <w:rPr>
          <w:rFonts w:ascii="Arial" w:hAnsi="Arial" w:cs="Arial"/>
          <w:b/>
          <w:sz w:val="22"/>
          <w:szCs w:val="22"/>
          <w:bdr w:val="none" w:sz="0" w:space="0" w:color="auto" w:frame="1"/>
        </w:rPr>
        <w:t xml:space="preserve"> </w:t>
      </w:r>
      <w:r w:rsidRPr="00615FC4">
        <w:rPr>
          <w:rFonts w:ascii="Arial" w:hAnsi="Arial" w:cs="Arial"/>
          <w:sz w:val="22"/>
          <w:szCs w:val="22"/>
        </w:rPr>
        <w:t>negó la existencia de sus enfermedades</w:t>
      </w:r>
      <w:r w:rsidR="00BD2A1B" w:rsidRPr="00615FC4">
        <w:rPr>
          <w:rFonts w:ascii="Arial" w:hAnsi="Arial" w:cs="Arial"/>
          <w:sz w:val="22"/>
          <w:szCs w:val="22"/>
        </w:rPr>
        <w:t xml:space="preserve"> </w:t>
      </w:r>
      <w:proofErr w:type="gramStart"/>
      <w:r w:rsidR="00BD2A1B" w:rsidRPr="00615FC4">
        <w:rPr>
          <w:rFonts w:ascii="Arial" w:hAnsi="Arial" w:cs="Arial"/>
          <w:sz w:val="22"/>
          <w:szCs w:val="22"/>
        </w:rPr>
        <w:t xml:space="preserve">de </w:t>
      </w:r>
      <w:r w:rsidR="00BD2A1B" w:rsidRPr="00615FC4">
        <w:rPr>
          <w:rFonts w:ascii="Arial" w:hAnsi="Arial" w:cs="Arial"/>
          <w:spacing w:val="2"/>
          <w:sz w:val="22"/>
          <w:szCs w:val="22"/>
          <w:shd w:val="clear" w:color="auto" w:fill="FFFFFF"/>
        </w:rPr>
        <w:t> i</w:t>
      </w:r>
      <w:proofErr w:type="gramEnd"/>
      <w:r w:rsidR="00BD2A1B" w:rsidRPr="00615FC4">
        <w:rPr>
          <w:rFonts w:ascii="Arial" w:hAnsi="Arial" w:cs="Arial"/>
          <w:spacing w:val="2"/>
          <w:sz w:val="22"/>
          <w:szCs w:val="22"/>
          <w:shd w:val="clear" w:color="auto" w:fill="FFFFFF"/>
        </w:rPr>
        <w:t xml:space="preserve">) Hipertensión arterial, </w:t>
      </w:r>
      <w:proofErr w:type="spellStart"/>
      <w:r w:rsidR="00BD2A1B" w:rsidRPr="00615FC4">
        <w:rPr>
          <w:rFonts w:ascii="Arial" w:hAnsi="Arial" w:cs="Arial"/>
          <w:spacing w:val="2"/>
          <w:sz w:val="22"/>
          <w:szCs w:val="22"/>
          <w:shd w:val="clear" w:color="auto" w:fill="FFFFFF"/>
        </w:rPr>
        <w:t>ii</w:t>
      </w:r>
      <w:proofErr w:type="spellEnd"/>
      <w:r w:rsidR="00BD2A1B" w:rsidRPr="00615FC4">
        <w:rPr>
          <w:rFonts w:ascii="Arial" w:hAnsi="Arial" w:cs="Arial"/>
          <w:spacing w:val="2"/>
          <w:sz w:val="22"/>
          <w:szCs w:val="22"/>
          <w:shd w:val="clear" w:color="auto" w:fill="FFFFFF"/>
        </w:rPr>
        <w:t xml:space="preserve">) Diabetes Mellitus, </w:t>
      </w:r>
      <w:proofErr w:type="spellStart"/>
      <w:r w:rsidR="00BD2A1B" w:rsidRPr="00615FC4">
        <w:rPr>
          <w:rFonts w:ascii="Arial" w:hAnsi="Arial" w:cs="Arial"/>
          <w:spacing w:val="2"/>
          <w:sz w:val="22"/>
          <w:szCs w:val="22"/>
          <w:shd w:val="clear" w:color="auto" w:fill="FFFFFF"/>
        </w:rPr>
        <w:t>iii</w:t>
      </w:r>
      <w:proofErr w:type="spellEnd"/>
      <w:r w:rsidR="00BD2A1B" w:rsidRPr="00615FC4">
        <w:rPr>
          <w:rFonts w:ascii="Arial" w:hAnsi="Arial" w:cs="Arial"/>
          <w:spacing w:val="2"/>
          <w:sz w:val="22"/>
          <w:szCs w:val="22"/>
          <w:shd w:val="clear" w:color="auto" w:fill="FFFFFF"/>
        </w:rPr>
        <w:t xml:space="preserve">) Obesidad y </w:t>
      </w:r>
      <w:proofErr w:type="spellStart"/>
      <w:r w:rsidR="00BD2A1B" w:rsidRPr="00615FC4">
        <w:rPr>
          <w:rFonts w:ascii="Arial" w:hAnsi="Arial" w:cs="Arial"/>
          <w:spacing w:val="2"/>
          <w:sz w:val="22"/>
          <w:szCs w:val="22"/>
          <w:shd w:val="clear" w:color="auto" w:fill="FFFFFF"/>
        </w:rPr>
        <w:t>iv</w:t>
      </w:r>
      <w:proofErr w:type="spellEnd"/>
      <w:r w:rsidR="00BD2A1B" w:rsidRPr="00615FC4">
        <w:rPr>
          <w:rFonts w:ascii="Arial" w:hAnsi="Arial" w:cs="Arial"/>
          <w:spacing w:val="2"/>
          <w:sz w:val="22"/>
          <w:szCs w:val="22"/>
          <w:shd w:val="clear" w:color="auto" w:fill="FFFFFF"/>
        </w:rPr>
        <w:t>) Dislipidemia</w:t>
      </w:r>
      <w:r w:rsidRPr="00615FC4">
        <w:rPr>
          <w:rFonts w:ascii="Arial" w:hAnsi="Arial" w:cs="Arial"/>
          <w:sz w:val="22"/>
          <w:szCs w:val="22"/>
        </w:rPr>
        <w:t xml:space="preserve"> que padecía y conocía, lo cierto es que esta patología no tiene nexo de causalidad directo con la causa del siniestro que es </w:t>
      </w:r>
      <w:r w:rsidR="00BD2A1B" w:rsidRPr="00615FC4">
        <w:rPr>
          <w:rFonts w:ascii="Arial" w:hAnsi="Arial" w:cs="Arial"/>
          <w:sz w:val="22"/>
          <w:szCs w:val="22"/>
        </w:rPr>
        <w:t xml:space="preserve">el cáncer de páncreas. </w:t>
      </w:r>
      <w:r w:rsidR="003315F8" w:rsidRPr="00615FC4">
        <w:rPr>
          <w:rFonts w:ascii="Arial" w:hAnsi="Arial" w:cs="Arial"/>
          <w:sz w:val="22"/>
          <w:szCs w:val="22"/>
        </w:rPr>
        <w:t xml:space="preserve">Por lo que este presupuesto no podrá probarse. </w:t>
      </w:r>
    </w:p>
    <w:p w14:paraId="7A0223DC" w14:textId="77777777" w:rsidR="00DA07BF" w:rsidRPr="00615FC4" w:rsidRDefault="00DA07BF" w:rsidP="00832B25">
      <w:pPr>
        <w:pStyle w:val="NormalWeb"/>
        <w:shd w:val="clear" w:color="auto" w:fill="FFFFFF"/>
        <w:spacing w:before="0" w:beforeAutospacing="0" w:after="0" w:afterAutospacing="0" w:line="360" w:lineRule="auto"/>
        <w:ind w:left="360"/>
        <w:jc w:val="both"/>
        <w:rPr>
          <w:rFonts w:ascii="Arial" w:hAnsi="Arial" w:cs="Arial"/>
          <w:b/>
          <w:sz w:val="22"/>
          <w:szCs w:val="22"/>
          <w:bdr w:val="none" w:sz="0" w:space="0" w:color="auto" w:frame="1"/>
        </w:rPr>
      </w:pPr>
    </w:p>
    <w:p w14:paraId="3F26A1DD" w14:textId="1EB933D4" w:rsidR="00DA07BF" w:rsidRPr="00615FC4" w:rsidRDefault="00DA07BF" w:rsidP="00832B25">
      <w:pPr>
        <w:pStyle w:val="NormalWeb"/>
        <w:numPr>
          <w:ilvl w:val="0"/>
          <w:numId w:val="10"/>
        </w:numPr>
        <w:shd w:val="clear" w:color="auto" w:fill="FFFFFF"/>
        <w:spacing w:before="0" w:beforeAutospacing="0" w:after="0" w:afterAutospacing="0" w:line="360" w:lineRule="auto"/>
        <w:jc w:val="both"/>
        <w:rPr>
          <w:rFonts w:ascii="Arial" w:hAnsi="Arial" w:cs="Arial"/>
          <w:b/>
          <w:sz w:val="22"/>
          <w:szCs w:val="22"/>
          <w:bdr w:val="none" w:sz="0" w:space="0" w:color="auto" w:frame="1"/>
        </w:rPr>
      </w:pPr>
      <w:r w:rsidRPr="00615FC4">
        <w:rPr>
          <w:rFonts w:ascii="Arial" w:hAnsi="Arial" w:cs="Arial"/>
          <w:b/>
          <w:sz w:val="22"/>
          <w:szCs w:val="22"/>
        </w:rPr>
        <w:t xml:space="preserve">Respecto de la mala fe y su prueba: </w:t>
      </w:r>
      <w:r w:rsidRPr="00615FC4">
        <w:rPr>
          <w:rFonts w:ascii="Arial" w:hAnsi="Arial" w:cs="Arial"/>
          <w:sz w:val="22"/>
          <w:szCs w:val="22"/>
        </w:rPr>
        <w:t>en relación a lo anterior</w:t>
      </w:r>
      <w:r w:rsidRPr="00615FC4">
        <w:rPr>
          <w:rFonts w:ascii="Arial" w:hAnsi="Arial" w:cs="Arial"/>
          <w:b/>
          <w:sz w:val="22"/>
          <w:szCs w:val="22"/>
        </w:rPr>
        <w:t xml:space="preserve"> </w:t>
      </w:r>
      <w:r w:rsidRPr="00615FC4">
        <w:rPr>
          <w:rFonts w:ascii="Arial" w:hAnsi="Arial" w:cs="Arial"/>
          <w:sz w:val="22"/>
          <w:szCs w:val="22"/>
        </w:rPr>
        <w:t xml:space="preserve">es de recordar que tanto la Corte Constitucional como la Corte Suprema de Justicia </w:t>
      </w:r>
      <w:r w:rsidRPr="00615FC4">
        <w:rPr>
          <w:rFonts w:ascii="Arial" w:hAnsi="Arial" w:cs="Arial"/>
          <w:b/>
          <w:sz w:val="22"/>
          <w:szCs w:val="22"/>
        </w:rPr>
        <w:t xml:space="preserve"> </w:t>
      </w:r>
      <w:r w:rsidRPr="00615FC4">
        <w:rPr>
          <w:rFonts w:ascii="Arial" w:hAnsi="Arial" w:cs="Arial"/>
          <w:sz w:val="22"/>
          <w:szCs w:val="22"/>
        </w:rPr>
        <w:t>han afirmado la existencia de una regla según la cual las aseguradoras tienen que demostrar la mala fe de la tomadora para que proceda la objeción por reticencia</w:t>
      </w:r>
      <w:r w:rsidRPr="00615FC4">
        <w:rPr>
          <w:rStyle w:val="Refdenotaalpie"/>
          <w:rFonts w:ascii="Arial" w:hAnsi="Arial" w:cs="Arial"/>
          <w:sz w:val="22"/>
          <w:szCs w:val="22"/>
        </w:rPr>
        <w:footnoteReference w:id="1"/>
      </w:r>
      <w:r w:rsidRPr="00615FC4">
        <w:rPr>
          <w:rFonts w:ascii="Arial" w:hAnsi="Arial" w:cs="Arial"/>
          <w:sz w:val="22"/>
          <w:szCs w:val="22"/>
        </w:rPr>
        <w:t>, además de que ante la duda sobre el conocimiento de una preexistencia por parte de la peticionaria al momento de declarar, debe adoptarse la posibilidad hermenéutica de la situación fáctica que le conceda un mayor rango de eficacia a sus derechos (principio pro homine). Como la nulidad relativa del contrato pretende castigar la mala fe en el comportamiento del tomador, motivo por el cual la relación contractual no podrá ser declarada nula por la sola omisión en el suministro de cualquier información, pues lo que se exige es que la inexactitud en la declaratoria se origine en un actuar contrario a los postulados de la buena fe, que tenga la entidad de retraer el negocio celebrado o que, de ser conocida por el asegurador, hubiese llevado a estipular condiciones más onerosas.</w:t>
      </w:r>
      <w:r w:rsidRPr="00615FC4">
        <w:rPr>
          <w:rFonts w:ascii="Arial" w:hAnsi="Arial" w:cs="Arial"/>
          <w:b/>
          <w:sz w:val="22"/>
          <w:szCs w:val="22"/>
          <w:bdr w:val="none" w:sz="0" w:space="0" w:color="auto" w:frame="1"/>
        </w:rPr>
        <w:t xml:space="preserve"> </w:t>
      </w:r>
      <w:r w:rsidRPr="00615FC4">
        <w:rPr>
          <w:rFonts w:ascii="Arial" w:hAnsi="Arial" w:cs="Arial"/>
          <w:sz w:val="22"/>
          <w:szCs w:val="22"/>
        </w:rPr>
        <w:t xml:space="preserve">En el presente caso, no es posible establecer que el tomador haya actuado de mala fe ya que es claro que para el día </w:t>
      </w:r>
      <w:r w:rsidR="00BD2A1B" w:rsidRPr="00615FC4">
        <w:rPr>
          <w:rFonts w:ascii="Arial" w:hAnsi="Arial" w:cs="Arial"/>
          <w:sz w:val="22"/>
          <w:szCs w:val="22"/>
        </w:rPr>
        <w:t xml:space="preserve">08 de febrero de 2019 </w:t>
      </w:r>
      <w:r w:rsidRPr="00615FC4">
        <w:rPr>
          <w:rFonts w:ascii="Arial" w:hAnsi="Arial" w:cs="Arial"/>
          <w:sz w:val="22"/>
          <w:szCs w:val="22"/>
        </w:rPr>
        <w:t xml:space="preserve">cuando </w:t>
      </w:r>
      <w:r w:rsidR="00BD2A1B" w:rsidRPr="00615FC4">
        <w:rPr>
          <w:rFonts w:ascii="Arial" w:hAnsi="Arial" w:cs="Arial"/>
          <w:sz w:val="22"/>
          <w:szCs w:val="22"/>
        </w:rPr>
        <w:t xml:space="preserve">la señora Blanca Emilse </w:t>
      </w:r>
      <w:r w:rsidRPr="00615FC4">
        <w:rPr>
          <w:rFonts w:ascii="Arial" w:hAnsi="Arial" w:cs="Arial"/>
          <w:sz w:val="22"/>
          <w:szCs w:val="22"/>
        </w:rPr>
        <w:t xml:space="preserve">suscribió el seguro </w:t>
      </w:r>
      <w:r w:rsidR="00BD2A1B" w:rsidRPr="00615FC4">
        <w:rPr>
          <w:rFonts w:ascii="Arial" w:hAnsi="Arial" w:cs="Arial"/>
          <w:sz w:val="22"/>
          <w:szCs w:val="22"/>
        </w:rPr>
        <w:t>no estaba diagnosticada con cáncer de páncreas, e inclusive hasta el momento no se ha logrado probar que padeciera de</w:t>
      </w:r>
      <w:r w:rsidR="00BD2A1B" w:rsidRPr="00615FC4">
        <w:rPr>
          <w:rFonts w:ascii="Arial" w:hAnsi="Arial" w:cs="Arial"/>
          <w:spacing w:val="2"/>
          <w:sz w:val="22"/>
          <w:szCs w:val="22"/>
          <w:shd w:val="clear" w:color="auto" w:fill="FFFFFF"/>
        </w:rPr>
        <w:t xml:space="preserve"> i) Hipertensión arterial, </w:t>
      </w:r>
      <w:proofErr w:type="spellStart"/>
      <w:r w:rsidR="00BD2A1B" w:rsidRPr="00615FC4">
        <w:rPr>
          <w:rFonts w:ascii="Arial" w:hAnsi="Arial" w:cs="Arial"/>
          <w:spacing w:val="2"/>
          <w:sz w:val="22"/>
          <w:szCs w:val="22"/>
          <w:shd w:val="clear" w:color="auto" w:fill="FFFFFF"/>
        </w:rPr>
        <w:t>ii</w:t>
      </w:r>
      <w:proofErr w:type="spellEnd"/>
      <w:r w:rsidR="00BD2A1B" w:rsidRPr="00615FC4">
        <w:rPr>
          <w:rFonts w:ascii="Arial" w:hAnsi="Arial" w:cs="Arial"/>
          <w:spacing w:val="2"/>
          <w:sz w:val="22"/>
          <w:szCs w:val="22"/>
          <w:shd w:val="clear" w:color="auto" w:fill="FFFFFF"/>
        </w:rPr>
        <w:t xml:space="preserve">) Diabetes Mellitus, </w:t>
      </w:r>
      <w:proofErr w:type="spellStart"/>
      <w:r w:rsidR="00BD2A1B" w:rsidRPr="00615FC4">
        <w:rPr>
          <w:rFonts w:ascii="Arial" w:hAnsi="Arial" w:cs="Arial"/>
          <w:spacing w:val="2"/>
          <w:sz w:val="22"/>
          <w:szCs w:val="22"/>
          <w:shd w:val="clear" w:color="auto" w:fill="FFFFFF"/>
        </w:rPr>
        <w:t>iii</w:t>
      </w:r>
      <w:proofErr w:type="spellEnd"/>
      <w:r w:rsidR="00BD2A1B" w:rsidRPr="00615FC4">
        <w:rPr>
          <w:rFonts w:ascii="Arial" w:hAnsi="Arial" w:cs="Arial"/>
          <w:spacing w:val="2"/>
          <w:sz w:val="22"/>
          <w:szCs w:val="22"/>
          <w:shd w:val="clear" w:color="auto" w:fill="FFFFFF"/>
        </w:rPr>
        <w:t xml:space="preserve">) Obesidad y </w:t>
      </w:r>
      <w:proofErr w:type="spellStart"/>
      <w:r w:rsidR="00BD2A1B" w:rsidRPr="00615FC4">
        <w:rPr>
          <w:rFonts w:ascii="Arial" w:hAnsi="Arial" w:cs="Arial"/>
          <w:spacing w:val="2"/>
          <w:sz w:val="22"/>
          <w:szCs w:val="22"/>
          <w:shd w:val="clear" w:color="auto" w:fill="FFFFFF"/>
        </w:rPr>
        <w:t>iv</w:t>
      </w:r>
      <w:proofErr w:type="spellEnd"/>
      <w:r w:rsidR="00BD2A1B" w:rsidRPr="00615FC4">
        <w:rPr>
          <w:rFonts w:ascii="Arial" w:hAnsi="Arial" w:cs="Arial"/>
          <w:spacing w:val="2"/>
          <w:sz w:val="22"/>
          <w:szCs w:val="22"/>
          <w:shd w:val="clear" w:color="auto" w:fill="FFFFFF"/>
        </w:rPr>
        <w:t>) Dislipidemia para la fecha de la declaración de asegurabilidad</w:t>
      </w:r>
      <w:r w:rsidRPr="00615FC4">
        <w:rPr>
          <w:rFonts w:ascii="Arial" w:hAnsi="Arial" w:cs="Arial"/>
          <w:sz w:val="22"/>
          <w:szCs w:val="22"/>
        </w:rPr>
        <w:t>.</w:t>
      </w:r>
      <w:r w:rsidR="00324E16" w:rsidRPr="00615FC4">
        <w:rPr>
          <w:rFonts w:ascii="Arial" w:hAnsi="Arial" w:cs="Arial"/>
          <w:sz w:val="22"/>
          <w:szCs w:val="22"/>
        </w:rPr>
        <w:t xml:space="preserve"> Por lo que este presupuesto no podrá probarse.</w:t>
      </w:r>
    </w:p>
    <w:p w14:paraId="481C6756" w14:textId="77777777" w:rsidR="00DA07BF" w:rsidRPr="00615FC4" w:rsidRDefault="00DA07BF" w:rsidP="00832B25">
      <w:pPr>
        <w:pStyle w:val="NormalWeb"/>
        <w:shd w:val="clear" w:color="auto" w:fill="FFFFFF"/>
        <w:spacing w:before="0" w:beforeAutospacing="0" w:after="0" w:afterAutospacing="0" w:line="360" w:lineRule="auto"/>
        <w:ind w:left="360"/>
        <w:jc w:val="both"/>
        <w:rPr>
          <w:rFonts w:ascii="Arial" w:hAnsi="Arial" w:cs="Arial"/>
          <w:b/>
          <w:sz w:val="22"/>
          <w:szCs w:val="22"/>
          <w:bdr w:val="none" w:sz="0" w:space="0" w:color="auto" w:frame="1"/>
        </w:rPr>
      </w:pPr>
    </w:p>
    <w:p w14:paraId="04B53619" w14:textId="091BC195" w:rsidR="00DA07BF" w:rsidRPr="00615FC4" w:rsidRDefault="00DA07BF" w:rsidP="00832B25">
      <w:pPr>
        <w:pStyle w:val="NormalWeb"/>
        <w:numPr>
          <w:ilvl w:val="0"/>
          <w:numId w:val="10"/>
        </w:numPr>
        <w:shd w:val="clear" w:color="auto" w:fill="FFFFFF"/>
        <w:spacing w:before="0" w:beforeAutospacing="0" w:after="0" w:afterAutospacing="0" w:line="360" w:lineRule="auto"/>
        <w:jc w:val="both"/>
        <w:rPr>
          <w:rFonts w:ascii="Arial" w:hAnsi="Arial" w:cs="Arial"/>
          <w:sz w:val="22"/>
          <w:szCs w:val="22"/>
          <w:bdr w:val="none" w:sz="0" w:space="0" w:color="auto" w:frame="1"/>
        </w:rPr>
      </w:pPr>
      <w:r w:rsidRPr="00615FC4">
        <w:rPr>
          <w:rFonts w:ascii="Arial" w:hAnsi="Arial" w:cs="Arial"/>
          <w:b/>
          <w:sz w:val="22"/>
          <w:szCs w:val="22"/>
          <w:bdr w:val="none" w:sz="0" w:space="0" w:color="auto" w:frame="1"/>
        </w:rPr>
        <w:t>Respecto de la realización de exámenes médicos por parte de la compañía aseguradora:</w:t>
      </w:r>
      <w:r w:rsidRPr="00615FC4">
        <w:rPr>
          <w:rFonts w:ascii="Arial" w:hAnsi="Arial" w:cs="Arial"/>
          <w:sz w:val="22"/>
          <w:szCs w:val="22"/>
          <w:bdr w:val="none" w:sz="0" w:space="0" w:color="auto" w:frame="1"/>
        </w:rPr>
        <w:t xml:space="preserve"> es de recordar que las sentencias de la Corte Constitucional han establecido que la compañía aseguradora </w:t>
      </w:r>
      <w:r w:rsidRPr="00615FC4">
        <w:rPr>
          <w:rFonts w:ascii="Arial" w:hAnsi="Arial" w:cs="Arial"/>
          <w:sz w:val="22"/>
          <w:szCs w:val="22"/>
        </w:rPr>
        <w:t>tiene un deber de diligencia superior por ser la experta en seguros y quien ostenta la posición dominante en la relación jurídica por lo que debe verificar la información entregada por las tomadoras, y que, tratándose de seguros de personas, a estas debe practicarles exámenes médicos o solicitarlos y revisar sus historias clínicas, con el fin de que prosperen las excepciones de nulidad relativa por reticencia o inexactitud.</w:t>
      </w:r>
      <w:r w:rsidRPr="00615FC4">
        <w:rPr>
          <w:rStyle w:val="Refdenotaalpie"/>
          <w:rFonts w:ascii="Arial" w:hAnsi="Arial" w:cs="Arial"/>
          <w:sz w:val="22"/>
          <w:szCs w:val="22"/>
        </w:rPr>
        <w:footnoteReference w:id="2"/>
      </w:r>
      <w:r w:rsidRPr="00615FC4">
        <w:rPr>
          <w:rFonts w:ascii="Arial" w:hAnsi="Arial" w:cs="Arial"/>
          <w:sz w:val="22"/>
          <w:szCs w:val="22"/>
          <w:bdr w:val="none" w:sz="0" w:space="0" w:color="auto" w:frame="1"/>
        </w:rPr>
        <w:t xml:space="preserve">, sin que en el presente caso se encuentre probado que la compañía aseguradora haya solicitado exámenes médicos. </w:t>
      </w:r>
      <w:r w:rsidR="007A1534" w:rsidRPr="00615FC4">
        <w:rPr>
          <w:rFonts w:ascii="Arial" w:hAnsi="Arial" w:cs="Arial"/>
          <w:sz w:val="22"/>
          <w:szCs w:val="22"/>
        </w:rPr>
        <w:t>Por lo que este presupuesto no podrá probarse.</w:t>
      </w:r>
    </w:p>
    <w:p w14:paraId="36E9071E" w14:textId="77777777" w:rsidR="00DA07BF" w:rsidRPr="00615FC4" w:rsidRDefault="00DA07BF" w:rsidP="00832B25">
      <w:pPr>
        <w:pStyle w:val="NormalWeb"/>
        <w:shd w:val="clear" w:color="auto" w:fill="FFFFFF"/>
        <w:spacing w:before="0" w:beforeAutospacing="0" w:after="0" w:afterAutospacing="0" w:line="360" w:lineRule="auto"/>
        <w:jc w:val="both"/>
        <w:rPr>
          <w:rFonts w:ascii="Arial" w:hAnsi="Arial" w:cs="Arial"/>
          <w:sz w:val="22"/>
          <w:szCs w:val="22"/>
        </w:rPr>
      </w:pPr>
    </w:p>
    <w:p w14:paraId="24C2DFEB" w14:textId="1BDD0FB0" w:rsidR="00DA07BF" w:rsidRPr="00615FC4" w:rsidRDefault="00DA07BF" w:rsidP="00832B25">
      <w:pPr>
        <w:pStyle w:val="NormalWeb"/>
        <w:numPr>
          <w:ilvl w:val="0"/>
          <w:numId w:val="9"/>
        </w:numPr>
        <w:shd w:val="clear" w:color="auto" w:fill="FFFFFF"/>
        <w:spacing w:before="0" w:beforeAutospacing="0" w:after="0" w:afterAutospacing="0" w:line="360" w:lineRule="auto"/>
        <w:jc w:val="both"/>
        <w:rPr>
          <w:rFonts w:ascii="Arial" w:hAnsi="Arial" w:cs="Arial"/>
          <w:b/>
          <w:sz w:val="22"/>
          <w:szCs w:val="22"/>
          <w:bdr w:val="none" w:sz="0" w:space="0" w:color="auto" w:frame="1"/>
        </w:rPr>
      </w:pPr>
      <w:r w:rsidRPr="00615FC4">
        <w:rPr>
          <w:rFonts w:ascii="Arial" w:hAnsi="Arial" w:cs="Arial"/>
          <w:b/>
          <w:sz w:val="22"/>
          <w:szCs w:val="22"/>
        </w:rPr>
        <w:lastRenderedPageBreak/>
        <w:t xml:space="preserve">Elemento subjetivo – relevancia de lo no declarado: </w:t>
      </w:r>
      <w:r w:rsidRPr="00615FC4">
        <w:rPr>
          <w:rFonts w:ascii="Arial" w:hAnsi="Arial" w:cs="Arial"/>
          <w:sz w:val="22"/>
          <w:szCs w:val="22"/>
        </w:rPr>
        <w:t>la Corte Suprema de Justicia</w:t>
      </w:r>
      <w:r w:rsidRPr="00615FC4">
        <w:rPr>
          <w:rStyle w:val="Refdenotaalpie"/>
          <w:rFonts w:ascii="Arial" w:hAnsi="Arial" w:cs="Arial"/>
          <w:sz w:val="22"/>
          <w:szCs w:val="22"/>
        </w:rPr>
        <w:footnoteReference w:id="3"/>
      </w:r>
      <w:r w:rsidRPr="00615FC4">
        <w:rPr>
          <w:rFonts w:ascii="Arial" w:hAnsi="Arial" w:cs="Arial"/>
          <w:sz w:val="22"/>
          <w:szCs w:val="22"/>
        </w:rPr>
        <w:t xml:space="preserve"> ha establecido que </w:t>
      </w:r>
      <w:proofErr w:type="gramStart"/>
      <w:r w:rsidRPr="00615FC4">
        <w:rPr>
          <w:rFonts w:ascii="Arial" w:hAnsi="Arial" w:cs="Arial"/>
          <w:sz w:val="22"/>
          <w:szCs w:val="22"/>
        </w:rPr>
        <w:t>le</w:t>
      </w:r>
      <w:proofErr w:type="gramEnd"/>
      <w:r w:rsidRPr="00615FC4">
        <w:rPr>
          <w:rFonts w:ascii="Arial" w:hAnsi="Arial" w:cs="Arial"/>
          <w:b/>
          <w:sz w:val="22"/>
          <w:szCs w:val="22"/>
        </w:rPr>
        <w:t xml:space="preserve"> </w:t>
      </w:r>
      <w:r w:rsidRPr="00615FC4">
        <w:rPr>
          <w:rFonts w:ascii="Arial" w:hAnsi="Arial" w:cs="Arial"/>
          <w:sz w:val="22"/>
          <w:szCs w:val="22"/>
        </w:rPr>
        <w:t xml:space="preserve">incumbe a las partes probar los supuestos de hecho de las normas que consagran el efecto jurídico que ellas persiguen en virtud del artículo 167 del Código General del Proceso, es de mencionar que en el presente caso </w:t>
      </w:r>
      <w:r w:rsidR="005A605A" w:rsidRPr="00615FC4">
        <w:rPr>
          <w:rFonts w:ascii="Arial" w:hAnsi="Arial" w:cs="Arial"/>
          <w:sz w:val="22"/>
          <w:szCs w:val="22"/>
        </w:rPr>
        <w:t xml:space="preserve">eventualmente se podía probar con el dictamen pericial, pero en todo caso, ninguno de los requisitos precedentes están acreditados. </w:t>
      </w:r>
    </w:p>
    <w:p w14:paraId="275F2F6F" w14:textId="77777777" w:rsidR="005A605A" w:rsidRPr="00615FC4" w:rsidRDefault="005A605A" w:rsidP="00832B25">
      <w:pPr>
        <w:pStyle w:val="Prrafodelista"/>
        <w:spacing w:after="0" w:line="360" w:lineRule="auto"/>
        <w:ind w:left="360"/>
        <w:jc w:val="both"/>
        <w:rPr>
          <w:rFonts w:ascii="Arial" w:eastAsia="Times New Roman" w:hAnsi="Arial" w:cs="Arial"/>
          <w:lang w:val="es-ES"/>
        </w:rPr>
      </w:pPr>
    </w:p>
    <w:p w14:paraId="44CE303F" w14:textId="429D8303" w:rsidR="005A605A" w:rsidRPr="00615FC4" w:rsidRDefault="005A605A" w:rsidP="00832B25">
      <w:pPr>
        <w:pStyle w:val="Prrafodelista"/>
        <w:numPr>
          <w:ilvl w:val="0"/>
          <w:numId w:val="5"/>
        </w:numPr>
        <w:spacing w:after="0" w:line="360" w:lineRule="auto"/>
        <w:jc w:val="both"/>
        <w:rPr>
          <w:rFonts w:ascii="Arial" w:hAnsi="Arial" w:cs="Arial"/>
          <w:b/>
          <w:bCs/>
        </w:rPr>
      </w:pPr>
      <w:r w:rsidRPr="00615FC4">
        <w:rPr>
          <w:rFonts w:ascii="Arial" w:eastAsia="Times New Roman" w:hAnsi="Arial" w:cs="Arial"/>
          <w:b/>
          <w:bCs/>
          <w:lang w:val="es-ES"/>
        </w:rPr>
        <w:t>ANOTACIÓN</w:t>
      </w:r>
    </w:p>
    <w:p w14:paraId="45574359" w14:textId="77777777" w:rsidR="005A605A" w:rsidRPr="00615FC4" w:rsidRDefault="005A605A" w:rsidP="00832B25">
      <w:pPr>
        <w:spacing w:line="360" w:lineRule="auto"/>
        <w:jc w:val="both"/>
        <w:rPr>
          <w:rFonts w:ascii="Arial" w:hAnsi="Arial" w:cs="Arial"/>
        </w:rPr>
      </w:pPr>
    </w:p>
    <w:p w14:paraId="094D7787" w14:textId="63D611CE" w:rsidR="005A605A" w:rsidRPr="00615FC4" w:rsidRDefault="005A605A" w:rsidP="00832B25">
      <w:pPr>
        <w:spacing w:line="360" w:lineRule="auto"/>
        <w:jc w:val="both"/>
        <w:rPr>
          <w:rFonts w:ascii="Arial" w:hAnsi="Arial" w:cs="Arial"/>
        </w:rPr>
      </w:pPr>
      <w:r w:rsidRPr="00615FC4">
        <w:rPr>
          <w:rFonts w:ascii="Arial" w:hAnsi="Arial" w:cs="Arial"/>
        </w:rPr>
        <w:t>Respecto de que la señora Blanca Emilse Molina para la fecha de la suscripción del contrato de seguro padeciera de</w:t>
      </w:r>
      <w:r w:rsidRPr="00615FC4">
        <w:rPr>
          <w:rFonts w:ascii="Arial" w:hAnsi="Arial" w:cs="Arial"/>
          <w:spacing w:val="2"/>
          <w:shd w:val="clear" w:color="auto" w:fill="FFFFFF"/>
        </w:rPr>
        <w:t xml:space="preserve"> i) Hipertensión arterial, </w:t>
      </w:r>
      <w:proofErr w:type="spellStart"/>
      <w:r w:rsidRPr="00615FC4">
        <w:rPr>
          <w:rFonts w:ascii="Arial" w:hAnsi="Arial" w:cs="Arial"/>
          <w:spacing w:val="2"/>
          <w:shd w:val="clear" w:color="auto" w:fill="FFFFFF"/>
        </w:rPr>
        <w:t>ii</w:t>
      </w:r>
      <w:proofErr w:type="spellEnd"/>
      <w:r w:rsidRPr="00615FC4">
        <w:rPr>
          <w:rFonts w:ascii="Arial" w:hAnsi="Arial" w:cs="Arial"/>
          <w:spacing w:val="2"/>
          <w:shd w:val="clear" w:color="auto" w:fill="FFFFFF"/>
        </w:rPr>
        <w:t xml:space="preserve">) Diabetes Mellitus, </w:t>
      </w:r>
      <w:proofErr w:type="spellStart"/>
      <w:r w:rsidRPr="00615FC4">
        <w:rPr>
          <w:rFonts w:ascii="Arial" w:hAnsi="Arial" w:cs="Arial"/>
          <w:spacing w:val="2"/>
          <w:shd w:val="clear" w:color="auto" w:fill="FFFFFF"/>
        </w:rPr>
        <w:t>iii</w:t>
      </w:r>
      <w:proofErr w:type="spellEnd"/>
      <w:r w:rsidRPr="00615FC4">
        <w:rPr>
          <w:rFonts w:ascii="Arial" w:hAnsi="Arial" w:cs="Arial"/>
          <w:spacing w:val="2"/>
          <w:shd w:val="clear" w:color="auto" w:fill="FFFFFF"/>
        </w:rPr>
        <w:t xml:space="preserve">) Obesidad y </w:t>
      </w:r>
      <w:proofErr w:type="spellStart"/>
      <w:r w:rsidRPr="00615FC4">
        <w:rPr>
          <w:rFonts w:ascii="Arial" w:hAnsi="Arial" w:cs="Arial"/>
          <w:spacing w:val="2"/>
          <w:shd w:val="clear" w:color="auto" w:fill="FFFFFF"/>
        </w:rPr>
        <w:t>iv</w:t>
      </w:r>
      <w:proofErr w:type="spellEnd"/>
      <w:r w:rsidRPr="00615FC4">
        <w:rPr>
          <w:rFonts w:ascii="Arial" w:hAnsi="Arial" w:cs="Arial"/>
          <w:spacing w:val="2"/>
          <w:shd w:val="clear" w:color="auto" w:fill="FFFFFF"/>
        </w:rPr>
        <w:t xml:space="preserve">) Dislipidemia pretende ser probado con las historias clínicas que deberán ser allegadas por COSMITET LDTA y CLINICA IMBANACO, sin embargo, a la fecha no hay prueba siquiera sumaria de ello. </w:t>
      </w:r>
    </w:p>
    <w:p w14:paraId="2EA5916E" w14:textId="77777777" w:rsidR="00650304" w:rsidRPr="00615FC4" w:rsidRDefault="00650304" w:rsidP="00832B25">
      <w:pPr>
        <w:spacing w:line="360" w:lineRule="auto"/>
        <w:jc w:val="both"/>
        <w:rPr>
          <w:rFonts w:ascii="Arial" w:hAnsi="Arial" w:cs="Arial"/>
          <w:noProof/>
        </w:rPr>
      </w:pPr>
    </w:p>
    <w:p w14:paraId="674C1624" w14:textId="77777777" w:rsidR="00B8362C" w:rsidRPr="00615FC4" w:rsidRDefault="00B8362C" w:rsidP="00832B25">
      <w:pPr>
        <w:pStyle w:val="Prrafodelista"/>
        <w:numPr>
          <w:ilvl w:val="0"/>
          <w:numId w:val="5"/>
        </w:numPr>
        <w:spacing w:after="0" w:line="360" w:lineRule="auto"/>
        <w:jc w:val="both"/>
        <w:rPr>
          <w:rFonts w:ascii="Arial" w:hAnsi="Arial" w:cs="Arial"/>
          <w:b/>
          <w:bCs/>
        </w:rPr>
      </w:pPr>
      <w:r w:rsidRPr="00615FC4">
        <w:rPr>
          <w:rFonts w:ascii="Arial" w:hAnsi="Arial" w:cs="Arial"/>
          <w:b/>
          <w:bCs/>
        </w:rPr>
        <w:t>CONCLUSIONES</w:t>
      </w:r>
    </w:p>
    <w:p w14:paraId="6CFA43A9" w14:textId="77777777" w:rsidR="00B8362C" w:rsidRPr="00615FC4" w:rsidRDefault="00B8362C" w:rsidP="00832B25">
      <w:pPr>
        <w:spacing w:line="360" w:lineRule="auto"/>
        <w:jc w:val="both"/>
        <w:rPr>
          <w:rFonts w:ascii="Arial" w:hAnsi="Arial" w:cs="Arial"/>
          <w:b/>
          <w:bCs/>
        </w:rPr>
      </w:pPr>
    </w:p>
    <w:p w14:paraId="3CEEF3AA" w14:textId="00C02582" w:rsidR="007F1A6D" w:rsidRPr="00615FC4" w:rsidRDefault="00B8362C" w:rsidP="00832B25">
      <w:pPr>
        <w:spacing w:line="360" w:lineRule="auto"/>
        <w:jc w:val="both"/>
        <w:rPr>
          <w:rFonts w:ascii="Arial" w:hAnsi="Arial" w:cs="Arial"/>
        </w:rPr>
      </w:pPr>
      <w:r w:rsidRPr="00615FC4">
        <w:rPr>
          <w:rFonts w:ascii="Arial" w:hAnsi="Arial" w:cs="Arial"/>
        </w:rPr>
        <w:t xml:space="preserve">Bajo lo señalado anteriormente, </w:t>
      </w:r>
      <w:r w:rsidR="005A605A" w:rsidRPr="00615FC4">
        <w:rPr>
          <w:rFonts w:ascii="Arial" w:hAnsi="Arial" w:cs="Arial"/>
        </w:rPr>
        <w:t xml:space="preserve">y conforme a la calificación probable del proceso, se considera que, </w:t>
      </w:r>
      <w:r w:rsidR="005A605A" w:rsidRPr="00615FC4">
        <w:rPr>
          <w:rFonts w:ascii="Arial" w:hAnsi="Arial" w:cs="Arial"/>
          <w:b/>
          <w:bCs/>
        </w:rPr>
        <w:t>NO es necesario</w:t>
      </w:r>
      <w:r w:rsidR="005A605A" w:rsidRPr="00615FC4">
        <w:rPr>
          <w:rFonts w:ascii="Arial" w:hAnsi="Arial" w:cs="Arial"/>
        </w:rPr>
        <w:t xml:space="preserve"> aportar el dictamen pericial, y, por lo contrario, lo mejor sería buscar una conciliación con la parte demandante. </w:t>
      </w:r>
    </w:p>
    <w:p w14:paraId="7DD82315" w14:textId="77777777" w:rsidR="00B8362C" w:rsidRPr="00615FC4" w:rsidRDefault="00B8362C" w:rsidP="00832B25">
      <w:pPr>
        <w:spacing w:line="360" w:lineRule="auto"/>
        <w:jc w:val="both"/>
        <w:rPr>
          <w:rFonts w:ascii="Arial" w:hAnsi="Arial" w:cs="Arial"/>
        </w:rPr>
      </w:pPr>
    </w:p>
    <w:p w14:paraId="5AD6B8C7" w14:textId="7630EF19" w:rsidR="00B8362C" w:rsidRPr="00615FC4" w:rsidRDefault="00B8362C" w:rsidP="00BB6325">
      <w:pPr>
        <w:spacing w:line="360" w:lineRule="auto"/>
        <w:jc w:val="both"/>
        <w:rPr>
          <w:rFonts w:ascii="Arial" w:hAnsi="Arial" w:cs="Arial"/>
        </w:rPr>
      </w:pPr>
      <w:r w:rsidRPr="00615FC4">
        <w:rPr>
          <w:rFonts w:ascii="Arial" w:hAnsi="Arial" w:cs="Arial"/>
        </w:rPr>
        <w:t xml:space="preserve">Cordialmente, </w:t>
      </w:r>
    </w:p>
    <w:p w14:paraId="0A48741B" w14:textId="77777777" w:rsidR="002A1FEE" w:rsidRPr="00615FC4" w:rsidRDefault="002A1FEE" w:rsidP="00832B25">
      <w:pPr>
        <w:spacing w:line="360" w:lineRule="auto"/>
        <w:rPr>
          <w:rFonts w:ascii="Arial" w:hAnsi="Arial" w:cs="Arial"/>
        </w:rPr>
      </w:pPr>
    </w:p>
    <w:sectPr w:rsidR="002A1FEE" w:rsidRPr="00615FC4" w:rsidSect="007575A5">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8867" w14:textId="77777777" w:rsidR="00597BB2" w:rsidRDefault="00597BB2">
      <w:r>
        <w:separator/>
      </w:r>
    </w:p>
  </w:endnote>
  <w:endnote w:type="continuationSeparator" w:id="0">
    <w:p w14:paraId="0CF1CCBD" w14:textId="77777777" w:rsidR="00597BB2" w:rsidRDefault="0059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73DF4" w14:textId="77777777" w:rsidR="005E3854" w:rsidRDefault="0027238B" w:rsidP="004A356B">
    <w:pPr>
      <w:rPr>
        <w:color w:val="222A35" w:themeColor="text2" w:themeShade="80"/>
      </w:rPr>
    </w:pPr>
    <w:r>
      <w:rPr>
        <w:noProof/>
        <w:color w:val="222A35" w:themeColor="text2" w:themeShade="80"/>
        <w:lang w:val="es-CO" w:eastAsia="es-CO"/>
      </w:rPr>
      <w:drawing>
        <wp:anchor distT="0" distB="0" distL="114300" distR="114300" simplePos="0" relativeHeight="251659264" behindDoc="1" locked="0" layoutInCell="1" allowOverlap="1" wp14:anchorId="4C417246" wp14:editId="05C9B85B">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0A923" w14:textId="77777777" w:rsidR="005E3854" w:rsidRDefault="0027238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2336" behindDoc="1" locked="0" layoutInCell="1" allowOverlap="1" wp14:anchorId="26B23521" wp14:editId="1DAD0410">
              <wp:simplePos x="0" y="0"/>
              <wp:positionH relativeFrom="margin">
                <wp:posOffset>1899920</wp:posOffset>
              </wp:positionH>
              <wp:positionV relativeFrom="page">
                <wp:posOffset>11193780</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BF3E4" w14:textId="77777777" w:rsidR="005E3854" w:rsidRPr="004A356B" w:rsidRDefault="0027238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6A81E0A" w14:textId="77777777" w:rsidR="005E3854" w:rsidRPr="004A356B" w:rsidRDefault="0027238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3521" id="Rectángulo 4" o:spid="_x0000_s1026" style="position:absolute;left:0;text-align:left;margin-left:149.6pt;margin-top:881.4pt;width:214.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" filled="f" stroked="f" strokeweight="1pt">
              <v:textbox>
                <w:txbxContent>
                  <w:p w14:paraId="145BF3E4" w14:textId="77777777" w:rsidR="005E3854" w:rsidRPr="004A356B" w:rsidRDefault="0027238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6A81E0A" w14:textId="77777777" w:rsidR="005E3854" w:rsidRPr="004A356B" w:rsidRDefault="0027238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61312" behindDoc="1" locked="0" layoutInCell="1" allowOverlap="1" wp14:anchorId="1181A1D2" wp14:editId="3529BE1F">
          <wp:simplePos x="0" y="0"/>
          <wp:positionH relativeFrom="column">
            <wp:posOffset>4491990</wp:posOffset>
          </wp:positionH>
          <wp:positionV relativeFrom="margin">
            <wp:posOffset>9870440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561FB" w14:textId="77777777" w:rsidR="005E3854" w:rsidRDefault="0027238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3360" behindDoc="1" locked="0" layoutInCell="1" allowOverlap="1" wp14:anchorId="1D6F7405" wp14:editId="57C2A59A">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84DB8" w14:textId="492AA180" w:rsidR="005E3854" w:rsidRPr="004A356B" w:rsidRDefault="005A605A" w:rsidP="00B323A0">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JCPO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F7405"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5E84DB8" w14:textId="492AA180" w:rsidR="005E3854" w:rsidRPr="004A356B" w:rsidRDefault="005A605A" w:rsidP="00B323A0">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JCPO</w:t>
                    </w:r>
                  </w:p>
                </w:txbxContent>
              </v:textbox>
              <w10:wrap anchorx="page" anchory="margin"/>
            </v:rect>
          </w:pict>
        </mc:Fallback>
      </mc:AlternateContent>
    </w:r>
  </w:p>
  <w:p w14:paraId="443CB1DA" w14:textId="733F25A4" w:rsidR="005E3854" w:rsidRPr="00194DAC" w:rsidRDefault="0027238B"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E566F">
      <w:rPr>
        <w:rFonts w:ascii="Raleway" w:hAnsi="Raleway"/>
        <w:b/>
        <w:bCs/>
        <w:noProof/>
        <w:color w:val="222A35" w:themeColor="text2" w:themeShade="80"/>
        <w:sz w:val="16"/>
        <w:szCs w:val="16"/>
      </w:rPr>
      <w:t>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E566F">
      <w:rPr>
        <w:rFonts w:ascii="Raleway" w:hAnsi="Raleway"/>
        <w:b/>
        <w:bCs/>
        <w:noProof/>
        <w:color w:val="222A35" w:themeColor="text2" w:themeShade="80"/>
        <w:sz w:val="16"/>
        <w:szCs w:val="16"/>
      </w:rPr>
      <w:t>6</w:t>
    </w:r>
    <w:r w:rsidRPr="00194DAC">
      <w:rPr>
        <w:rFonts w:ascii="Raleway" w:hAnsi="Raleway"/>
        <w:b/>
        <w:bCs/>
        <w:color w:val="222A35" w:themeColor="text2" w:themeShade="80"/>
        <w:sz w:val="16"/>
        <w:szCs w:val="16"/>
      </w:rPr>
      <w:fldChar w:fldCharType="end"/>
    </w:r>
  </w:p>
  <w:p w14:paraId="677FBF9A" w14:textId="77777777" w:rsidR="005E3854" w:rsidRDefault="005E38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730EC" w14:textId="77777777" w:rsidR="00597BB2" w:rsidRDefault="00597BB2">
      <w:r>
        <w:separator/>
      </w:r>
    </w:p>
  </w:footnote>
  <w:footnote w:type="continuationSeparator" w:id="0">
    <w:p w14:paraId="395DE35F" w14:textId="77777777" w:rsidR="00597BB2" w:rsidRDefault="00597BB2">
      <w:r>
        <w:continuationSeparator/>
      </w:r>
    </w:p>
  </w:footnote>
  <w:footnote w:id="1">
    <w:p w14:paraId="631501ED" w14:textId="77777777" w:rsidR="00DA07BF" w:rsidRPr="00E44C15" w:rsidRDefault="00DA07BF" w:rsidP="00DA07BF">
      <w:pPr>
        <w:pStyle w:val="Textonotapie"/>
        <w:rPr>
          <w:lang w:val="es-CO"/>
        </w:rPr>
      </w:pPr>
      <w:r>
        <w:rPr>
          <w:rStyle w:val="Refdenotaalpie"/>
        </w:rPr>
        <w:footnoteRef/>
      </w:r>
      <w:r w:rsidRPr="00E44C15">
        <w:rPr>
          <w:lang w:val="es-CO"/>
        </w:rPr>
        <w:t xml:space="preserve"> T-830 de 2014, T-919 de 2014, T-393 de 2015, T-316 de 2015, T-684 de 2015, T-570 de 2015, T-058 de 2016, T-240 de 2016, T-609 de 2016, T-501 de 2016, T-670 de 2016, T-282 de 2016, T-571 de 2017, T-658 de 2017, T-027 de 2019 y T-061 de 2020.</w:t>
      </w:r>
    </w:p>
  </w:footnote>
  <w:footnote w:id="2">
    <w:p w14:paraId="37F7CCD8" w14:textId="77777777" w:rsidR="00DA07BF" w:rsidRPr="00E44C15" w:rsidRDefault="00DA07BF" w:rsidP="00DA07BF">
      <w:pPr>
        <w:pStyle w:val="Textonotapie"/>
        <w:rPr>
          <w:lang w:val="es-CO"/>
        </w:rPr>
      </w:pPr>
      <w:r>
        <w:rPr>
          <w:rStyle w:val="Refdenotaalpie"/>
        </w:rPr>
        <w:footnoteRef/>
      </w:r>
      <w:r w:rsidRPr="00E44C15">
        <w:rPr>
          <w:lang w:val="es-CO"/>
        </w:rPr>
        <w:t xml:space="preserve"> T-533 de 1996, la T-117 de 1997 y la T-290 de 1998.</w:t>
      </w:r>
    </w:p>
  </w:footnote>
  <w:footnote w:id="3">
    <w:p w14:paraId="387A5BF4" w14:textId="77777777" w:rsidR="00DA07BF" w:rsidRPr="00174AF2" w:rsidRDefault="00DA07BF" w:rsidP="00DA07BF">
      <w:pPr>
        <w:pStyle w:val="Textonotapie"/>
        <w:rPr>
          <w:lang w:val="es-CO"/>
        </w:rPr>
      </w:pPr>
      <w:r>
        <w:rPr>
          <w:rStyle w:val="Refdenotaalpie"/>
        </w:rPr>
        <w:footnoteRef/>
      </w:r>
      <w:r w:rsidRPr="000A7340">
        <w:rPr>
          <w:lang w:val="es-CO"/>
        </w:rPr>
        <w:t xml:space="preserve"> SC3791-2021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8A95" w14:textId="77777777" w:rsidR="005E3854" w:rsidRDefault="0027238B">
    <w:pPr>
      <w:pStyle w:val="Encabezado"/>
    </w:pPr>
    <w:r>
      <w:rPr>
        <w:noProof/>
        <w:color w:val="222A35" w:themeColor="text2" w:themeShade="80"/>
        <w:lang w:eastAsia="es-CO"/>
      </w:rPr>
      <w:drawing>
        <wp:anchor distT="0" distB="0" distL="114300" distR="114300" simplePos="0" relativeHeight="251660288" behindDoc="1" locked="0" layoutInCell="1" allowOverlap="1" wp14:anchorId="614E59D6" wp14:editId="15D94BE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D57"/>
    <w:multiLevelType w:val="hybridMultilevel"/>
    <w:tmpl w:val="DF7AF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4D198F"/>
    <w:multiLevelType w:val="hybridMultilevel"/>
    <w:tmpl w:val="47A015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F0A2692"/>
    <w:multiLevelType w:val="hybridMultilevel"/>
    <w:tmpl w:val="8B888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9C75C2"/>
    <w:multiLevelType w:val="hybridMultilevel"/>
    <w:tmpl w:val="AF1686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D4663E8"/>
    <w:multiLevelType w:val="hybridMultilevel"/>
    <w:tmpl w:val="C0DAE8C6"/>
    <w:lvl w:ilvl="0" w:tplc="692AF9B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A364331"/>
    <w:multiLevelType w:val="hybridMultilevel"/>
    <w:tmpl w:val="58005874"/>
    <w:lvl w:ilvl="0" w:tplc="240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2A5DF0"/>
    <w:multiLevelType w:val="hybridMultilevel"/>
    <w:tmpl w:val="910014F6"/>
    <w:lvl w:ilvl="0" w:tplc="EDE65134">
      <w:start w:val="3"/>
      <w:numFmt w:val="bullet"/>
      <w:lvlText w:val="-"/>
      <w:lvlJc w:val="left"/>
      <w:pPr>
        <w:ind w:left="720" w:hanging="360"/>
      </w:pPr>
      <w:rPr>
        <w:rFonts w:ascii="Times New Roman" w:eastAsia="Times New Roman" w:hAnsi="Times New Roman"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B9955DA"/>
    <w:multiLevelType w:val="hybridMultilevel"/>
    <w:tmpl w:val="987C7014"/>
    <w:lvl w:ilvl="0" w:tplc="E4EE2148">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660238DE"/>
    <w:multiLevelType w:val="hybridMultilevel"/>
    <w:tmpl w:val="CA0E2E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6DFB7458"/>
    <w:multiLevelType w:val="hybridMultilevel"/>
    <w:tmpl w:val="300A7E58"/>
    <w:lvl w:ilvl="0" w:tplc="7548E8F8">
      <w:start w:val="1"/>
      <w:numFmt w:val="upp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123A38"/>
    <w:multiLevelType w:val="hybridMultilevel"/>
    <w:tmpl w:val="68DEA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55253455">
    <w:abstractNumId w:val="3"/>
  </w:num>
  <w:num w:numId="2" w16cid:durableId="495191343">
    <w:abstractNumId w:val="10"/>
  </w:num>
  <w:num w:numId="3" w16cid:durableId="1779639198">
    <w:abstractNumId w:val="8"/>
  </w:num>
  <w:num w:numId="4" w16cid:durableId="172914340">
    <w:abstractNumId w:val="7"/>
  </w:num>
  <w:num w:numId="5" w16cid:durableId="1001859371">
    <w:abstractNumId w:val="9"/>
  </w:num>
  <w:num w:numId="6" w16cid:durableId="1008024635">
    <w:abstractNumId w:val="2"/>
  </w:num>
  <w:num w:numId="7" w16cid:durableId="1400251043">
    <w:abstractNumId w:val="4"/>
  </w:num>
  <w:num w:numId="8" w16cid:durableId="2141725436">
    <w:abstractNumId w:val="0"/>
  </w:num>
  <w:num w:numId="9" w16cid:durableId="736316970">
    <w:abstractNumId w:val="5"/>
  </w:num>
  <w:num w:numId="10" w16cid:durableId="1503812887">
    <w:abstractNumId w:val="1"/>
  </w:num>
  <w:num w:numId="11" w16cid:durableId="311176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62C"/>
    <w:rsid w:val="00007953"/>
    <w:rsid w:val="000D00E4"/>
    <w:rsid w:val="000D3240"/>
    <w:rsid w:val="00112BB1"/>
    <w:rsid w:val="001B2C23"/>
    <w:rsid w:val="001E064D"/>
    <w:rsid w:val="001F2A7F"/>
    <w:rsid w:val="0027238B"/>
    <w:rsid w:val="00284DB0"/>
    <w:rsid w:val="002A1FEE"/>
    <w:rsid w:val="00305DF9"/>
    <w:rsid w:val="003133A1"/>
    <w:rsid w:val="00324E16"/>
    <w:rsid w:val="003315F8"/>
    <w:rsid w:val="00351ADC"/>
    <w:rsid w:val="00365AC6"/>
    <w:rsid w:val="00370455"/>
    <w:rsid w:val="00372A24"/>
    <w:rsid w:val="003C6660"/>
    <w:rsid w:val="003D3D96"/>
    <w:rsid w:val="003E655A"/>
    <w:rsid w:val="00403943"/>
    <w:rsid w:val="00416AA1"/>
    <w:rsid w:val="00427DA5"/>
    <w:rsid w:val="004468D2"/>
    <w:rsid w:val="00466CD1"/>
    <w:rsid w:val="004B14F0"/>
    <w:rsid w:val="004B201E"/>
    <w:rsid w:val="004E566F"/>
    <w:rsid w:val="004F5FFD"/>
    <w:rsid w:val="005042F1"/>
    <w:rsid w:val="005125FA"/>
    <w:rsid w:val="005148A4"/>
    <w:rsid w:val="00597BB2"/>
    <w:rsid w:val="005A605A"/>
    <w:rsid w:val="005B1D79"/>
    <w:rsid w:val="005B2E56"/>
    <w:rsid w:val="005C75EE"/>
    <w:rsid w:val="005E3854"/>
    <w:rsid w:val="006126F7"/>
    <w:rsid w:val="00615FC4"/>
    <w:rsid w:val="00623A62"/>
    <w:rsid w:val="00625FA4"/>
    <w:rsid w:val="00650304"/>
    <w:rsid w:val="00674856"/>
    <w:rsid w:val="006762BA"/>
    <w:rsid w:val="006C0068"/>
    <w:rsid w:val="006C597E"/>
    <w:rsid w:val="006E2D69"/>
    <w:rsid w:val="0071476A"/>
    <w:rsid w:val="00720849"/>
    <w:rsid w:val="007575A5"/>
    <w:rsid w:val="00764694"/>
    <w:rsid w:val="00767AB8"/>
    <w:rsid w:val="007744A8"/>
    <w:rsid w:val="00797FEF"/>
    <w:rsid w:val="007A1534"/>
    <w:rsid w:val="007A66F2"/>
    <w:rsid w:val="007C40EE"/>
    <w:rsid w:val="007D699D"/>
    <w:rsid w:val="007F1A6D"/>
    <w:rsid w:val="00832B25"/>
    <w:rsid w:val="008A2569"/>
    <w:rsid w:val="00940625"/>
    <w:rsid w:val="009953AA"/>
    <w:rsid w:val="009C7AE1"/>
    <w:rsid w:val="009D70AC"/>
    <w:rsid w:val="009E6B51"/>
    <w:rsid w:val="00A05386"/>
    <w:rsid w:val="00A055FE"/>
    <w:rsid w:val="00A222E4"/>
    <w:rsid w:val="00A62470"/>
    <w:rsid w:val="00A719B5"/>
    <w:rsid w:val="00A82AAC"/>
    <w:rsid w:val="00AB1012"/>
    <w:rsid w:val="00B138AA"/>
    <w:rsid w:val="00B8362C"/>
    <w:rsid w:val="00B86BB1"/>
    <w:rsid w:val="00B90BF8"/>
    <w:rsid w:val="00B9689C"/>
    <w:rsid w:val="00BA3008"/>
    <w:rsid w:val="00BB06C4"/>
    <w:rsid w:val="00BB6325"/>
    <w:rsid w:val="00BD2A1B"/>
    <w:rsid w:val="00C10219"/>
    <w:rsid w:val="00C1731E"/>
    <w:rsid w:val="00C25B88"/>
    <w:rsid w:val="00C62D02"/>
    <w:rsid w:val="00C90B67"/>
    <w:rsid w:val="00CA7123"/>
    <w:rsid w:val="00CE0CCE"/>
    <w:rsid w:val="00CE4299"/>
    <w:rsid w:val="00D42BC5"/>
    <w:rsid w:val="00D55526"/>
    <w:rsid w:val="00DA07BF"/>
    <w:rsid w:val="00DB51C2"/>
    <w:rsid w:val="00DD1BB4"/>
    <w:rsid w:val="00DD4768"/>
    <w:rsid w:val="00E14608"/>
    <w:rsid w:val="00E416FD"/>
    <w:rsid w:val="00E47E37"/>
    <w:rsid w:val="00E50289"/>
    <w:rsid w:val="00E639EF"/>
    <w:rsid w:val="00E915D7"/>
    <w:rsid w:val="00E91F51"/>
    <w:rsid w:val="00EB7C71"/>
    <w:rsid w:val="00EE4E24"/>
    <w:rsid w:val="00EF78A7"/>
    <w:rsid w:val="00F03505"/>
    <w:rsid w:val="00F35E7D"/>
    <w:rsid w:val="00FA0406"/>
    <w:rsid w:val="00FD0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16ACB"/>
  <w15:chartTrackingRefBased/>
  <w15:docId w15:val="{FD1CA761-55D5-413F-8E2D-7FE9FD63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2C"/>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62C"/>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B8362C"/>
    <w:rPr>
      <w:kern w:val="0"/>
      <w14:ligatures w14:val="none"/>
    </w:rPr>
  </w:style>
  <w:style w:type="paragraph" w:styleId="Piedepgina">
    <w:name w:val="footer"/>
    <w:basedOn w:val="Normal"/>
    <w:link w:val="PiedepginaCar"/>
    <w:uiPriority w:val="99"/>
    <w:unhideWhenUsed/>
    <w:rsid w:val="00B8362C"/>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B8362C"/>
    <w:rPr>
      <w:kern w:val="0"/>
      <w14:ligatures w14:val="none"/>
    </w:rPr>
  </w:style>
  <w:style w:type="paragraph" w:customStyle="1" w:styleId="xxgmail-default">
    <w:name w:val="x_xgmail-default"/>
    <w:basedOn w:val="Normal"/>
    <w:rsid w:val="00B8362C"/>
    <w:pPr>
      <w:widowControl/>
      <w:autoSpaceDE/>
      <w:autoSpaceDN/>
      <w:spacing w:before="100" w:beforeAutospacing="1" w:after="100" w:afterAutospacing="1"/>
    </w:pPr>
    <w:rPr>
      <w:sz w:val="24"/>
      <w:szCs w:val="24"/>
      <w:lang w:val="es-CO" w:eastAsia="es-CO"/>
    </w:rPr>
  </w:style>
  <w:style w:type="paragraph" w:styleId="Prrafodelista">
    <w:name w:val="List Paragraph"/>
    <w:basedOn w:val="Normal"/>
    <w:uiPriority w:val="34"/>
    <w:qFormat/>
    <w:rsid w:val="00B8362C"/>
    <w:pPr>
      <w:widowControl/>
      <w:autoSpaceDE/>
      <w:autoSpaceDN/>
      <w:spacing w:after="160" w:line="259" w:lineRule="auto"/>
      <w:ind w:left="720"/>
      <w:contextualSpacing/>
    </w:pPr>
    <w:rPr>
      <w:rFonts w:asciiTheme="minorHAnsi" w:eastAsiaTheme="minorHAnsi" w:hAnsiTheme="minorHAnsi" w:cstheme="minorBidi"/>
      <w:lang w:val="es-CO"/>
    </w:rPr>
  </w:style>
  <w:style w:type="character" w:styleId="Hipervnculo">
    <w:name w:val="Hyperlink"/>
    <w:basedOn w:val="Fuentedeprrafopredeter"/>
    <w:uiPriority w:val="99"/>
    <w:unhideWhenUsed/>
    <w:rsid w:val="00B8362C"/>
    <w:rPr>
      <w:color w:val="0563C1" w:themeColor="hyperlink"/>
      <w:u w:val="single"/>
    </w:rPr>
  </w:style>
  <w:style w:type="table" w:styleId="Tablaconcuadrcula">
    <w:name w:val="Table Grid"/>
    <w:basedOn w:val="Tablanormal"/>
    <w:uiPriority w:val="39"/>
    <w:rsid w:val="00B8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362C"/>
    <w:pPr>
      <w:widowControl/>
      <w:autoSpaceDE/>
      <w:autoSpaceDN/>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B8362C"/>
    <w:rPr>
      <w:b/>
      <w:bCs/>
    </w:rPr>
  </w:style>
  <w:style w:type="character" w:styleId="Refdecomentario">
    <w:name w:val="annotation reference"/>
    <w:basedOn w:val="Fuentedeprrafopredeter"/>
    <w:uiPriority w:val="99"/>
    <w:semiHidden/>
    <w:unhideWhenUsed/>
    <w:rsid w:val="00B8362C"/>
    <w:rPr>
      <w:sz w:val="16"/>
      <w:szCs w:val="16"/>
    </w:rPr>
  </w:style>
  <w:style w:type="paragraph" w:styleId="Textocomentario">
    <w:name w:val="annotation text"/>
    <w:basedOn w:val="Normal"/>
    <w:link w:val="TextocomentarioCar"/>
    <w:uiPriority w:val="99"/>
    <w:semiHidden/>
    <w:unhideWhenUsed/>
    <w:rsid w:val="00B8362C"/>
    <w:pPr>
      <w:widowControl/>
      <w:autoSpaceDE/>
      <w:autoSpaceDN/>
      <w:spacing w:after="160"/>
    </w:pPr>
    <w:rPr>
      <w:rFonts w:asciiTheme="minorHAnsi" w:eastAsiaTheme="minorHAnsi" w:hAnsiTheme="minorHAnsi" w:cstheme="minorBidi"/>
      <w:kern w:val="2"/>
      <w:sz w:val="20"/>
      <w:szCs w:val="20"/>
      <w:lang w:val="es-CO"/>
      <w14:ligatures w14:val="standardContextual"/>
    </w:rPr>
  </w:style>
  <w:style w:type="character" w:customStyle="1" w:styleId="TextocomentarioCar">
    <w:name w:val="Texto comentario Car"/>
    <w:basedOn w:val="Fuentedeprrafopredeter"/>
    <w:link w:val="Textocomentario"/>
    <w:uiPriority w:val="99"/>
    <w:semiHidden/>
    <w:rsid w:val="00B8362C"/>
    <w:rPr>
      <w:sz w:val="20"/>
      <w:szCs w:val="20"/>
    </w:rPr>
  </w:style>
  <w:style w:type="paragraph" w:styleId="Textodeglobo">
    <w:name w:val="Balloon Text"/>
    <w:basedOn w:val="Normal"/>
    <w:link w:val="TextodegloboCar"/>
    <w:uiPriority w:val="99"/>
    <w:semiHidden/>
    <w:unhideWhenUsed/>
    <w:rsid w:val="00F035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505"/>
    <w:rPr>
      <w:rFonts w:ascii="Segoe UI" w:eastAsia="Times New Roman" w:hAnsi="Segoe UI" w:cs="Segoe UI"/>
      <w:kern w:val="0"/>
      <w:sz w:val="18"/>
      <w:szCs w:val="18"/>
      <w:lang w:val="es-ES"/>
      <w14:ligatures w14:val="none"/>
    </w:rPr>
  </w:style>
  <w:style w:type="paragraph" w:styleId="Asuntodelcomentario">
    <w:name w:val="annotation subject"/>
    <w:basedOn w:val="Textocomentario"/>
    <w:next w:val="Textocomentario"/>
    <w:link w:val="AsuntodelcomentarioCar"/>
    <w:uiPriority w:val="99"/>
    <w:semiHidden/>
    <w:unhideWhenUsed/>
    <w:rsid w:val="008A2569"/>
    <w:pPr>
      <w:widowControl w:val="0"/>
      <w:autoSpaceDE w:val="0"/>
      <w:autoSpaceDN w:val="0"/>
      <w:spacing w:after="0"/>
    </w:pPr>
    <w:rPr>
      <w:rFonts w:ascii="Times New Roman" w:eastAsia="Times New Roman" w:hAnsi="Times New Roman" w:cs="Times New Roman"/>
      <w:b/>
      <w:bCs/>
      <w:kern w:val="0"/>
      <w:lang w:val="es-ES"/>
      <w14:ligatures w14:val="none"/>
    </w:rPr>
  </w:style>
  <w:style w:type="character" w:customStyle="1" w:styleId="AsuntodelcomentarioCar">
    <w:name w:val="Asunto del comentario Car"/>
    <w:basedOn w:val="TextocomentarioCar"/>
    <w:link w:val="Asuntodelcomentario"/>
    <w:uiPriority w:val="99"/>
    <w:semiHidden/>
    <w:rsid w:val="008A2569"/>
    <w:rPr>
      <w:rFonts w:ascii="Times New Roman" w:eastAsia="Times New Roman" w:hAnsi="Times New Roman" w:cs="Times New Roman"/>
      <w:b/>
      <w:bCs/>
      <w:kern w:val="0"/>
      <w:sz w:val="20"/>
      <w:szCs w:val="20"/>
      <w:lang w:val="es-ES"/>
      <w14:ligatures w14:val="none"/>
    </w:rPr>
  </w:style>
  <w:style w:type="paragraph" w:styleId="Revisin">
    <w:name w:val="Revision"/>
    <w:hidden/>
    <w:uiPriority w:val="99"/>
    <w:semiHidden/>
    <w:rsid w:val="00FA0406"/>
    <w:pPr>
      <w:spacing w:after="0" w:line="240" w:lineRule="auto"/>
    </w:pPr>
    <w:rPr>
      <w:rFonts w:ascii="Times New Roman" w:eastAsia="Times New Roman" w:hAnsi="Times New Roman" w:cs="Times New Roman"/>
      <w:kern w:val="0"/>
      <w:lang w:val="es-ES"/>
      <w14:ligatures w14:val="none"/>
    </w:rPr>
  </w:style>
  <w:style w:type="paragraph" w:styleId="Textonotapie">
    <w:name w:val="footnote text"/>
    <w:basedOn w:val="Normal"/>
    <w:link w:val="TextonotapieCar"/>
    <w:uiPriority w:val="99"/>
    <w:semiHidden/>
    <w:unhideWhenUsed/>
    <w:rsid w:val="00DA07BF"/>
    <w:pPr>
      <w:widowControl/>
      <w:autoSpaceDE/>
      <w:autoSpaceDN/>
    </w:pPr>
    <w:rPr>
      <w:rFonts w:asciiTheme="minorHAnsi" w:eastAsiaTheme="minorHAnsi" w:hAnsiTheme="minorHAnsi" w:cstheme="minorBidi"/>
      <w:sz w:val="20"/>
      <w:szCs w:val="20"/>
      <w:lang w:val="en-US"/>
    </w:rPr>
  </w:style>
  <w:style w:type="character" w:customStyle="1" w:styleId="TextonotapieCar">
    <w:name w:val="Texto nota pie Car"/>
    <w:basedOn w:val="Fuentedeprrafopredeter"/>
    <w:link w:val="Textonotapie"/>
    <w:uiPriority w:val="99"/>
    <w:semiHidden/>
    <w:rsid w:val="00DA07BF"/>
    <w:rPr>
      <w:kern w:val="0"/>
      <w:sz w:val="20"/>
      <w:szCs w:val="20"/>
      <w:lang w:val="en-US"/>
      <w14:ligatures w14:val="none"/>
    </w:rPr>
  </w:style>
  <w:style w:type="character" w:styleId="Refdenotaalpie">
    <w:name w:val="footnote reference"/>
    <w:basedOn w:val="Fuentedeprrafopredeter"/>
    <w:uiPriority w:val="99"/>
    <w:semiHidden/>
    <w:unhideWhenUsed/>
    <w:rsid w:val="00DA07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02430">
      <w:bodyDiv w:val="1"/>
      <w:marLeft w:val="0"/>
      <w:marRight w:val="0"/>
      <w:marTop w:val="0"/>
      <w:marBottom w:val="0"/>
      <w:divBdr>
        <w:top w:val="none" w:sz="0" w:space="0" w:color="auto"/>
        <w:left w:val="none" w:sz="0" w:space="0" w:color="auto"/>
        <w:bottom w:val="none" w:sz="0" w:space="0" w:color="auto"/>
        <w:right w:val="none" w:sz="0" w:space="0" w:color="auto"/>
      </w:divBdr>
    </w:div>
    <w:div w:id="14791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04422-C473-4651-90E9-AD55FADB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2113</Words>
  <Characters>11622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juana carolina pernia osorio</cp:lastModifiedBy>
  <cp:revision>17</cp:revision>
  <dcterms:created xsi:type="dcterms:W3CDTF">2024-07-09T23:45:00Z</dcterms:created>
  <dcterms:modified xsi:type="dcterms:W3CDTF">2024-07-10T17:37:00Z</dcterms:modified>
</cp:coreProperties>
</file>