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2A29" w14:textId="77777777" w:rsidR="00DF3F7A" w:rsidRDefault="00DF3F7A" w:rsidP="0007701A">
      <w:pPr>
        <w:spacing w:after="0" w:line="312" w:lineRule="auto"/>
        <w:jc w:val="center"/>
        <w:rPr>
          <w:rFonts w:ascii="Arial" w:hAnsi="Arial" w:cs="Arial"/>
          <w:b/>
          <w:bCs/>
          <w:u w:val="single"/>
          <w:shd w:val="clear" w:color="auto" w:fill="FFFFFF"/>
        </w:rPr>
      </w:pPr>
    </w:p>
    <w:p w14:paraId="4D3B3346" w14:textId="1A251A63" w:rsidR="0032364E" w:rsidRDefault="00DF3F7A" w:rsidP="0007701A">
      <w:pPr>
        <w:spacing w:after="0" w:line="312" w:lineRule="auto"/>
        <w:jc w:val="center"/>
        <w:rPr>
          <w:rFonts w:ascii="Arial" w:hAnsi="Arial" w:cs="Arial"/>
          <w:b/>
          <w:bCs/>
          <w:u w:val="single"/>
          <w:shd w:val="clear" w:color="auto" w:fill="FFFFFF"/>
        </w:rPr>
      </w:pPr>
      <w:r>
        <w:rPr>
          <w:rFonts w:ascii="Arial" w:hAnsi="Arial" w:cs="Arial"/>
          <w:b/>
          <w:bCs/>
          <w:u w:val="single"/>
          <w:shd w:val="clear" w:color="auto" w:fill="FFFFFF"/>
        </w:rPr>
        <w:t xml:space="preserve">ACTUALIZACIÓN DE </w:t>
      </w:r>
      <w:r w:rsidR="0032364E" w:rsidRPr="009A3CB8">
        <w:rPr>
          <w:rFonts w:ascii="Arial" w:hAnsi="Arial" w:cs="Arial"/>
          <w:b/>
          <w:bCs/>
          <w:u w:val="single"/>
          <w:shd w:val="clear" w:color="auto" w:fill="FFFFFF"/>
        </w:rPr>
        <w:t xml:space="preserve">CALIFICACIÓN </w:t>
      </w:r>
      <w:r w:rsidR="00E06CB8" w:rsidRPr="009A3CB8">
        <w:rPr>
          <w:rFonts w:ascii="Arial" w:hAnsi="Arial" w:cs="Arial"/>
          <w:b/>
          <w:bCs/>
          <w:u w:val="single"/>
          <w:shd w:val="clear" w:color="auto" w:fill="FFFFFF"/>
        </w:rPr>
        <w:t xml:space="preserve">Y LIQUIDACIÓN </w:t>
      </w:r>
      <w:r w:rsidR="0032364E" w:rsidRPr="009A3CB8">
        <w:rPr>
          <w:rFonts w:ascii="Arial" w:hAnsi="Arial" w:cs="Arial"/>
          <w:b/>
          <w:bCs/>
          <w:u w:val="single"/>
          <w:shd w:val="clear" w:color="auto" w:fill="FFFFFF"/>
        </w:rPr>
        <w:t>DEL PROCESO</w:t>
      </w:r>
      <w:r w:rsidR="00861378">
        <w:rPr>
          <w:rFonts w:ascii="Arial" w:hAnsi="Arial" w:cs="Arial"/>
          <w:b/>
          <w:bCs/>
          <w:u w:val="single"/>
          <w:shd w:val="clear" w:color="auto" w:fill="FFFFFF"/>
        </w:rPr>
        <w:t xml:space="preserve"> POR LA ASEGURADORA SOLIDARIA DE COLOMBIA E.C.</w:t>
      </w:r>
    </w:p>
    <w:p w14:paraId="62102601" w14:textId="77777777" w:rsidR="00861378" w:rsidRPr="009A3CB8" w:rsidRDefault="00861378" w:rsidP="0007701A">
      <w:pPr>
        <w:spacing w:after="0" w:line="312" w:lineRule="auto"/>
        <w:jc w:val="center"/>
        <w:rPr>
          <w:rFonts w:ascii="Arial" w:hAnsi="Arial" w:cs="Arial"/>
          <w:b/>
          <w:bCs/>
          <w:u w:val="single"/>
          <w:shd w:val="clear" w:color="auto" w:fill="FFFFFF"/>
        </w:rPr>
      </w:pPr>
    </w:p>
    <w:p w14:paraId="732AF38C" w14:textId="77777777" w:rsidR="0032364E" w:rsidRPr="009A3CB8" w:rsidRDefault="0032364E" w:rsidP="0007701A">
      <w:pPr>
        <w:spacing w:after="0" w:line="312" w:lineRule="auto"/>
        <w:jc w:val="center"/>
        <w:rPr>
          <w:rFonts w:ascii="Arial" w:hAnsi="Arial" w:cs="Arial"/>
          <w:b/>
          <w:bCs/>
          <w:u w:val="single"/>
          <w:shd w:val="clear" w:color="auto" w:fill="FFFFFF"/>
        </w:rPr>
      </w:pPr>
    </w:p>
    <w:p w14:paraId="51CE2A02" w14:textId="77777777" w:rsidR="0032364E" w:rsidRPr="009A3CB8" w:rsidRDefault="0032364E" w:rsidP="0007701A">
      <w:pPr>
        <w:spacing w:after="0" w:line="312" w:lineRule="auto"/>
        <w:jc w:val="both"/>
        <w:rPr>
          <w:rFonts w:ascii="Arial" w:hAnsi="Arial" w:cs="Arial"/>
          <w:shd w:val="clear" w:color="auto" w:fill="FFFFFF"/>
        </w:rPr>
      </w:pPr>
      <w:r w:rsidRPr="009A3CB8">
        <w:rPr>
          <w:rFonts w:ascii="Arial" w:hAnsi="Arial" w:cs="Arial"/>
          <w:shd w:val="clear" w:color="auto" w:fill="FFFFFF"/>
        </w:rPr>
        <w:t>Respetuosamente remito la síntesis de la contingencia junto con la calificación del proceso de la referencia:</w:t>
      </w:r>
    </w:p>
    <w:p w14:paraId="47689ABB" w14:textId="77777777" w:rsidR="00B21235" w:rsidRPr="009A3CB8" w:rsidRDefault="00B21235" w:rsidP="0007701A">
      <w:pPr>
        <w:spacing w:after="0" w:line="312" w:lineRule="auto"/>
        <w:jc w:val="both"/>
        <w:rPr>
          <w:rFonts w:ascii="Arial" w:hAnsi="Arial" w:cs="Arial"/>
          <w:shd w:val="clear" w:color="auto" w:fill="FFFFFF"/>
        </w:rPr>
      </w:pPr>
    </w:p>
    <w:p w14:paraId="6D2E7B25" w14:textId="3806F0E2" w:rsidR="0032364E" w:rsidRPr="009A3CB8" w:rsidRDefault="00B21235" w:rsidP="0007701A">
      <w:pPr>
        <w:pStyle w:val="Prrafodelista"/>
        <w:numPr>
          <w:ilvl w:val="0"/>
          <w:numId w:val="5"/>
        </w:numPr>
        <w:spacing w:after="0" w:line="312" w:lineRule="auto"/>
        <w:ind w:left="284" w:hanging="283"/>
        <w:jc w:val="center"/>
        <w:rPr>
          <w:rFonts w:ascii="Arial" w:hAnsi="Arial" w:cs="Arial"/>
          <w:b/>
          <w:bCs/>
          <w:u w:val="single"/>
          <w:shd w:val="clear" w:color="auto" w:fill="FFFFFF"/>
        </w:rPr>
      </w:pPr>
      <w:r w:rsidRPr="009A3CB8">
        <w:rPr>
          <w:rFonts w:ascii="Arial" w:hAnsi="Arial" w:cs="Arial"/>
          <w:b/>
          <w:bCs/>
          <w:u w:val="single"/>
          <w:shd w:val="clear" w:color="auto" w:fill="FFFFFF"/>
        </w:rPr>
        <w:t>ANTECEDENTES DEL CASO</w:t>
      </w:r>
    </w:p>
    <w:p w14:paraId="3C7A38E2" w14:textId="77777777" w:rsidR="00B21235" w:rsidRPr="00E7728C" w:rsidRDefault="00B21235" w:rsidP="0007701A">
      <w:pPr>
        <w:pStyle w:val="Prrafodelista"/>
        <w:spacing w:after="0" w:line="312" w:lineRule="auto"/>
        <w:ind w:left="1080"/>
        <w:jc w:val="both"/>
        <w:rPr>
          <w:rFonts w:ascii="Arial" w:hAnsi="Arial" w:cs="Arial"/>
          <w:shd w:val="clear" w:color="auto" w:fill="FFFFFF"/>
        </w:rPr>
      </w:pPr>
    </w:p>
    <w:p w14:paraId="77BEE022" w14:textId="25DF19EA" w:rsidR="00857FED" w:rsidRPr="00E7728C" w:rsidRDefault="00857FED" w:rsidP="0007701A">
      <w:pPr>
        <w:spacing w:after="0" w:line="312" w:lineRule="auto"/>
        <w:jc w:val="both"/>
        <w:rPr>
          <w:rFonts w:ascii="Arial" w:hAnsi="Arial" w:cs="Arial"/>
          <w:b/>
          <w:bCs/>
          <w:lang w:val="es-ES"/>
        </w:rPr>
      </w:pPr>
      <w:r w:rsidRPr="00E7728C">
        <w:rPr>
          <w:rFonts w:ascii="Arial" w:hAnsi="Arial" w:cs="Arial"/>
          <w:b/>
          <w:bCs/>
          <w:lang w:val="es-ES"/>
        </w:rPr>
        <w:t xml:space="preserve">RADICADO: </w:t>
      </w:r>
      <w:r w:rsidR="00A65A42" w:rsidRPr="00A65A42">
        <w:rPr>
          <w:rFonts w:ascii="Arial" w:hAnsi="Arial" w:cs="Arial"/>
        </w:rPr>
        <w:t>11001-33-43-060-2022-00200-00</w:t>
      </w:r>
    </w:p>
    <w:p w14:paraId="2F9CBBAE" w14:textId="77777777" w:rsidR="00857FED" w:rsidRPr="00E7728C" w:rsidRDefault="00857FED" w:rsidP="0007701A">
      <w:pPr>
        <w:spacing w:after="0" w:line="312" w:lineRule="auto"/>
        <w:jc w:val="both"/>
        <w:rPr>
          <w:rFonts w:ascii="Arial" w:hAnsi="Arial" w:cs="Arial"/>
          <w:b/>
          <w:bCs/>
          <w:lang w:val="es-ES"/>
        </w:rPr>
      </w:pPr>
    </w:p>
    <w:p w14:paraId="05F1E63B" w14:textId="67032F72" w:rsidR="0018111C" w:rsidRPr="004F6109" w:rsidRDefault="004B0B9A" w:rsidP="00AD4A4A">
      <w:pPr>
        <w:spacing w:after="0" w:line="312" w:lineRule="auto"/>
        <w:jc w:val="both"/>
        <w:rPr>
          <w:rFonts w:ascii="Arial" w:hAnsi="Arial" w:cs="Arial"/>
          <w:b/>
          <w:bCs/>
          <w:lang w:val="es-ES"/>
        </w:rPr>
      </w:pPr>
      <w:r w:rsidRPr="0018111C">
        <w:rPr>
          <w:rFonts w:ascii="Arial" w:hAnsi="Arial" w:cs="Arial"/>
          <w:b/>
          <w:bCs/>
          <w:lang w:val="es-ES"/>
        </w:rPr>
        <w:t xml:space="preserve">DESPACHO: </w:t>
      </w:r>
      <w:r w:rsidRPr="0018111C">
        <w:rPr>
          <w:rFonts w:ascii="Arial" w:hAnsi="Arial" w:cs="Arial"/>
          <w:lang w:val="es-ES"/>
        </w:rPr>
        <w:t>Juzgado (</w:t>
      </w:r>
      <w:r w:rsidR="002B0482">
        <w:rPr>
          <w:rFonts w:ascii="Arial" w:hAnsi="Arial" w:cs="Arial"/>
          <w:lang w:val="es-ES"/>
        </w:rPr>
        <w:t>60</w:t>
      </w:r>
      <w:r w:rsidRPr="0018111C">
        <w:rPr>
          <w:rFonts w:ascii="Arial" w:hAnsi="Arial" w:cs="Arial"/>
          <w:lang w:val="es-ES"/>
        </w:rPr>
        <w:t xml:space="preserve">°) </w:t>
      </w:r>
      <w:r w:rsidR="002B0482">
        <w:rPr>
          <w:rFonts w:ascii="Arial" w:hAnsi="Arial" w:cs="Arial"/>
          <w:lang w:val="es-ES"/>
        </w:rPr>
        <w:t>Sesenta</w:t>
      </w:r>
      <w:r w:rsidRPr="0018111C">
        <w:rPr>
          <w:rFonts w:ascii="Arial" w:hAnsi="Arial" w:cs="Arial"/>
          <w:lang w:val="es-ES"/>
        </w:rPr>
        <w:t xml:space="preserve"> Administrativo del Circuito de </w:t>
      </w:r>
      <w:r w:rsidR="002B0482">
        <w:rPr>
          <w:rFonts w:ascii="Arial" w:hAnsi="Arial" w:cs="Arial"/>
          <w:lang w:val="es-ES"/>
        </w:rPr>
        <w:t>Bogotá D.C.</w:t>
      </w:r>
    </w:p>
    <w:p w14:paraId="5910ECF4" w14:textId="2C1A231A" w:rsidR="004B0B9A" w:rsidRPr="004F6109" w:rsidRDefault="004B0B9A" w:rsidP="0007701A">
      <w:pPr>
        <w:spacing w:after="0" w:line="312" w:lineRule="auto"/>
        <w:jc w:val="both"/>
        <w:rPr>
          <w:rFonts w:ascii="Arial" w:hAnsi="Arial" w:cs="Arial"/>
          <w:b/>
          <w:bCs/>
          <w:lang w:val="es-ES"/>
        </w:rPr>
      </w:pPr>
    </w:p>
    <w:p w14:paraId="1EB3A1E3" w14:textId="2A9C3C45" w:rsidR="008B1A85" w:rsidRPr="00E7728C" w:rsidRDefault="0032364E" w:rsidP="0007701A">
      <w:pPr>
        <w:spacing w:after="0" w:line="312" w:lineRule="auto"/>
        <w:jc w:val="both"/>
        <w:rPr>
          <w:rFonts w:ascii="Arial" w:hAnsi="Arial" w:cs="Arial"/>
          <w:b/>
          <w:bCs/>
          <w:lang w:val="es-ES"/>
        </w:rPr>
      </w:pPr>
      <w:r w:rsidRPr="00E7728C">
        <w:rPr>
          <w:rFonts w:ascii="Arial" w:hAnsi="Arial" w:cs="Arial"/>
          <w:b/>
          <w:bCs/>
          <w:lang w:val="es-ES"/>
        </w:rPr>
        <w:t xml:space="preserve">DEMANDANTES: </w:t>
      </w:r>
      <w:r w:rsidR="00091330" w:rsidRPr="00091330">
        <w:rPr>
          <w:rFonts w:ascii="Arial" w:hAnsi="Arial" w:cs="Arial"/>
          <w:lang w:val="es-ES"/>
        </w:rPr>
        <w:t>GYG CONSTRUCTORES S.A.S.</w:t>
      </w:r>
      <w:r w:rsidR="00091330">
        <w:rPr>
          <w:rFonts w:ascii="Arial" w:hAnsi="Arial" w:cs="Arial"/>
          <w:lang w:val="es-ES"/>
        </w:rPr>
        <w:t xml:space="preserve"> </w:t>
      </w:r>
    </w:p>
    <w:p w14:paraId="12A07193" w14:textId="77777777" w:rsidR="007967DF" w:rsidRPr="009A3CB8" w:rsidRDefault="007967DF" w:rsidP="0007701A">
      <w:pPr>
        <w:spacing w:after="0" w:line="312" w:lineRule="auto"/>
        <w:jc w:val="both"/>
        <w:rPr>
          <w:rFonts w:ascii="Arial" w:hAnsi="Arial" w:cs="Arial"/>
          <w:spacing w:val="2"/>
          <w:shd w:val="clear" w:color="auto" w:fill="FFFFFF"/>
        </w:rPr>
      </w:pPr>
    </w:p>
    <w:p w14:paraId="57FD5EE7" w14:textId="4F0D5A84" w:rsidR="0032364E" w:rsidRPr="009A3CB8" w:rsidRDefault="0032364E" w:rsidP="0007701A">
      <w:pPr>
        <w:spacing w:after="0" w:line="312" w:lineRule="auto"/>
        <w:jc w:val="both"/>
        <w:rPr>
          <w:rFonts w:ascii="Arial" w:hAnsi="Arial" w:cs="Arial"/>
          <w:b/>
          <w:bCs/>
          <w:lang w:val="es-ES"/>
        </w:rPr>
      </w:pPr>
      <w:r w:rsidRPr="009A3CB8">
        <w:rPr>
          <w:rFonts w:ascii="Arial" w:hAnsi="Arial" w:cs="Arial"/>
          <w:b/>
          <w:bCs/>
          <w:lang w:val="es-ES"/>
        </w:rPr>
        <w:t xml:space="preserve">DEMANDADOS: </w:t>
      </w:r>
      <w:r w:rsidR="00DF47CC" w:rsidRPr="00DF47CC">
        <w:rPr>
          <w:rFonts w:ascii="Arial" w:hAnsi="Arial" w:cs="Arial"/>
          <w:lang w:val="es-ES"/>
        </w:rPr>
        <w:t>ALCALDÍA MAYOR DE BOGOTÁ DISTRITO CAPITAL</w:t>
      </w:r>
      <w:r w:rsidR="00DF47CC">
        <w:rPr>
          <w:rFonts w:ascii="Arial" w:hAnsi="Arial" w:cs="Arial"/>
          <w:b/>
          <w:bCs/>
          <w:lang w:val="es-ES"/>
        </w:rPr>
        <w:t xml:space="preserve"> </w:t>
      </w:r>
    </w:p>
    <w:p w14:paraId="740E55AB" w14:textId="77777777" w:rsidR="00472DAF" w:rsidRPr="009A3CB8" w:rsidRDefault="00472DAF" w:rsidP="0007701A">
      <w:pPr>
        <w:spacing w:after="0" w:line="312" w:lineRule="auto"/>
        <w:jc w:val="both"/>
        <w:rPr>
          <w:rFonts w:ascii="Arial" w:hAnsi="Arial" w:cs="Arial"/>
          <w:b/>
          <w:bCs/>
          <w:lang w:val="es-ES"/>
        </w:rPr>
      </w:pPr>
    </w:p>
    <w:p w14:paraId="1FBC2298" w14:textId="77777777" w:rsidR="009C6DBB" w:rsidRPr="00E7728C" w:rsidRDefault="00CF6886" w:rsidP="009C6DBB">
      <w:pPr>
        <w:spacing w:after="0" w:line="312" w:lineRule="auto"/>
        <w:jc w:val="both"/>
        <w:rPr>
          <w:rFonts w:ascii="Arial" w:hAnsi="Arial" w:cs="Arial"/>
          <w:b/>
          <w:bCs/>
          <w:lang w:val="es-ES"/>
        </w:rPr>
      </w:pPr>
      <w:r>
        <w:rPr>
          <w:rFonts w:ascii="Arial" w:hAnsi="Arial" w:cs="Arial"/>
          <w:b/>
          <w:bCs/>
          <w:lang w:val="es-ES"/>
        </w:rPr>
        <w:t>LITISCONSORTE NECESARIO</w:t>
      </w:r>
      <w:r w:rsidR="0032364E" w:rsidRPr="009A3CB8">
        <w:rPr>
          <w:rFonts w:ascii="Arial" w:hAnsi="Arial" w:cs="Arial"/>
          <w:b/>
          <w:bCs/>
          <w:lang w:val="es-ES"/>
        </w:rPr>
        <w:t>:</w:t>
      </w:r>
      <w:r>
        <w:rPr>
          <w:rFonts w:ascii="Arial" w:hAnsi="Arial" w:cs="Arial"/>
          <w:b/>
          <w:bCs/>
          <w:lang w:val="es-ES"/>
        </w:rPr>
        <w:t xml:space="preserve"> </w:t>
      </w:r>
      <w:r w:rsidR="009C6DBB">
        <w:rPr>
          <w:rFonts w:ascii="Arial" w:hAnsi="Arial" w:cs="Arial"/>
        </w:rPr>
        <w:t>ASEGURADORA SOLIDARIA DE COLOMBIA E.C.</w:t>
      </w:r>
    </w:p>
    <w:p w14:paraId="2381C7EA" w14:textId="77777777" w:rsidR="00C12573" w:rsidRDefault="00C12573" w:rsidP="0007701A">
      <w:pPr>
        <w:spacing w:after="0" w:line="312" w:lineRule="auto"/>
        <w:jc w:val="both"/>
        <w:rPr>
          <w:rFonts w:ascii="Arial" w:hAnsi="Arial" w:cs="Arial"/>
          <w:b/>
          <w:bCs/>
          <w:lang w:val="es-ES"/>
        </w:rPr>
      </w:pPr>
    </w:p>
    <w:p w14:paraId="57B97167" w14:textId="0DE10E4E" w:rsidR="0032364E" w:rsidRDefault="00BF57B9" w:rsidP="0007701A">
      <w:pPr>
        <w:spacing w:after="0" w:line="312" w:lineRule="auto"/>
        <w:jc w:val="both"/>
        <w:rPr>
          <w:rFonts w:ascii="Arial" w:hAnsi="Arial" w:cs="Arial"/>
          <w:lang w:val="es-ES"/>
        </w:rPr>
      </w:pPr>
      <w:r w:rsidRPr="009A3CB8">
        <w:rPr>
          <w:rFonts w:ascii="Arial" w:hAnsi="Arial" w:cs="Arial"/>
          <w:b/>
          <w:bCs/>
          <w:lang w:val="es-ES"/>
        </w:rPr>
        <w:t>PÓLIZA</w:t>
      </w:r>
      <w:r w:rsidR="009E2D5D" w:rsidRPr="009A3CB8">
        <w:rPr>
          <w:rFonts w:ascii="Arial" w:hAnsi="Arial" w:cs="Arial"/>
          <w:b/>
          <w:bCs/>
          <w:lang w:val="es-ES"/>
        </w:rPr>
        <w:t>S</w:t>
      </w:r>
      <w:r w:rsidRPr="009A3CB8">
        <w:rPr>
          <w:rFonts w:ascii="Arial" w:hAnsi="Arial" w:cs="Arial"/>
          <w:b/>
          <w:bCs/>
          <w:lang w:val="es-ES"/>
        </w:rPr>
        <w:t xml:space="preserve"> VINCULADA</w:t>
      </w:r>
      <w:r w:rsidR="009E2D5D" w:rsidRPr="009A3CB8">
        <w:rPr>
          <w:rFonts w:ascii="Arial" w:hAnsi="Arial" w:cs="Arial"/>
          <w:b/>
          <w:bCs/>
          <w:lang w:val="es-ES"/>
        </w:rPr>
        <w:t>S</w:t>
      </w:r>
      <w:r w:rsidR="0032364E" w:rsidRPr="009A3CB8">
        <w:rPr>
          <w:rFonts w:ascii="Arial" w:hAnsi="Arial" w:cs="Arial"/>
          <w:b/>
          <w:bCs/>
          <w:lang w:val="es-ES"/>
        </w:rPr>
        <w:t>:</w:t>
      </w:r>
      <w:r w:rsidRPr="009A3CB8">
        <w:rPr>
          <w:rFonts w:ascii="Arial" w:hAnsi="Arial" w:cs="Arial"/>
          <w:b/>
          <w:bCs/>
          <w:lang w:val="es-ES"/>
        </w:rPr>
        <w:t xml:space="preserve"> </w:t>
      </w:r>
      <w:r w:rsidR="0005032E" w:rsidRPr="009A3CB8">
        <w:rPr>
          <w:rFonts w:ascii="Arial" w:hAnsi="Arial" w:cs="Arial"/>
          <w:lang w:val="es-ES"/>
        </w:rPr>
        <w:t>Se vincul</w:t>
      </w:r>
      <w:r w:rsidR="00252534" w:rsidRPr="009A3CB8">
        <w:rPr>
          <w:rFonts w:ascii="Arial" w:hAnsi="Arial" w:cs="Arial"/>
          <w:lang w:val="es-ES"/>
        </w:rPr>
        <w:t>ó</w:t>
      </w:r>
      <w:r w:rsidR="0005032E" w:rsidRPr="009A3CB8">
        <w:rPr>
          <w:rFonts w:ascii="Arial" w:hAnsi="Arial" w:cs="Arial"/>
          <w:lang w:val="es-ES"/>
        </w:rPr>
        <w:t xml:space="preserve"> </w:t>
      </w:r>
      <w:r w:rsidR="00CF6886">
        <w:rPr>
          <w:rFonts w:ascii="Arial" w:hAnsi="Arial" w:cs="Arial"/>
          <w:lang w:val="es-ES"/>
        </w:rPr>
        <w:t>un</w:t>
      </w:r>
      <w:r w:rsidR="00CE2E81">
        <w:rPr>
          <w:rFonts w:ascii="Arial" w:hAnsi="Arial" w:cs="Arial"/>
          <w:lang w:val="es-ES"/>
        </w:rPr>
        <w:t xml:space="preserve"> </w:t>
      </w:r>
      <w:r w:rsidR="0005032E" w:rsidRPr="009A3CB8">
        <w:rPr>
          <w:rFonts w:ascii="Arial" w:hAnsi="Arial" w:cs="Arial"/>
          <w:lang w:val="es-ES"/>
        </w:rPr>
        <w:t>(</w:t>
      </w:r>
      <w:r w:rsidR="00CF6886">
        <w:rPr>
          <w:rFonts w:ascii="Arial" w:hAnsi="Arial" w:cs="Arial"/>
          <w:lang w:val="es-ES"/>
        </w:rPr>
        <w:t>1</w:t>
      </w:r>
      <w:r w:rsidR="0005032E" w:rsidRPr="009A3CB8">
        <w:rPr>
          <w:rFonts w:ascii="Arial" w:hAnsi="Arial" w:cs="Arial"/>
          <w:lang w:val="es-ES"/>
        </w:rPr>
        <w:t>) contrato de seguro materializado en:</w:t>
      </w:r>
    </w:p>
    <w:p w14:paraId="2061F13A" w14:textId="77777777" w:rsidR="00C12573" w:rsidRDefault="00C12573" w:rsidP="0007701A">
      <w:pPr>
        <w:spacing w:after="0" w:line="312" w:lineRule="auto"/>
        <w:jc w:val="both"/>
        <w:rPr>
          <w:rFonts w:ascii="Arial" w:hAnsi="Arial" w:cs="Arial"/>
          <w:lang w:val="es-ES"/>
        </w:rPr>
      </w:pPr>
    </w:p>
    <w:p w14:paraId="458DC426" w14:textId="5466124B" w:rsidR="00427B79" w:rsidRPr="00AD5D0C" w:rsidRDefault="00427B79" w:rsidP="00AD5D0C">
      <w:pPr>
        <w:pStyle w:val="Prrafodelista"/>
        <w:numPr>
          <w:ilvl w:val="0"/>
          <w:numId w:val="24"/>
        </w:numPr>
        <w:spacing w:after="0" w:line="312" w:lineRule="auto"/>
        <w:ind w:left="284" w:hanging="284"/>
        <w:jc w:val="both"/>
        <w:rPr>
          <w:rFonts w:ascii="Arial" w:hAnsi="Arial" w:cs="Arial"/>
          <w:lang w:val="es-ES"/>
        </w:rPr>
      </w:pPr>
      <w:r w:rsidRPr="00AD5D0C">
        <w:rPr>
          <w:rFonts w:ascii="Arial" w:hAnsi="Arial" w:cs="Arial"/>
        </w:rPr>
        <w:t xml:space="preserve">Póliza </w:t>
      </w:r>
      <w:r w:rsidR="00124352" w:rsidRPr="00AD5D0C">
        <w:rPr>
          <w:rFonts w:ascii="Arial" w:hAnsi="Arial" w:cs="Arial"/>
        </w:rPr>
        <w:t xml:space="preserve">de </w:t>
      </w:r>
      <w:r w:rsidR="00AA14F5">
        <w:rPr>
          <w:rFonts w:ascii="Arial" w:hAnsi="Arial" w:cs="Arial"/>
        </w:rPr>
        <w:t>Garantía Única de Cumplimiento en Favor de Entidades Estatales No. 305-47-994000012009</w:t>
      </w:r>
    </w:p>
    <w:p w14:paraId="77158165" w14:textId="77777777" w:rsidR="00427B79" w:rsidRDefault="00427B79" w:rsidP="0007701A">
      <w:pPr>
        <w:spacing w:after="0" w:line="312" w:lineRule="auto"/>
        <w:jc w:val="both"/>
        <w:rPr>
          <w:rFonts w:ascii="Arial" w:hAnsi="Arial" w:cs="Arial"/>
          <w:lang w:val="es-ES"/>
        </w:rPr>
      </w:pPr>
    </w:p>
    <w:p w14:paraId="2BCB7FED" w14:textId="61341114" w:rsidR="00C12573" w:rsidRPr="009A3CB8" w:rsidRDefault="00C12573" w:rsidP="0007701A">
      <w:pPr>
        <w:spacing w:after="0" w:line="312" w:lineRule="auto"/>
        <w:jc w:val="both"/>
        <w:rPr>
          <w:rFonts w:ascii="Arial" w:hAnsi="Arial" w:cs="Arial"/>
          <w:b/>
          <w:bCs/>
          <w:lang w:val="es-ES"/>
        </w:rPr>
      </w:pPr>
      <w:r>
        <w:rPr>
          <w:rFonts w:ascii="Arial" w:hAnsi="Arial" w:cs="Arial"/>
          <w:b/>
          <w:bCs/>
          <w:lang w:val="es-ES"/>
        </w:rPr>
        <w:t xml:space="preserve">ASEGURADO: </w:t>
      </w:r>
      <w:r w:rsidR="00AA14F5" w:rsidRPr="00091330">
        <w:rPr>
          <w:rFonts w:ascii="Arial" w:hAnsi="Arial" w:cs="Arial"/>
          <w:lang w:val="es-ES"/>
        </w:rPr>
        <w:t>GYG CONSTRUCTORES S.A.S.</w:t>
      </w:r>
    </w:p>
    <w:p w14:paraId="28EFB2B8" w14:textId="1B587767" w:rsidR="0000490B" w:rsidRPr="009A3CB8" w:rsidRDefault="0000490B" w:rsidP="0007701A">
      <w:pPr>
        <w:spacing w:after="0" w:line="312" w:lineRule="auto"/>
        <w:jc w:val="both"/>
        <w:rPr>
          <w:rFonts w:ascii="Arial" w:hAnsi="Arial" w:cs="Arial"/>
          <w:lang w:val="es-ES"/>
        </w:rPr>
      </w:pPr>
    </w:p>
    <w:p w14:paraId="6816D662" w14:textId="7BC5F5D6" w:rsidR="00665320" w:rsidRDefault="0032364E" w:rsidP="0007701A">
      <w:pPr>
        <w:spacing w:after="0" w:line="312" w:lineRule="auto"/>
        <w:jc w:val="both"/>
        <w:rPr>
          <w:rFonts w:ascii="Arial" w:hAnsi="Arial" w:cs="Arial"/>
        </w:rPr>
      </w:pPr>
      <w:r w:rsidRPr="009A3CB8">
        <w:rPr>
          <w:rFonts w:ascii="Arial" w:hAnsi="Arial" w:cs="Arial"/>
          <w:b/>
          <w:bCs/>
          <w:lang w:val="es-ES"/>
        </w:rPr>
        <w:t xml:space="preserve">FECHA DE LOS HECHOS: </w:t>
      </w:r>
      <w:r w:rsidR="00F145E6" w:rsidRPr="00F145E6">
        <w:rPr>
          <w:rFonts w:ascii="Arial" w:hAnsi="Arial" w:cs="Arial"/>
          <w:lang w:val="es-ES"/>
        </w:rPr>
        <w:t>11 de diciembre de 2020</w:t>
      </w:r>
    </w:p>
    <w:p w14:paraId="57292F5A" w14:textId="77777777" w:rsidR="00665320" w:rsidRDefault="00665320" w:rsidP="0007701A">
      <w:pPr>
        <w:spacing w:after="0" w:line="312" w:lineRule="auto"/>
        <w:jc w:val="both"/>
        <w:rPr>
          <w:rFonts w:ascii="Arial" w:hAnsi="Arial" w:cs="Arial"/>
        </w:rPr>
      </w:pPr>
    </w:p>
    <w:p w14:paraId="4B1F1A50" w14:textId="4549BCA7" w:rsidR="006B6DCA" w:rsidRPr="004D6F5B" w:rsidRDefault="0032364E" w:rsidP="00F10A5F">
      <w:pPr>
        <w:spacing w:after="0" w:line="312" w:lineRule="auto"/>
        <w:jc w:val="both"/>
        <w:rPr>
          <w:rFonts w:ascii="Arial" w:hAnsi="Arial" w:cs="Arial"/>
        </w:rPr>
      </w:pPr>
      <w:r w:rsidRPr="009A3CB8">
        <w:rPr>
          <w:rFonts w:ascii="Arial" w:hAnsi="Arial" w:cs="Arial"/>
          <w:b/>
          <w:bCs/>
          <w:lang w:val="es-ES"/>
        </w:rPr>
        <w:t>HECHOS</w:t>
      </w:r>
      <w:r w:rsidR="001D2F7C">
        <w:rPr>
          <w:rFonts w:ascii="Arial" w:hAnsi="Arial" w:cs="Arial"/>
          <w:b/>
          <w:bCs/>
          <w:lang w:val="es-ES"/>
        </w:rPr>
        <w:t xml:space="preserve">: </w:t>
      </w:r>
      <w:r w:rsidR="004D6F5B" w:rsidRPr="004D6F5B">
        <w:rPr>
          <w:rFonts w:ascii="Arial" w:hAnsi="Arial" w:cs="Arial"/>
        </w:rPr>
        <w:t xml:space="preserve">De conformidad con los hechos de la demanda la secretaria general de la Alcaldía Mayor de Bogotá D.C., suscribió el día 21 de diciembre de 2017 el Contrato de Consultoría No. 4220000-857-2017 con la firma GYG CONSTRUCCIONES S.A.S, cuyo objeto consistía en </w:t>
      </w:r>
      <w:r w:rsidR="004D6F5B">
        <w:rPr>
          <w:rFonts w:ascii="Arial" w:hAnsi="Arial" w:cs="Arial"/>
        </w:rPr>
        <w:t>r</w:t>
      </w:r>
      <w:r w:rsidR="004D6F5B" w:rsidRPr="004D6F5B">
        <w:rPr>
          <w:rFonts w:ascii="Arial" w:hAnsi="Arial" w:cs="Arial"/>
        </w:rPr>
        <w:t>ealizar la gerencia técnica para el desarrollo de los estudios y diseños de ingeniería del proyecto de la Secretaria General de la Alcaldía Mayor de Bogotá D.C. SUPERCADE Manitas, en ciudad Bolívar, por un valor de 570.724.475, por lo que se suscribió Póliza de Garantía Única de Cumplimiento No. 305-47-994000012009. La parte actora manifestó que dicho contrato conto con múltiples modificaciones, adiciones y prorrogas, sin embargo, el 22 de febrero de 2020 la SECRETARIA GENERAL DE LA ALCALDIA MAYOR DE BOGOTA envió notificación por aviso del auto No. 001 del 09 de octubre de 2019 “por medio de la cual se inicia un procedimiento administrativo de eventual declaratoria de la ocurrencia del siniestro de calidad de los servicios suministrados y se toman otras determinaciones”, ante lo cual se indicó que múltiples partes desconocieron el debido proceso al haber proferido un acto administrativo sancionatorio sin garantizar la concurrencia de los que se verían afectados con la decisión, para que presentaran descargos, solicitarán y/o controvirtieran pruebas, rindieran alegatos de conclusión, y en general ejercieran su derecho de defensa.</w:t>
      </w:r>
    </w:p>
    <w:p w14:paraId="2FD48545" w14:textId="77777777" w:rsidR="001D2F7C" w:rsidRPr="001D2F7C" w:rsidRDefault="001D2F7C" w:rsidP="0007701A">
      <w:pPr>
        <w:spacing w:after="0" w:line="312" w:lineRule="auto"/>
        <w:jc w:val="both"/>
        <w:rPr>
          <w:rFonts w:ascii="Arial" w:hAnsi="Arial" w:cs="Arial"/>
          <w:color w:val="5A6573"/>
          <w:spacing w:val="2"/>
          <w:shd w:val="clear" w:color="auto" w:fill="FFFFFF"/>
        </w:rPr>
      </w:pPr>
    </w:p>
    <w:p w14:paraId="77EF7F6A" w14:textId="0AA561B9" w:rsidR="00500CF5" w:rsidRDefault="0032364E" w:rsidP="0007701A">
      <w:pPr>
        <w:spacing w:after="0" w:line="312" w:lineRule="auto"/>
        <w:jc w:val="both"/>
        <w:rPr>
          <w:rFonts w:ascii="Arial" w:hAnsi="Arial" w:cs="Arial"/>
          <w:spacing w:val="2"/>
          <w:shd w:val="clear" w:color="auto" w:fill="FFFFFF"/>
        </w:rPr>
      </w:pPr>
      <w:r w:rsidRPr="009A3CB8">
        <w:rPr>
          <w:rFonts w:ascii="Arial" w:hAnsi="Arial" w:cs="Arial"/>
          <w:b/>
          <w:bCs/>
          <w:lang w:val="es-ES"/>
        </w:rPr>
        <w:t>PRETENSIONES:</w:t>
      </w:r>
      <w:r w:rsidRPr="009A3CB8">
        <w:rPr>
          <w:rFonts w:ascii="Arial" w:hAnsi="Arial" w:cs="Arial"/>
          <w:lang w:val="es-ES"/>
        </w:rPr>
        <w:t xml:space="preserve"> </w:t>
      </w:r>
      <w:r w:rsidR="00500CF5" w:rsidRPr="009A3CB8">
        <w:rPr>
          <w:rFonts w:ascii="Arial" w:hAnsi="Arial" w:cs="Arial"/>
          <w:spacing w:val="2"/>
          <w:shd w:val="clear" w:color="auto" w:fill="FFFFFF"/>
        </w:rPr>
        <w:t xml:space="preserve">Las pretensiones de la demanda van encaminadas a obtener </w:t>
      </w:r>
      <w:r w:rsidR="004051C2">
        <w:rPr>
          <w:rFonts w:ascii="Arial" w:hAnsi="Arial" w:cs="Arial"/>
          <w:spacing w:val="2"/>
          <w:shd w:val="clear" w:color="auto" w:fill="FFFFFF"/>
        </w:rPr>
        <w:t xml:space="preserve">la nulidad de los actos administrativos </w:t>
      </w:r>
    </w:p>
    <w:p w14:paraId="4AB962BD" w14:textId="77777777" w:rsidR="004051C2" w:rsidRDefault="004051C2" w:rsidP="0007701A">
      <w:pPr>
        <w:spacing w:after="0" w:line="312" w:lineRule="auto"/>
        <w:jc w:val="both"/>
        <w:rPr>
          <w:rFonts w:ascii="Arial" w:hAnsi="Arial" w:cs="Arial"/>
          <w:spacing w:val="2"/>
          <w:shd w:val="clear" w:color="auto" w:fill="FFFFFF"/>
        </w:rPr>
      </w:pPr>
    </w:p>
    <w:p w14:paraId="3F1F99AA" w14:textId="77777777" w:rsidR="00571650" w:rsidRPr="0075046B" w:rsidRDefault="00571650" w:rsidP="0075046B">
      <w:pPr>
        <w:pStyle w:val="Prrafodelista"/>
        <w:numPr>
          <w:ilvl w:val="0"/>
          <w:numId w:val="26"/>
        </w:numPr>
        <w:spacing w:after="0" w:line="312" w:lineRule="auto"/>
        <w:ind w:left="284" w:hanging="284"/>
        <w:jc w:val="both"/>
        <w:rPr>
          <w:rFonts w:ascii="Arial" w:hAnsi="Arial" w:cs="Arial"/>
          <w:spacing w:val="2"/>
          <w:shd w:val="clear" w:color="auto" w:fill="FFFFFF"/>
        </w:rPr>
      </w:pPr>
      <w:r w:rsidRPr="0075046B">
        <w:rPr>
          <w:rFonts w:ascii="Arial" w:hAnsi="Arial" w:cs="Arial"/>
          <w:spacing w:val="2"/>
          <w:shd w:val="clear" w:color="auto" w:fill="FFFFFF"/>
        </w:rPr>
        <w:t xml:space="preserve">Resolución No. 372 del 19 de junio de 2020, por medio de la cual se declaró a ocurrencia del siniestro por el riesgo de calidad del servicio </w:t>
      </w:r>
    </w:p>
    <w:p w14:paraId="3E877706" w14:textId="77777777" w:rsidR="004051C2" w:rsidRDefault="004051C2" w:rsidP="0075046B">
      <w:pPr>
        <w:spacing w:after="0" w:line="312" w:lineRule="auto"/>
        <w:ind w:left="284" w:hanging="284"/>
        <w:jc w:val="both"/>
        <w:rPr>
          <w:rFonts w:ascii="Arial" w:hAnsi="Arial" w:cs="Arial"/>
          <w:spacing w:val="2"/>
          <w:shd w:val="clear" w:color="auto" w:fill="FFFFFF"/>
        </w:rPr>
      </w:pPr>
    </w:p>
    <w:p w14:paraId="5B995646" w14:textId="1D9278D6" w:rsidR="00571650" w:rsidRPr="0075046B" w:rsidRDefault="00571650" w:rsidP="0075046B">
      <w:pPr>
        <w:pStyle w:val="Prrafodelista"/>
        <w:numPr>
          <w:ilvl w:val="0"/>
          <w:numId w:val="26"/>
        </w:numPr>
        <w:spacing w:after="0" w:line="312" w:lineRule="auto"/>
        <w:ind w:left="284" w:hanging="284"/>
        <w:jc w:val="both"/>
        <w:rPr>
          <w:rFonts w:ascii="Arial" w:hAnsi="Arial" w:cs="Arial"/>
          <w:spacing w:val="2"/>
          <w:shd w:val="clear" w:color="auto" w:fill="FFFFFF"/>
        </w:rPr>
      </w:pPr>
      <w:r w:rsidRPr="0075046B">
        <w:rPr>
          <w:rFonts w:ascii="Arial" w:hAnsi="Arial" w:cs="Arial"/>
          <w:spacing w:val="2"/>
          <w:shd w:val="clear" w:color="auto" w:fill="FFFFFF"/>
        </w:rPr>
        <w:t xml:space="preserve">Resolución No. 002 del 11 de diciembre de 2020, por medio de la cual se resuelve recurso de reposición interpuesto por la Aseguradora Solidaria de Colombia Entidad Cooperativa en contra de la Resolución No. 372 del 19 de junio de 2020, confirmando en todas y cada una de sus partes el acto administrativo recurrido </w:t>
      </w:r>
    </w:p>
    <w:p w14:paraId="3C2E664E" w14:textId="77777777" w:rsidR="00571650" w:rsidRDefault="00571650" w:rsidP="0007701A">
      <w:pPr>
        <w:spacing w:after="0" w:line="312" w:lineRule="auto"/>
        <w:jc w:val="both"/>
        <w:rPr>
          <w:rFonts w:ascii="Arial" w:hAnsi="Arial" w:cs="Arial"/>
          <w:spacing w:val="2"/>
          <w:shd w:val="clear" w:color="auto" w:fill="FFFFFF"/>
        </w:rPr>
      </w:pPr>
    </w:p>
    <w:p w14:paraId="36D33C01" w14:textId="11E5B15B" w:rsidR="0075046B" w:rsidRDefault="0075046B" w:rsidP="0007701A">
      <w:pPr>
        <w:spacing w:after="0" w:line="312" w:lineRule="auto"/>
        <w:jc w:val="both"/>
        <w:rPr>
          <w:rFonts w:ascii="Arial" w:hAnsi="Arial" w:cs="Arial"/>
          <w:spacing w:val="2"/>
          <w:shd w:val="clear" w:color="auto" w:fill="FFFFFF"/>
        </w:rPr>
      </w:pPr>
      <w:r>
        <w:rPr>
          <w:rFonts w:ascii="Arial" w:hAnsi="Arial" w:cs="Arial"/>
          <w:spacing w:val="2"/>
          <w:shd w:val="clear" w:color="auto" w:fill="FFFFFF"/>
        </w:rPr>
        <w:t>Y a título de restablecimiento del derecho:</w:t>
      </w:r>
      <w:r w:rsidR="00707281">
        <w:rPr>
          <w:rFonts w:ascii="Arial" w:hAnsi="Arial" w:cs="Arial"/>
          <w:spacing w:val="2"/>
          <w:shd w:val="clear" w:color="auto" w:fill="FFFFFF"/>
        </w:rPr>
        <w:t xml:space="preserve"> </w:t>
      </w:r>
      <w:r w:rsidR="00C23F14" w:rsidRPr="00C23F14">
        <w:rPr>
          <w:rFonts w:ascii="Arial" w:hAnsi="Arial" w:cs="Arial"/>
          <w:spacing w:val="2"/>
          <w:shd w:val="clear" w:color="auto" w:fill="FFFFFF"/>
        </w:rPr>
        <w:t>La suspensión de toda actuación administrativa, coactiva o judicial derivada de los Actos Administrativos aquí impugnados</w:t>
      </w:r>
      <w:r w:rsidR="00707281">
        <w:rPr>
          <w:rFonts w:ascii="Arial" w:hAnsi="Arial" w:cs="Arial"/>
          <w:spacing w:val="2"/>
          <w:shd w:val="clear" w:color="auto" w:fill="FFFFFF"/>
        </w:rPr>
        <w:t xml:space="preserve">, </w:t>
      </w:r>
      <w:r w:rsidR="00190799">
        <w:rPr>
          <w:rFonts w:ascii="Arial" w:hAnsi="Arial" w:cs="Arial"/>
          <w:spacing w:val="2"/>
          <w:shd w:val="clear" w:color="auto" w:fill="FFFFFF"/>
        </w:rPr>
        <w:t xml:space="preserve">la nulidad de los actos administrativos por el desconocimiento del derecho de defensa y audiencia, </w:t>
      </w:r>
      <w:r w:rsidR="008E7D73">
        <w:rPr>
          <w:rFonts w:ascii="Arial" w:hAnsi="Arial" w:cs="Arial"/>
          <w:spacing w:val="2"/>
          <w:shd w:val="clear" w:color="auto" w:fill="FFFFFF"/>
        </w:rPr>
        <w:t>falsa motivación y demás.</w:t>
      </w:r>
    </w:p>
    <w:p w14:paraId="3255CEC5" w14:textId="77777777" w:rsidR="00DD00C5" w:rsidRDefault="00DD00C5" w:rsidP="0007701A">
      <w:pPr>
        <w:spacing w:after="0" w:line="312" w:lineRule="auto"/>
        <w:jc w:val="both"/>
        <w:rPr>
          <w:rFonts w:ascii="Arial" w:hAnsi="Arial" w:cs="Arial"/>
          <w:spacing w:val="2"/>
          <w:shd w:val="clear" w:color="auto" w:fill="FFFFFF"/>
        </w:rPr>
      </w:pPr>
    </w:p>
    <w:p w14:paraId="5AB2F4B0" w14:textId="2EA3A730" w:rsidR="0032364E" w:rsidRDefault="008E7D73" w:rsidP="0007701A">
      <w:pPr>
        <w:spacing w:after="0" w:line="312" w:lineRule="auto"/>
        <w:jc w:val="both"/>
        <w:rPr>
          <w:rFonts w:ascii="Arial" w:hAnsi="Arial" w:cs="Arial"/>
          <w:lang w:val="es-ES"/>
        </w:rPr>
      </w:pPr>
      <w:r>
        <w:rPr>
          <w:rFonts w:ascii="Arial" w:hAnsi="Arial" w:cs="Arial"/>
          <w:lang w:val="es-ES"/>
        </w:rPr>
        <w:t>No hay pretensión económica.</w:t>
      </w:r>
    </w:p>
    <w:p w14:paraId="7385C213" w14:textId="77777777" w:rsidR="008E7D73" w:rsidRPr="009A3CB8" w:rsidRDefault="008E7D73" w:rsidP="0007701A">
      <w:pPr>
        <w:spacing w:after="0" w:line="312" w:lineRule="auto"/>
        <w:jc w:val="both"/>
        <w:rPr>
          <w:rFonts w:ascii="Arial" w:hAnsi="Arial" w:cs="Arial"/>
          <w:lang w:val="es-ES"/>
        </w:rPr>
      </w:pPr>
    </w:p>
    <w:p w14:paraId="3A62D97F" w14:textId="77777777" w:rsidR="00B23AFD" w:rsidRPr="009A3CB8" w:rsidRDefault="00B23AFD" w:rsidP="0007701A">
      <w:pPr>
        <w:pStyle w:val="Prrafodelista"/>
        <w:numPr>
          <w:ilvl w:val="0"/>
          <w:numId w:val="5"/>
        </w:numPr>
        <w:shd w:val="clear" w:color="auto" w:fill="FFFFFF"/>
        <w:spacing w:after="0" w:line="312" w:lineRule="auto"/>
        <w:ind w:left="284" w:hanging="283"/>
        <w:jc w:val="center"/>
        <w:textAlignment w:val="baseline"/>
        <w:rPr>
          <w:rFonts w:ascii="Arial" w:hAnsi="Arial" w:cs="Arial"/>
          <w:lang w:val="es-ES"/>
        </w:rPr>
      </w:pPr>
      <w:r w:rsidRPr="009A3CB8">
        <w:rPr>
          <w:rFonts w:ascii="Arial" w:hAnsi="Arial" w:cs="Arial"/>
          <w:b/>
          <w:bCs/>
          <w:u w:val="single"/>
          <w:lang w:val="es-ES"/>
        </w:rPr>
        <w:t>CONTINGENCIA</w:t>
      </w:r>
    </w:p>
    <w:p w14:paraId="7D3EB613" w14:textId="77777777" w:rsidR="00B23AFD" w:rsidRPr="009A3CB8" w:rsidRDefault="00B23AFD" w:rsidP="00C41B05">
      <w:pPr>
        <w:spacing w:after="0" w:line="312" w:lineRule="auto"/>
        <w:jc w:val="both"/>
        <w:rPr>
          <w:rFonts w:ascii="Arial" w:hAnsi="Arial" w:cs="Arial"/>
          <w:b/>
          <w:bCs/>
          <w:lang w:val="es-ES"/>
        </w:rPr>
      </w:pPr>
    </w:p>
    <w:p w14:paraId="6154CB19" w14:textId="66EEEDAD" w:rsidR="00E4330A" w:rsidRDefault="00B23AFD" w:rsidP="00A255B1">
      <w:pPr>
        <w:spacing w:after="0" w:line="312" w:lineRule="auto"/>
        <w:jc w:val="both"/>
        <w:rPr>
          <w:rFonts w:ascii="Arial" w:eastAsia="Times New Roman" w:hAnsi="Arial" w:cs="Arial"/>
          <w:bdr w:val="none" w:sz="0" w:space="0" w:color="auto" w:frame="1"/>
          <w:lang w:eastAsia="es-CO"/>
        </w:rPr>
      </w:pPr>
      <w:r w:rsidRPr="009A3CB8">
        <w:rPr>
          <w:rFonts w:ascii="Arial" w:eastAsia="Times New Roman" w:hAnsi="Arial" w:cs="Arial"/>
          <w:b/>
          <w:bCs/>
          <w:u w:val="single"/>
          <w:bdr w:val="none" w:sz="0" w:space="0" w:color="auto" w:frame="1"/>
          <w:lang w:eastAsia="es-CO"/>
        </w:rPr>
        <w:t>CALIFICACIÓN:</w:t>
      </w:r>
      <w:r w:rsidR="004E5E2E">
        <w:rPr>
          <w:rFonts w:ascii="Arial" w:eastAsia="Times New Roman" w:hAnsi="Arial" w:cs="Arial"/>
          <w:b/>
          <w:bCs/>
          <w:bdr w:val="none" w:sz="0" w:space="0" w:color="auto" w:frame="1"/>
          <w:lang w:eastAsia="es-CO"/>
        </w:rPr>
        <w:t xml:space="preserve"> </w:t>
      </w:r>
      <w:r w:rsidR="00291177">
        <w:rPr>
          <w:rFonts w:ascii="Arial" w:eastAsia="Times New Roman" w:hAnsi="Arial" w:cs="Arial"/>
          <w:bdr w:val="none" w:sz="0" w:space="0" w:color="auto" w:frame="1"/>
          <w:lang w:eastAsia="es-CO"/>
        </w:rPr>
        <w:t>L</w:t>
      </w:r>
      <w:r w:rsidR="00A255B1" w:rsidRPr="00A255B1">
        <w:rPr>
          <w:rFonts w:ascii="Arial" w:eastAsia="Times New Roman" w:hAnsi="Arial" w:cs="Arial"/>
          <w:bdr w:val="none" w:sz="0" w:space="0" w:color="auto" w:frame="1"/>
          <w:lang w:eastAsia="es-CO"/>
        </w:rPr>
        <w:t xml:space="preserve">a contingencia se </w:t>
      </w:r>
      <w:r w:rsidR="00DD1FF4">
        <w:rPr>
          <w:rFonts w:ascii="Arial" w:eastAsia="Times New Roman" w:hAnsi="Arial" w:cs="Arial"/>
          <w:bdr w:val="none" w:sz="0" w:space="0" w:color="auto" w:frame="1"/>
          <w:lang w:eastAsia="es-CO"/>
        </w:rPr>
        <w:t>mantiene</w:t>
      </w:r>
      <w:r w:rsidR="00A255B1" w:rsidRPr="00A255B1">
        <w:rPr>
          <w:rFonts w:ascii="Arial" w:eastAsia="Times New Roman" w:hAnsi="Arial" w:cs="Arial"/>
          <w:bdr w:val="none" w:sz="0" w:space="0" w:color="auto" w:frame="1"/>
          <w:lang w:eastAsia="es-CO"/>
        </w:rPr>
        <w:t xml:space="preserve"> como PROBABLE en cuanto al éxito de la acción emprendida esta vez por G&amp;G CONSTRUCCIONES S.A.S., como quiera que los actos administrativos se profirieron con sendos vicios de nulidad, especialmente al haberse desconocido el debido proceso de la</w:t>
      </w:r>
      <w:r w:rsidR="00E4330A">
        <w:rPr>
          <w:rFonts w:ascii="Arial" w:eastAsia="Times New Roman" w:hAnsi="Arial" w:cs="Arial"/>
          <w:bdr w:val="none" w:sz="0" w:space="0" w:color="auto" w:frame="1"/>
          <w:lang w:eastAsia="es-CO"/>
        </w:rPr>
        <w:t xml:space="preserve">s partes. </w:t>
      </w:r>
    </w:p>
    <w:p w14:paraId="61D5036C" w14:textId="77777777" w:rsidR="00E4330A" w:rsidRDefault="00E4330A" w:rsidP="00A255B1">
      <w:pPr>
        <w:spacing w:after="0" w:line="312" w:lineRule="auto"/>
        <w:jc w:val="both"/>
        <w:rPr>
          <w:rFonts w:ascii="Arial" w:eastAsia="Times New Roman" w:hAnsi="Arial" w:cs="Arial"/>
          <w:bdr w:val="none" w:sz="0" w:space="0" w:color="auto" w:frame="1"/>
          <w:lang w:eastAsia="es-CO"/>
        </w:rPr>
      </w:pPr>
    </w:p>
    <w:p w14:paraId="6BBD4B9B" w14:textId="32111A90" w:rsidR="00DF3F7A" w:rsidRDefault="00A255B1" w:rsidP="00A255B1">
      <w:pPr>
        <w:spacing w:after="0" w:line="312" w:lineRule="auto"/>
        <w:jc w:val="both"/>
        <w:rPr>
          <w:rFonts w:ascii="Arial" w:eastAsia="Times New Roman" w:hAnsi="Arial" w:cs="Arial"/>
          <w:bdr w:val="none" w:sz="0" w:space="0" w:color="auto" w:frame="1"/>
          <w:lang w:eastAsia="es-CO"/>
        </w:rPr>
      </w:pPr>
      <w:r w:rsidRPr="00A255B1">
        <w:rPr>
          <w:rFonts w:ascii="Arial" w:eastAsia="Times New Roman" w:hAnsi="Arial" w:cs="Arial"/>
          <w:bdr w:val="none" w:sz="0" w:space="0" w:color="auto" w:frame="1"/>
          <w:lang w:eastAsia="es-CO"/>
        </w:rPr>
        <w:t xml:space="preserve">En relación con la responsabilidad del asegurado, vemos que este demandó los actos administrativos por falsa motivación, en la medida que las imputaciones realizadas respecto del presupuesto y los diseños están indebidamente sustentadas. </w:t>
      </w:r>
      <w:r w:rsidR="00C73AF0">
        <w:rPr>
          <w:rFonts w:ascii="Arial" w:eastAsia="Times New Roman" w:hAnsi="Arial" w:cs="Arial"/>
          <w:bdr w:val="none" w:sz="0" w:space="0" w:color="auto" w:frame="1"/>
          <w:lang w:eastAsia="es-CO"/>
        </w:rPr>
        <w:t xml:space="preserve">Adicionalmente no se le dio la oportunidad de controvertir lo dicho por la administración por lo que se afectó el derecho de defensa y contradicción. </w:t>
      </w:r>
      <w:r w:rsidR="00F6240D">
        <w:rPr>
          <w:rFonts w:ascii="Arial" w:eastAsia="Times New Roman" w:hAnsi="Arial" w:cs="Arial"/>
          <w:bdr w:val="none" w:sz="0" w:space="0" w:color="auto" w:frame="1"/>
          <w:lang w:eastAsia="es-CO"/>
        </w:rPr>
        <w:t xml:space="preserve">Situación frente a la cual la compañía </w:t>
      </w:r>
      <w:r w:rsidR="00DC0770">
        <w:rPr>
          <w:rFonts w:ascii="Arial" w:eastAsia="Times New Roman" w:hAnsi="Arial" w:cs="Arial"/>
          <w:bdr w:val="none" w:sz="0" w:space="0" w:color="auto" w:frame="1"/>
          <w:lang w:eastAsia="es-CO"/>
        </w:rPr>
        <w:t>también</w:t>
      </w:r>
      <w:r w:rsidR="00F6240D">
        <w:rPr>
          <w:rFonts w:ascii="Arial" w:eastAsia="Times New Roman" w:hAnsi="Arial" w:cs="Arial"/>
          <w:bdr w:val="none" w:sz="0" w:space="0" w:color="auto" w:frame="1"/>
          <w:lang w:eastAsia="es-CO"/>
        </w:rPr>
        <w:t xml:space="preserve"> inició ante la jurisdicción contenciosa el medio de control de controversias contractuales y fue</w:t>
      </w:r>
      <w:r w:rsidR="00F6240D" w:rsidRPr="00245EF4">
        <w:rPr>
          <w:rFonts w:ascii="Arial" w:eastAsia="Times New Roman" w:hAnsi="Arial" w:cs="Arial"/>
          <w:bdr w:val="none" w:sz="0" w:space="0" w:color="auto" w:frame="1"/>
          <w:lang w:eastAsia="es-CO"/>
        </w:rPr>
        <w:t xml:space="preserve"> asignada por reparto al Juzgado Treinta </w:t>
      </w:r>
      <w:r w:rsidR="00AB4269">
        <w:rPr>
          <w:rFonts w:ascii="Arial" w:eastAsia="Times New Roman" w:hAnsi="Arial" w:cs="Arial"/>
          <w:bdr w:val="none" w:sz="0" w:space="0" w:color="auto" w:frame="1"/>
          <w:lang w:eastAsia="es-CO"/>
        </w:rPr>
        <w:t>y</w:t>
      </w:r>
      <w:r w:rsidR="00F6240D" w:rsidRPr="00245EF4">
        <w:rPr>
          <w:rFonts w:ascii="Arial" w:eastAsia="Times New Roman" w:hAnsi="Arial" w:cs="Arial"/>
          <w:bdr w:val="none" w:sz="0" w:space="0" w:color="auto" w:frame="1"/>
          <w:lang w:eastAsia="es-CO"/>
        </w:rPr>
        <w:t xml:space="preserve"> Siete (37)</w:t>
      </w:r>
      <w:r w:rsidR="00F6240D">
        <w:rPr>
          <w:rFonts w:ascii="Arial" w:eastAsia="Times New Roman" w:hAnsi="Arial" w:cs="Arial"/>
          <w:bdr w:val="none" w:sz="0" w:space="0" w:color="auto" w:frame="1"/>
          <w:lang w:eastAsia="es-CO"/>
        </w:rPr>
        <w:t xml:space="preserve"> </w:t>
      </w:r>
      <w:r w:rsidR="00F6240D" w:rsidRPr="00245EF4">
        <w:rPr>
          <w:rFonts w:ascii="Arial" w:eastAsia="Times New Roman" w:hAnsi="Arial" w:cs="Arial"/>
          <w:bdr w:val="none" w:sz="0" w:space="0" w:color="auto" w:frame="1"/>
          <w:lang w:eastAsia="es-CO"/>
        </w:rPr>
        <w:t xml:space="preserve">Administrativo </w:t>
      </w:r>
      <w:r w:rsidR="00F6240D">
        <w:rPr>
          <w:rFonts w:ascii="Arial" w:eastAsia="Times New Roman" w:hAnsi="Arial" w:cs="Arial"/>
          <w:bdr w:val="none" w:sz="0" w:space="0" w:color="auto" w:frame="1"/>
          <w:lang w:eastAsia="es-CO"/>
        </w:rPr>
        <w:t>d</w:t>
      </w:r>
      <w:r w:rsidR="00F6240D" w:rsidRPr="00245EF4">
        <w:rPr>
          <w:rFonts w:ascii="Arial" w:eastAsia="Times New Roman" w:hAnsi="Arial" w:cs="Arial"/>
          <w:bdr w:val="none" w:sz="0" w:space="0" w:color="auto" w:frame="1"/>
          <w:lang w:eastAsia="es-CO"/>
        </w:rPr>
        <w:t xml:space="preserve">el Circuito Judicial </w:t>
      </w:r>
      <w:r w:rsidR="00F6240D">
        <w:rPr>
          <w:rFonts w:ascii="Arial" w:eastAsia="Times New Roman" w:hAnsi="Arial" w:cs="Arial"/>
          <w:bdr w:val="none" w:sz="0" w:space="0" w:color="auto" w:frame="1"/>
          <w:lang w:eastAsia="es-CO"/>
        </w:rPr>
        <w:t>d</w:t>
      </w:r>
      <w:r w:rsidR="00F6240D" w:rsidRPr="00245EF4">
        <w:rPr>
          <w:rFonts w:ascii="Arial" w:eastAsia="Times New Roman" w:hAnsi="Arial" w:cs="Arial"/>
          <w:bdr w:val="none" w:sz="0" w:space="0" w:color="auto" w:frame="1"/>
          <w:lang w:eastAsia="es-CO"/>
        </w:rPr>
        <w:t>e Bogotá, D.C. – Sección Tercera-</w:t>
      </w:r>
      <w:r w:rsidR="00F6240D">
        <w:rPr>
          <w:rFonts w:ascii="Arial" w:eastAsia="Times New Roman" w:hAnsi="Arial" w:cs="Arial"/>
          <w:bdr w:val="none" w:sz="0" w:space="0" w:color="auto" w:frame="1"/>
          <w:lang w:eastAsia="es-CO"/>
        </w:rPr>
        <w:t xml:space="preserve"> bajo el radicado </w:t>
      </w:r>
      <w:r w:rsidR="00F6240D" w:rsidRPr="00B61EBF">
        <w:rPr>
          <w:rFonts w:ascii="Arial" w:eastAsia="Times New Roman" w:hAnsi="Arial" w:cs="Arial"/>
          <w:bdr w:val="none" w:sz="0" w:space="0" w:color="auto" w:frame="1"/>
          <w:lang w:eastAsia="es-CO"/>
        </w:rPr>
        <w:t>11001333603720220012100</w:t>
      </w:r>
      <w:r w:rsidR="00F6240D">
        <w:rPr>
          <w:rFonts w:ascii="Arial" w:eastAsia="Times New Roman" w:hAnsi="Arial" w:cs="Arial"/>
          <w:bdr w:val="none" w:sz="0" w:space="0" w:color="auto" w:frame="1"/>
          <w:lang w:eastAsia="es-CO"/>
        </w:rPr>
        <w:t xml:space="preserve"> la cual se encuentra en etapa inicial</w:t>
      </w:r>
      <w:r w:rsidR="00DC0770">
        <w:rPr>
          <w:rFonts w:ascii="Arial" w:eastAsia="Times New Roman" w:hAnsi="Arial" w:cs="Arial"/>
          <w:bdr w:val="none" w:sz="0" w:space="0" w:color="auto" w:frame="1"/>
          <w:lang w:eastAsia="es-CO"/>
        </w:rPr>
        <w:t xml:space="preserve">. Toda vez que, </w:t>
      </w:r>
      <w:r w:rsidR="00CB68F5">
        <w:rPr>
          <w:rFonts w:ascii="Arial" w:eastAsia="Times New Roman" w:hAnsi="Arial" w:cs="Arial"/>
          <w:bdr w:val="none" w:sz="0" w:space="0" w:color="auto" w:frame="1"/>
          <w:lang w:eastAsia="es-CO"/>
        </w:rPr>
        <w:t>si bien e</w:t>
      </w:r>
      <w:r w:rsidRPr="00A255B1">
        <w:rPr>
          <w:rFonts w:ascii="Arial" w:eastAsia="Times New Roman" w:hAnsi="Arial" w:cs="Arial"/>
          <w:bdr w:val="none" w:sz="0" w:space="0" w:color="auto" w:frame="1"/>
          <w:lang w:eastAsia="es-CO"/>
        </w:rPr>
        <w:t xml:space="preserve">s necesario manifestar que </w:t>
      </w:r>
      <w:r w:rsidR="00CB68F5">
        <w:rPr>
          <w:rFonts w:ascii="Arial" w:eastAsia="Times New Roman" w:hAnsi="Arial" w:cs="Arial"/>
          <w:bdr w:val="none" w:sz="0" w:space="0" w:color="auto" w:frame="1"/>
          <w:lang w:eastAsia="es-CO"/>
        </w:rPr>
        <w:t>el contrato</w:t>
      </w:r>
      <w:r w:rsidRPr="00A255B1">
        <w:rPr>
          <w:rFonts w:ascii="Arial" w:eastAsia="Times New Roman" w:hAnsi="Arial" w:cs="Arial"/>
          <w:bdr w:val="none" w:sz="0" w:space="0" w:color="auto" w:frame="1"/>
          <w:lang w:eastAsia="es-CO"/>
        </w:rPr>
        <w:t xml:space="preserve"> presta cobertura material y temporal frente a los hechos que dieron lugar a la declaratoria del siniestro, comoquiera que se afectó el amparo de calidad del servicio, el cual cubre a la entidad de los perjuicios imputables al contratista por la mala calidad de los productos entregados y, es precisamente ello lo que se imputa al </w:t>
      </w:r>
      <w:r w:rsidR="00AB4269">
        <w:rPr>
          <w:rFonts w:ascii="Arial" w:eastAsia="Times New Roman" w:hAnsi="Arial" w:cs="Arial"/>
          <w:bdr w:val="none" w:sz="0" w:space="0" w:color="auto" w:frame="1"/>
          <w:lang w:eastAsia="es-CO"/>
        </w:rPr>
        <w:t>contratista afianzado</w:t>
      </w:r>
      <w:r w:rsidRPr="00A255B1">
        <w:rPr>
          <w:rFonts w:ascii="Arial" w:eastAsia="Times New Roman" w:hAnsi="Arial" w:cs="Arial"/>
          <w:bdr w:val="none" w:sz="0" w:space="0" w:color="auto" w:frame="1"/>
          <w:lang w:eastAsia="es-CO"/>
        </w:rPr>
        <w:t xml:space="preserve">. </w:t>
      </w:r>
      <w:r w:rsidR="00CB68F5">
        <w:rPr>
          <w:rFonts w:ascii="Arial" w:eastAsia="Times New Roman" w:hAnsi="Arial" w:cs="Arial"/>
          <w:bdr w:val="none" w:sz="0" w:space="0" w:color="auto" w:frame="1"/>
          <w:lang w:eastAsia="es-CO"/>
        </w:rPr>
        <w:t>Es también preciso advertir que</w:t>
      </w:r>
      <w:r w:rsidRPr="00A255B1">
        <w:rPr>
          <w:rFonts w:ascii="Arial" w:eastAsia="Times New Roman" w:hAnsi="Arial" w:cs="Arial"/>
          <w:bdr w:val="none" w:sz="0" w:space="0" w:color="auto" w:frame="1"/>
          <w:lang w:eastAsia="es-CO"/>
        </w:rPr>
        <w:t xml:space="preserve"> no era posible afectar la póliza, en la medida que no se otorgó la oportunidad de presentar descargos, solicitar y controvertir pruebas, presentar alegatos de conclusión, y en general, haber vulnerado el derecho fundamental al debido proceso para ejercer la defensa de sus intereses. Tampoco hubo suficiente y clara motivación de la decisión que conllevó a la declaratoria de ocurrencia del siniestro: y los actos administrativos enunciados no identifican los presuntos incumplimientos objeto de cobertura a través de la póliza de seguro de cumplimiento de entidades estatales No. 305-47-994000012009, ni mucho menos cuantifican adecuadamente la </w:t>
      </w:r>
      <w:r w:rsidRPr="00A255B1">
        <w:rPr>
          <w:rFonts w:ascii="Arial" w:eastAsia="Times New Roman" w:hAnsi="Arial" w:cs="Arial"/>
          <w:bdr w:val="none" w:sz="0" w:space="0" w:color="auto" w:frame="1"/>
          <w:lang w:eastAsia="es-CO"/>
        </w:rPr>
        <w:lastRenderedPageBreak/>
        <w:t>cuantía de la supuesta pérdida.</w:t>
      </w:r>
      <w:r w:rsidR="00717AF7">
        <w:rPr>
          <w:rFonts w:ascii="Arial" w:eastAsia="Times New Roman" w:hAnsi="Arial" w:cs="Arial"/>
          <w:bdr w:val="none" w:sz="0" w:space="0" w:color="auto" w:frame="1"/>
          <w:lang w:eastAsia="es-CO"/>
        </w:rPr>
        <w:t xml:space="preserve"> Por lo que se</w:t>
      </w:r>
      <w:r w:rsidRPr="00A255B1">
        <w:rPr>
          <w:rFonts w:ascii="Arial" w:eastAsia="Times New Roman" w:hAnsi="Arial" w:cs="Arial"/>
          <w:bdr w:val="none" w:sz="0" w:space="0" w:color="auto" w:frame="1"/>
          <w:lang w:eastAsia="es-CO"/>
        </w:rPr>
        <w:t xml:space="preserve"> afectó la póliza de seguro de cumplimiento de entidades estatales No. 305-47-994000012009, sin seguir el procedimiento convencionalmente aplicable al trámite de sanción, consagrado expresamente en las condiciones generales del contrato de </w:t>
      </w:r>
      <w:r w:rsidR="00CB68F5" w:rsidRPr="00A255B1">
        <w:rPr>
          <w:rFonts w:ascii="Arial" w:eastAsia="Times New Roman" w:hAnsi="Arial" w:cs="Arial"/>
          <w:bdr w:val="none" w:sz="0" w:space="0" w:color="auto" w:frame="1"/>
          <w:lang w:eastAsia="es-CO"/>
        </w:rPr>
        <w:t>seguro.</w:t>
      </w:r>
      <w:r w:rsidR="00B61EBF">
        <w:rPr>
          <w:rFonts w:ascii="Arial" w:eastAsia="Times New Roman" w:hAnsi="Arial" w:cs="Arial"/>
          <w:bdr w:val="none" w:sz="0" w:space="0" w:color="auto" w:frame="1"/>
          <w:lang w:eastAsia="es-CO"/>
        </w:rPr>
        <w:t xml:space="preserve"> Por lo que es altamente probable que el despacho nulite los actos administrativos </w:t>
      </w:r>
      <w:r w:rsidR="00EA1546">
        <w:rPr>
          <w:rFonts w:ascii="Arial" w:eastAsia="Times New Roman" w:hAnsi="Arial" w:cs="Arial"/>
          <w:bdr w:val="none" w:sz="0" w:space="0" w:color="auto" w:frame="1"/>
          <w:lang w:eastAsia="es-CO"/>
        </w:rPr>
        <w:t>demandados</w:t>
      </w:r>
      <w:r w:rsidR="00B61EBF">
        <w:rPr>
          <w:rFonts w:ascii="Arial" w:eastAsia="Times New Roman" w:hAnsi="Arial" w:cs="Arial"/>
          <w:bdr w:val="none" w:sz="0" w:space="0" w:color="auto" w:frame="1"/>
          <w:lang w:eastAsia="es-CO"/>
        </w:rPr>
        <w:t xml:space="preserve"> </w:t>
      </w:r>
      <w:r w:rsidR="005A519D">
        <w:rPr>
          <w:rFonts w:ascii="Arial" w:eastAsia="Times New Roman" w:hAnsi="Arial" w:cs="Arial"/>
          <w:bdr w:val="none" w:sz="0" w:space="0" w:color="auto" w:frame="1"/>
          <w:lang w:eastAsia="es-CO"/>
        </w:rPr>
        <w:t xml:space="preserve">máxime cuando </w:t>
      </w:r>
      <w:r w:rsidR="005A519D" w:rsidRPr="007278A6">
        <w:rPr>
          <w:rFonts w:ascii="Arial" w:hAnsi="Arial" w:cs="Arial"/>
          <w:bCs/>
        </w:rPr>
        <w:t>si bien es cierto no establece</w:t>
      </w:r>
      <w:r w:rsidR="005A519D">
        <w:rPr>
          <w:rFonts w:ascii="Arial" w:hAnsi="Arial" w:cs="Arial"/>
          <w:bCs/>
        </w:rPr>
        <w:t xml:space="preserve"> </w:t>
      </w:r>
      <w:r w:rsidR="005A519D" w:rsidRPr="007278A6">
        <w:rPr>
          <w:rFonts w:ascii="Arial" w:hAnsi="Arial" w:cs="Arial"/>
          <w:bCs/>
        </w:rPr>
        <w:t xml:space="preserve">qué tipo de procedimiento debe adelantar para la declaratoria del siniestro </w:t>
      </w:r>
      <w:r w:rsidR="005936C4">
        <w:rPr>
          <w:rFonts w:ascii="Arial" w:hAnsi="Arial" w:cs="Arial"/>
          <w:bCs/>
        </w:rPr>
        <w:t>calidad del servicio</w:t>
      </w:r>
      <w:r w:rsidR="005A519D" w:rsidRPr="007278A6">
        <w:rPr>
          <w:rFonts w:ascii="Arial" w:hAnsi="Arial" w:cs="Arial"/>
          <w:bCs/>
        </w:rPr>
        <w:t>, es</w:t>
      </w:r>
      <w:r w:rsidR="005A519D">
        <w:rPr>
          <w:rFonts w:ascii="Arial" w:hAnsi="Arial" w:cs="Arial"/>
          <w:bCs/>
        </w:rPr>
        <w:t xml:space="preserve"> también</w:t>
      </w:r>
      <w:r w:rsidR="005A519D" w:rsidRPr="007278A6">
        <w:rPr>
          <w:rFonts w:ascii="Arial" w:hAnsi="Arial" w:cs="Arial"/>
          <w:bCs/>
        </w:rPr>
        <w:t xml:space="preserve"> cierto que en el inciso 4 del artículo 7 de la Ley 1150 de 2007 estableció que la administración podrá a través de “</w:t>
      </w:r>
      <w:r w:rsidR="005A519D" w:rsidRPr="007278A6">
        <w:rPr>
          <w:rFonts w:ascii="Arial" w:hAnsi="Arial" w:cs="Arial"/>
          <w:bCs/>
          <w:i/>
          <w:iCs/>
        </w:rPr>
        <w:t>un acto administrativo declarar el acaecimiento del siniestro”</w:t>
      </w:r>
      <w:r w:rsidR="005A519D" w:rsidRPr="007278A6">
        <w:rPr>
          <w:rStyle w:val="Refdenotaalpie"/>
          <w:rFonts w:ascii="Arial" w:hAnsi="Arial" w:cs="Arial"/>
          <w:bCs/>
          <w:i/>
          <w:iCs/>
        </w:rPr>
        <w:footnoteReference w:id="1"/>
      </w:r>
      <w:r w:rsidR="005A519D" w:rsidRPr="007278A6">
        <w:rPr>
          <w:rFonts w:ascii="Arial" w:hAnsi="Arial" w:cs="Arial"/>
          <w:bCs/>
          <w:i/>
          <w:iCs/>
        </w:rPr>
        <w:t xml:space="preserve">, </w:t>
      </w:r>
      <w:r w:rsidR="005A519D" w:rsidRPr="007278A6">
        <w:rPr>
          <w:rFonts w:ascii="Arial" w:hAnsi="Arial" w:cs="Arial"/>
          <w:bCs/>
        </w:rPr>
        <w:t>es decir que solo establece la elaboración de un acto administrativo</w:t>
      </w:r>
      <w:r w:rsidR="005A519D">
        <w:rPr>
          <w:rFonts w:ascii="Arial" w:hAnsi="Arial" w:cs="Arial"/>
          <w:bCs/>
        </w:rPr>
        <w:t>, el cual de acuerdo a la</w:t>
      </w:r>
      <w:r w:rsidR="005A519D" w:rsidRPr="007278A6">
        <w:rPr>
          <w:rFonts w:ascii="Arial" w:hAnsi="Arial" w:cs="Arial"/>
          <w:bCs/>
        </w:rPr>
        <w:t xml:space="preserve"> jurisprudencia del Consejo de Estado</w:t>
      </w:r>
      <w:r w:rsidR="005A519D" w:rsidRPr="007278A6">
        <w:rPr>
          <w:rStyle w:val="Refdenotaalpie"/>
          <w:rFonts w:ascii="Arial" w:hAnsi="Arial" w:cs="Arial"/>
          <w:bCs/>
        </w:rPr>
        <w:footnoteReference w:id="2"/>
      </w:r>
      <w:r w:rsidR="005A519D" w:rsidRPr="007278A6">
        <w:rPr>
          <w:rFonts w:ascii="Arial" w:hAnsi="Arial" w:cs="Arial"/>
          <w:bCs/>
        </w:rPr>
        <w:t xml:space="preserve"> no debe vulnerar el derecho de defensa y contradicción del contratista y garante</w:t>
      </w:r>
      <w:r w:rsidR="005A519D">
        <w:rPr>
          <w:rFonts w:ascii="Arial" w:hAnsi="Arial" w:cs="Arial"/>
          <w:bCs/>
        </w:rPr>
        <w:t>, para declarar la ocurrencia del siniestro</w:t>
      </w:r>
      <w:r w:rsidR="001B4032">
        <w:rPr>
          <w:rFonts w:ascii="Arial" w:hAnsi="Arial" w:cs="Arial"/>
          <w:bCs/>
        </w:rPr>
        <w:t xml:space="preserve">, por lo que en esta oportunidad se debió </w:t>
      </w:r>
      <w:r w:rsidR="006A460C">
        <w:rPr>
          <w:rFonts w:ascii="Arial" w:hAnsi="Arial" w:cs="Arial"/>
          <w:bCs/>
        </w:rPr>
        <w:t xml:space="preserve">garantizar la participación de los involucrados en el proceso. </w:t>
      </w:r>
      <w:r w:rsidR="00275D02" w:rsidRPr="00067ED9">
        <w:rPr>
          <w:rFonts w:ascii="Arial" w:eastAsia="Times New Roman" w:hAnsi="Arial" w:cs="Arial"/>
          <w:bdr w:val="none" w:sz="0" w:space="0" w:color="auto" w:frame="1"/>
          <w:lang w:val="es-419" w:eastAsia="es-CO"/>
        </w:rPr>
        <w:t>Lo anterior sin perjuicio del carácter contingente del proceso.</w:t>
      </w:r>
    </w:p>
    <w:p w14:paraId="4DFB4CA5" w14:textId="55A4E048" w:rsidR="00A852C4" w:rsidRDefault="00A852C4" w:rsidP="00A255B1">
      <w:pPr>
        <w:spacing w:after="0" w:line="312" w:lineRule="auto"/>
        <w:jc w:val="both"/>
        <w:rPr>
          <w:rFonts w:ascii="Arial" w:eastAsia="Times New Roman" w:hAnsi="Arial" w:cs="Arial"/>
          <w:bdr w:val="none" w:sz="0" w:space="0" w:color="auto" w:frame="1"/>
          <w:lang w:eastAsia="es-CO"/>
        </w:rPr>
      </w:pPr>
    </w:p>
    <w:p w14:paraId="75D0709D" w14:textId="77777777" w:rsidR="001F5E8F" w:rsidRPr="009A3CB8" w:rsidRDefault="001F5E8F" w:rsidP="0007701A">
      <w:pPr>
        <w:pStyle w:val="Prrafodelista"/>
        <w:numPr>
          <w:ilvl w:val="0"/>
          <w:numId w:val="5"/>
        </w:numPr>
        <w:spacing w:after="0" w:line="312" w:lineRule="auto"/>
        <w:ind w:left="284" w:hanging="283"/>
        <w:jc w:val="center"/>
        <w:rPr>
          <w:rFonts w:ascii="Arial" w:hAnsi="Arial" w:cs="Arial"/>
          <w:b/>
          <w:bCs/>
          <w:u w:val="single"/>
          <w:lang w:val="es-ES"/>
        </w:rPr>
      </w:pPr>
      <w:r w:rsidRPr="009A3CB8">
        <w:rPr>
          <w:rFonts w:ascii="Arial" w:hAnsi="Arial" w:cs="Arial"/>
          <w:b/>
          <w:bCs/>
          <w:u w:val="single"/>
          <w:lang w:val="es-ES"/>
        </w:rPr>
        <w:t xml:space="preserve">LIQUIDACIÓN OBJETIVA </w:t>
      </w:r>
    </w:p>
    <w:p w14:paraId="47845B08" w14:textId="398BCC2C" w:rsidR="00006FF3" w:rsidRDefault="00006FF3" w:rsidP="00006FF3">
      <w:pPr>
        <w:spacing w:after="0" w:line="300" w:lineRule="atLeast"/>
        <w:jc w:val="both"/>
        <w:rPr>
          <w:rFonts w:ascii="Arial" w:eastAsia="Times New Roman" w:hAnsi="Arial" w:cs="Arial"/>
          <w:spacing w:val="2"/>
          <w:lang w:eastAsia="es-CO"/>
        </w:rPr>
      </w:pPr>
      <w:r w:rsidRPr="00006FF3">
        <w:rPr>
          <w:rFonts w:ascii="Open Sans" w:eastAsia="Times New Roman" w:hAnsi="Open Sans" w:cs="Open Sans"/>
          <w:color w:val="5A6573"/>
          <w:spacing w:val="2"/>
          <w:sz w:val="18"/>
          <w:szCs w:val="18"/>
          <w:lang w:eastAsia="es-CO"/>
        </w:rPr>
        <w:br/>
      </w:r>
      <w:r w:rsidRPr="00006FF3">
        <w:rPr>
          <w:rFonts w:ascii="Arial" w:eastAsia="Times New Roman" w:hAnsi="Arial" w:cs="Arial"/>
          <w:spacing w:val="2"/>
          <w:lang w:eastAsia="es-CO"/>
        </w:rPr>
        <w:t>En caso de que la demanda promovida por G&amp;G CONSTRUCCIONES SAS no prospere, la ASEGURADORA SOLIDARIA DE COLOMBIA EC deberá pagar la suma de CIENTO TREINTA Y SIETE MILLONES OCHOCIENTOS CINCUENTA Y OCHO MIL TRESCIENTOS SETENTA Y SIETE PESOS MCTE (</w:t>
      </w:r>
      <w:r w:rsidR="00054C07">
        <w:rPr>
          <w:rFonts w:ascii="Arial" w:eastAsia="Times New Roman" w:hAnsi="Arial" w:cs="Arial"/>
          <w:spacing w:val="2"/>
          <w:lang w:eastAsia="es-CO"/>
        </w:rPr>
        <w:t>$</w:t>
      </w:r>
      <w:r w:rsidRPr="00006FF3">
        <w:rPr>
          <w:rFonts w:ascii="Arial" w:eastAsia="Times New Roman" w:hAnsi="Arial" w:cs="Arial"/>
          <w:spacing w:val="2"/>
          <w:lang w:eastAsia="es-CO"/>
        </w:rPr>
        <w:t>137</w:t>
      </w:r>
      <w:r w:rsidR="00054C07">
        <w:rPr>
          <w:rFonts w:ascii="Arial" w:eastAsia="Times New Roman" w:hAnsi="Arial" w:cs="Arial"/>
          <w:spacing w:val="2"/>
          <w:lang w:eastAsia="es-CO"/>
        </w:rPr>
        <w:t>.</w:t>
      </w:r>
      <w:r w:rsidRPr="00006FF3">
        <w:rPr>
          <w:rFonts w:ascii="Arial" w:eastAsia="Times New Roman" w:hAnsi="Arial" w:cs="Arial"/>
          <w:spacing w:val="2"/>
          <w:lang w:eastAsia="es-CO"/>
        </w:rPr>
        <w:t>858</w:t>
      </w:r>
      <w:r w:rsidR="00054C07">
        <w:rPr>
          <w:rFonts w:ascii="Arial" w:eastAsia="Times New Roman" w:hAnsi="Arial" w:cs="Arial"/>
          <w:spacing w:val="2"/>
          <w:lang w:eastAsia="es-CO"/>
        </w:rPr>
        <w:t>.</w:t>
      </w:r>
      <w:r w:rsidRPr="00006FF3">
        <w:rPr>
          <w:rFonts w:ascii="Arial" w:eastAsia="Times New Roman" w:hAnsi="Arial" w:cs="Arial"/>
          <w:spacing w:val="2"/>
          <w:lang w:eastAsia="es-CO"/>
        </w:rPr>
        <w:t>377) más los intereses correspondientes, siendo este el valor liquidado por la Alcaldía de Bogotá, así como el valor asegurado en el amparo de calidad del servicio</w:t>
      </w:r>
      <w:r w:rsidR="00054C07">
        <w:rPr>
          <w:rFonts w:ascii="Arial" w:eastAsia="Times New Roman" w:hAnsi="Arial" w:cs="Arial"/>
          <w:spacing w:val="2"/>
          <w:lang w:eastAsia="es-CO"/>
        </w:rPr>
        <w:t xml:space="preserve">. </w:t>
      </w:r>
    </w:p>
    <w:p w14:paraId="2D7FFDEB" w14:textId="77777777" w:rsidR="00054C07" w:rsidRDefault="00054C07" w:rsidP="00006FF3">
      <w:pPr>
        <w:spacing w:after="0" w:line="300" w:lineRule="atLeast"/>
        <w:jc w:val="both"/>
        <w:rPr>
          <w:rFonts w:ascii="Arial" w:eastAsia="Times New Roman" w:hAnsi="Arial" w:cs="Arial"/>
          <w:spacing w:val="2"/>
          <w:lang w:eastAsia="es-CO"/>
        </w:rPr>
      </w:pPr>
    </w:p>
    <w:p w14:paraId="16AE4E6F" w14:textId="77777777" w:rsidR="00054C07" w:rsidRPr="00006FF3" w:rsidRDefault="00054C07" w:rsidP="00006FF3">
      <w:pPr>
        <w:spacing w:after="0" w:line="300" w:lineRule="atLeast"/>
        <w:jc w:val="both"/>
        <w:rPr>
          <w:rFonts w:ascii="Arial" w:eastAsia="Times New Roman" w:hAnsi="Arial" w:cs="Arial"/>
          <w:color w:val="5A6573"/>
          <w:spacing w:val="2"/>
          <w:lang w:eastAsia="es-CO"/>
        </w:rPr>
      </w:pPr>
    </w:p>
    <w:p w14:paraId="587D3789" w14:textId="77777777" w:rsidR="001F5E8F" w:rsidRPr="00006FF3" w:rsidRDefault="001F5E8F" w:rsidP="0007701A">
      <w:pPr>
        <w:spacing w:after="0" w:line="312" w:lineRule="auto"/>
        <w:jc w:val="both"/>
        <w:rPr>
          <w:rFonts w:ascii="Arial" w:hAnsi="Arial" w:cs="Arial"/>
          <w:b/>
          <w:bCs/>
        </w:rPr>
      </w:pPr>
    </w:p>
    <w:sectPr w:rsidR="001F5E8F" w:rsidRPr="00006FF3"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F010" w14:textId="77777777" w:rsidR="005860C3" w:rsidRDefault="005860C3" w:rsidP="0025591F">
      <w:r>
        <w:separator/>
      </w:r>
    </w:p>
  </w:endnote>
  <w:endnote w:type="continuationSeparator" w:id="0">
    <w:p w14:paraId="42654111" w14:textId="77777777" w:rsidR="005860C3" w:rsidRDefault="005860C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5E88" w14:textId="77777777" w:rsidR="005860C3" w:rsidRDefault="005860C3" w:rsidP="0025591F">
      <w:r>
        <w:separator/>
      </w:r>
    </w:p>
  </w:footnote>
  <w:footnote w:type="continuationSeparator" w:id="0">
    <w:p w14:paraId="20EEF2AF" w14:textId="77777777" w:rsidR="005860C3" w:rsidRDefault="005860C3" w:rsidP="0025591F">
      <w:r>
        <w:continuationSeparator/>
      </w:r>
    </w:p>
  </w:footnote>
  <w:footnote w:id="1">
    <w:p w14:paraId="757463D0" w14:textId="77777777" w:rsidR="005A519D" w:rsidRPr="002F4334" w:rsidRDefault="005A519D" w:rsidP="005A519D">
      <w:pPr>
        <w:pStyle w:val="Textonotapie"/>
        <w:jc w:val="both"/>
        <w:rPr>
          <w:rFonts w:ascii="Arial" w:hAnsi="Arial" w:cs="Arial"/>
          <w:sz w:val="16"/>
          <w:szCs w:val="16"/>
          <w:lang w:val="es-ES"/>
        </w:rPr>
      </w:pPr>
      <w:r w:rsidRPr="002F4334">
        <w:rPr>
          <w:rStyle w:val="Refdenotaalpie"/>
          <w:rFonts w:ascii="Arial" w:hAnsi="Arial" w:cs="Arial"/>
          <w:sz w:val="16"/>
          <w:szCs w:val="16"/>
        </w:rPr>
        <w:footnoteRef/>
      </w:r>
      <w:r w:rsidRPr="002F4334">
        <w:rPr>
          <w:rFonts w:ascii="Arial" w:hAnsi="Arial" w:cs="Arial"/>
          <w:sz w:val="16"/>
          <w:szCs w:val="16"/>
        </w:rPr>
        <w:t xml:space="preserve"> </w:t>
      </w:r>
      <w:r w:rsidRPr="002F4334">
        <w:rPr>
          <w:rFonts w:ascii="Arial" w:hAnsi="Arial" w:cs="Arial"/>
          <w:sz w:val="16"/>
          <w:szCs w:val="16"/>
          <w:lang w:val="es-ES"/>
        </w:rPr>
        <w:t>Ley 1150 de 2007 “</w:t>
      </w:r>
      <w:r w:rsidRPr="002F4334">
        <w:rPr>
          <w:rFonts w:ascii="Arial" w:hAnsi="Arial" w:cs="Arial"/>
          <w:sz w:val="16"/>
          <w:szCs w:val="16"/>
        </w:rPr>
        <w:t>Por medio de la cual se introducen medidas para la eficiencia y la transparencia en la Ley </w:t>
      </w:r>
      <w:hyperlink r:id="rId1" w:anchor="1" w:history="1">
        <w:r w:rsidRPr="002F4334">
          <w:rPr>
            <w:rStyle w:val="Hipervnculo"/>
            <w:rFonts w:ascii="Arial" w:hAnsi="Arial" w:cs="Arial"/>
            <w:color w:val="auto"/>
            <w:sz w:val="16"/>
            <w:szCs w:val="16"/>
          </w:rPr>
          <w:t>80</w:t>
        </w:r>
      </w:hyperlink>
      <w:r w:rsidRPr="002F4334">
        <w:rPr>
          <w:rFonts w:ascii="Arial" w:hAnsi="Arial" w:cs="Arial"/>
          <w:sz w:val="16"/>
          <w:szCs w:val="16"/>
        </w:rPr>
        <w:t xml:space="preserve"> de 1993 y se dictan otras disposiciones generales sobre la contratación con Recursos Públicos” </w:t>
      </w:r>
      <w:r w:rsidRPr="002F4334">
        <w:rPr>
          <w:rFonts w:ascii="Arial" w:hAnsi="Arial" w:cs="Arial"/>
          <w:sz w:val="16"/>
          <w:szCs w:val="16"/>
          <w:lang w:val="es-ES"/>
        </w:rPr>
        <w:t xml:space="preserve"> artículo 7 inciso 4.</w:t>
      </w:r>
    </w:p>
  </w:footnote>
  <w:footnote w:id="2">
    <w:p w14:paraId="0D261488" w14:textId="77777777" w:rsidR="005A519D" w:rsidRPr="002F4334" w:rsidRDefault="005A519D" w:rsidP="005A519D">
      <w:pPr>
        <w:pStyle w:val="Textonotapie"/>
        <w:jc w:val="both"/>
        <w:rPr>
          <w:rFonts w:ascii="Arial" w:hAnsi="Arial" w:cs="Arial"/>
          <w:sz w:val="16"/>
          <w:szCs w:val="16"/>
          <w:lang w:val="es-ES"/>
        </w:rPr>
      </w:pPr>
      <w:r w:rsidRPr="002F4334">
        <w:rPr>
          <w:rStyle w:val="Refdenotaalpie"/>
          <w:rFonts w:ascii="Arial" w:hAnsi="Arial" w:cs="Arial"/>
          <w:sz w:val="16"/>
          <w:szCs w:val="16"/>
        </w:rPr>
        <w:footnoteRef/>
      </w:r>
      <w:r w:rsidRPr="002F4334">
        <w:rPr>
          <w:rFonts w:ascii="Arial" w:hAnsi="Arial" w:cs="Arial"/>
          <w:sz w:val="16"/>
          <w:szCs w:val="16"/>
        </w:rPr>
        <w:t xml:space="preserve"> </w:t>
      </w:r>
      <w:r w:rsidRPr="002F4334">
        <w:rPr>
          <w:rFonts w:ascii="Arial" w:hAnsi="Arial" w:cs="Arial"/>
          <w:sz w:val="16"/>
          <w:szCs w:val="16"/>
          <w:lang w:val="es-ES"/>
        </w:rPr>
        <w:t xml:space="preserve">Sentencia del Consejo de Estado. Sección Tercera. </w:t>
      </w:r>
      <w:r w:rsidRPr="002F4334">
        <w:rPr>
          <w:rFonts w:ascii="Arial" w:hAnsi="Arial" w:cs="Arial"/>
          <w:sz w:val="16"/>
          <w:szCs w:val="16"/>
        </w:rPr>
        <w:t>25000-23-26-000-1995-00862-01(16494) del 23 de junio de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393455"/>
    <w:multiLevelType w:val="hybridMultilevel"/>
    <w:tmpl w:val="87C620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6479EC"/>
    <w:multiLevelType w:val="hybridMultilevel"/>
    <w:tmpl w:val="DB863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57438E"/>
    <w:multiLevelType w:val="hybridMultilevel"/>
    <w:tmpl w:val="B868EC80"/>
    <w:lvl w:ilvl="0" w:tplc="9188773C">
      <w:start w:val="1"/>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7216086C"/>
    <w:multiLevelType w:val="hybridMultilevel"/>
    <w:tmpl w:val="8E9E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BB0BFA"/>
    <w:multiLevelType w:val="hybridMultilevel"/>
    <w:tmpl w:val="4F06249A"/>
    <w:lvl w:ilvl="0" w:tplc="7F2069A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6229919">
    <w:abstractNumId w:val="4"/>
  </w:num>
  <w:num w:numId="2" w16cid:durableId="1369451507">
    <w:abstractNumId w:val="24"/>
  </w:num>
  <w:num w:numId="3" w16cid:durableId="1412392136">
    <w:abstractNumId w:val="15"/>
  </w:num>
  <w:num w:numId="4" w16cid:durableId="1468737793">
    <w:abstractNumId w:val="6"/>
  </w:num>
  <w:num w:numId="5" w16cid:durableId="2032486527">
    <w:abstractNumId w:val="12"/>
  </w:num>
  <w:num w:numId="6" w16cid:durableId="444152281">
    <w:abstractNumId w:val="11"/>
  </w:num>
  <w:num w:numId="7" w16cid:durableId="987783139">
    <w:abstractNumId w:val="10"/>
  </w:num>
  <w:num w:numId="8" w16cid:durableId="300699395">
    <w:abstractNumId w:val="7"/>
  </w:num>
  <w:num w:numId="9" w16cid:durableId="155537631">
    <w:abstractNumId w:val="25"/>
  </w:num>
  <w:num w:numId="10" w16cid:durableId="1812743485">
    <w:abstractNumId w:val="21"/>
  </w:num>
  <w:num w:numId="11" w16cid:durableId="1016543532">
    <w:abstractNumId w:val="23"/>
  </w:num>
  <w:num w:numId="12" w16cid:durableId="401412960">
    <w:abstractNumId w:val="2"/>
  </w:num>
  <w:num w:numId="13" w16cid:durableId="1960212707">
    <w:abstractNumId w:val="1"/>
  </w:num>
  <w:num w:numId="14" w16cid:durableId="2019892373">
    <w:abstractNumId w:val="5"/>
  </w:num>
  <w:num w:numId="15" w16cid:durableId="1420249371">
    <w:abstractNumId w:val="14"/>
  </w:num>
  <w:num w:numId="16" w16cid:durableId="774864844">
    <w:abstractNumId w:val="13"/>
  </w:num>
  <w:num w:numId="17" w16cid:durableId="797380313">
    <w:abstractNumId w:val="8"/>
  </w:num>
  <w:num w:numId="18" w16cid:durableId="1968273128">
    <w:abstractNumId w:val="0"/>
  </w:num>
  <w:num w:numId="19" w16cid:durableId="591668195">
    <w:abstractNumId w:val="17"/>
  </w:num>
  <w:num w:numId="20" w16cid:durableId="1036273686">
    <w:abstractNumId w:val="3"/>
  </w:num>
  <w:num w:numId="21" w16cid:durableId="801733144">
    <w:abstractNumId w:val="18"/>
  </w:num>
  <w:num w:numId="22" w16cid:durableId="590049377">
    <w:abstractNumId w:val="20"/>
  </w:num>
  <w:num w:numId="23" w16cid:durableId="19390228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35093">
    <w:abstractNumId w:val="22"/>
  </w:num>
  <w:num w:numId="25" w16cid:durableId="485978454">
    <w:abstractNumId w:val="16"/>
  </w:num>
  <w:num w:numId="26" w16cid:durableId="1723750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880"/>
    <w:rsid w:val="00000B13"/>
    <w:rsid w:val="000017D4"/>
    <w:rsid w:val="00002902"/>
    <w:rsid w:val="0000490B"/>
    <w:rsid w:val="00006FF3"/>
    <w:rsid w:val="0000707A"/>
    <w:rsid w:val="00012EE5"/>
    <w:rsid w:val="0001364B"/>
    <w:rsid w:val="00014CE7"/>
    <w:rsid w:val="000171A6"/>
    <w:rsid w:val="00017BE6"/>
    <w:rsid w:val="00017E9F"/>
    <w:rsid w:val="00022B56"/>
    <w:rsid w:val="00025B16"/>
    <w:rsid w:val="00026148"/>
    <w:rsid w:val="0002669F"/>
    <w:rsid w:val="0002726A"/>
    <w:rsid w:val="00027ACF"/>
    <w:rsid w:val="000303A4"/>
    <w:rsid w:val="0003111F"/>
    <w:rsid w:val="000319BE"/>
    <w:rsid w:val="00032BA7"/>
    <w:rsid w:val="00034EB4"/>
    <w:rsid w:val="00034FF5"/>
    <w:rsid w:val="0004089C"/>
    <w:rsid w:val="00041D7C"/>
    <w:rsid w:val="00043C30"/>
    <w:rsid w:val="0004408B"/>
    <w:rsid w:val="000477EE"/>
    <w:rsid w:val="0005032E"/>
    <w:rsid w:val="00050889"/>
    <w:rsid w:val="0005124C"/>
    <w:rsid w:val="00051995"/>
    <w:rsid w:val="00053F6F"/>
    <w:rsid w:val="00054C07"/>
    <w:rsid w:val="00054D2C"/>
    <w:rsid w:val="00055C56"/>
    <w:rsid w:val="00057153"/>
    <w:rsid w:val="0006010D"/>
    <w:rsid w:val="00065862"/>
    <w:rsid w:val="00065DE7"/>
    <w:rsid w:val="00073620"/>
    <w:rsid w:val="0007701A"/>
    <w:rsid w:val="00082532"/>
    <w:rsid w:val="0008727D"/>
    <w:rsid w:val="0008780B"/>
    <w:rsid w:val="00091330"/>
    <w:rsid w:val="000914E4"/>
    <w:rsid w:val="0009217D"/>
    <w:rsid w:val="000937BF"/>
    <w:rsid w:val="00095BF8"/>
    <w:rsid w:val="000963CD"/>
    <w:rsid w:val="000A1496"/>
    <w:rsid w:val="000A15D9"/>
    <w:rsid w:val="000A2660"/>
    <w:rsid w:val="000A4B28"/>
    <w:rsid w:val="000A5CE5"/>
    <w:rsid w:val="000B43AC"/>
    <w:rsid w:val="000B66C2"/>
    <w:rsid w:val="000B6A8D"/>
    <w:rsid w:val="000B7F12"/>
    <w:rsid w:val="000C0D81"/>
    <w:rsid w:val="000C15D5"/>
    <w:rsid w:val="000C1954"/>
    <w:rsid w:val="000C2815"/>
    <w:rsid w:val="000C7A2F"/>
    <w:rsid w:val="000C7BF6"/>
    <w:rsid w:val="000D0A88"/>
    <w:rsid w:val="000D6562"/>
    <w:rsid w:val="000E1F3E"/>
    <w:rsid w:val="000E309F"/>
    <w:rsid w:val="000E438D"/>
    <w:rsid w:val="000E4441"/>
    <w:rsid w:val="000E72C6"/>
    <w:rsid w:val="000F0685"/>
    <w:rsid w:val="000F288C"/>
    <w:rsid w:val="000F3B70"/>
    <w:rsid w:val="000F5A69"/>
    <w:rsid w:val="000F5B68"/>
    <w:rsid w:val="0010107D"/>
    <w:rsid w:val="0010777D"/>
    <w:rsid w:val="001078D2"/>
    <w:rsid w:val="00112819"/>
    <w:rsid w:val="00115D71"/>
    <w:rsid w:val="001237B8"/>
    <w:rsid w:val="00124352"/>
    <w:rsid w:val="00124466"/>
    <w:rsid w:val="00124A68"/>
    <w:rsid w:val="00124C46"/>
    <w:rsid w:val="00124F2D"/>
    <w:rsid w:val="00125C46"/>
    <w:rsid w:val="0012615E"/>
    <w:rsid w:val="001315AD"/>
    <w:rsid w:val="00132042"/>
    <w:rsid w:val="00134369"/>
    <w:rsid w:val="001362C3"/>
    <w:rsid w:val="00137734"/>
    <w:rsid w:val="00144A98"/>
    <w:rsid w:val="00145051"/>
    <w:rsid w:val="00145CFF"/>
    <w:rsid w:val="001475A7"/>
    <w:rsid w:val="00150148"/>
    <w:rsid w:val="001513A6"/>
    <w:rsid w:val="0015283A"/>
    <w:rsid w:val="00152E4B"/>
    <w:rsid w:val="001540ED"/>
    <w:rsid w:val="00156A6B"/>
    <w:rsid w:val="00156E70"/>
    <w:rsid w:val="001577F4"/>
    <w:rsid w:val="001602F5"/>
    <w:rsid w:val="00160E03"/>
    <w:rsid w:val="0016323D"/>
    <w:rsid w:val="001635F1"/>
    <w:rsid w:val="00166F69"/>
    <w:rsid w:val="00172E69"/>
    <w:rsid w:val="001737D6"/>
    <w:rsid w:val="00180BE7"/>
    <w:rsid w:val="00181030"/>
    <w:rsid w:val="0018111C"/>
    <w:rsid w:val="001822D6"/>
    <w:rsid w:val="0019051C"/>
    <w:rsid w:val="00190799"/>
    <w:rsid w:val="001925A0"/>
    <w:rsid w:val="00193406"/>
    <w:rsid w:val="0019487B"/>
    <w:rsid w:val="00194DAC"/>
    <w:rsid w:val="0019650B"/>
    <w:rsid w:val="0019688A"/>
    <w:rsid w:val="001A1037"/>
    <w:rsid w:val="001A1934"/>
    <w:rsid w:val="001A4BCD"/>
    <w:rsid w:val="001B1B49"/>
    <w:rsid w:val="001B2356"/>
    <w:rsid w:val="001B385C"/>
    <w:rsid w:val="001B4032"/>
    <w:rsid w:val="001B5F8B"/>
    <w:rsid w:val="001B710F"/>
    <w:rsid w:val="001B7F85"/>
    <w:rsid w:val="001C0188"/>
    <w:rsid w:val="001C0B9D"/>
    <w:rsid w:val="001C5991"/>
    <w:rsid w:val="001C7171"/>
    <w:rsid w:val="001D1E00"/>
    <w:rsid w:val="001D2F7C"/>
    <w:rsid w:val="001D4466"/>
    <w:rsid w:val="001D79DA"/>
    <w:rsid w:val="001E1369"/>
    <w:rsid w:val="001E2408"/>
    <w:rsid w:val="001E330C"/>
    <w:rsid w:val="001E451C"/>
    <w:rsid w:val="001E75F0"/>
    <w:rsid w:val="001F13F3"/>
    <w:rsid w:val="001F5E8F"/>
    <w:rsid w:val="001F6647"/>
    <w:rsid w:val="001F6B08"/>
    <w:rsid w:val="001F7AD3"/>
    <w:rsid w:val="001F7FC8"/>
    <w:rsid w:val="002001FB"/>
    <w:rsid w:val="00200EA7"/>
    <w:rsid w:val="0020156D"/>
    <w:rsid w:val="00203C34"/>
    <w:rsid w:val="00205459"/>
    <w:rsid w:val="00205C17"/>
    <w:rsid w:val="00206267"/>
    <w:rsid w:val="002075E3"/>
    <w:rsid w:val="002113BD"/>
    <w:rsid w:val="002133E5"/>
    <w:rsid w:val="0021365A"/>
    <w:rsid w:val="00213834"/>
    <w:rsid w:val="00214BAA"/>
    <w:rsid w:val="0021706B"/>
    <w:rsid w:val="00220E62"/>
    <w:rsid w:val="00225B6A"/>
    <w:rsid w:val="002260E3"/>
    <w:rsid w:val="00231B9E"/>
    <w:rsid w:val="00234E5A"/>
    <w:rsid w:val="00234F3F"/>
    <w:rsid w:val="00236FF0"/>
    <w:rsid w:val="00241016"/>
    <w:rsid w:val="00241F5A"/>
    <w:rsid w:val="00242AE1"/>
    <w:rsid w:val="00245EF4"/>
    <w:rsid w:val="00250C1E"/>
    <w:rsid w:val="00250C47"/>
    <w:rsid w:val="002518D3"/>
    <w:rsid w:val="0025215F"/>
    <w:rsid w:val="00252534"/>
    <w:rsid w:val="002529D9"/>
    <w:rsid w:val="00254E27"/>
    <w:rsid w:val="0025591F"/>
    <w:rsid w:val="002575D4"/>
    <w:rsid w:val="002619F4"/>
    <w:rsid w:val="00263EDD"/>
    <w:rsid w:val="00264F38"/>
    <w:rsid w:val="0026526A"/>
    <w:rsid w:val="002678DC"/>
    <w:rsid w:val="00267DDC"/>
    <w:rsid w:val="00274885"/>
    <w:rsid w:val="00275D02"/>
    <w:rsid w:val="00281D90"/>
    <w:rsid w:val="00287171"/>
    <w:rsid w:val="00291177"/>
    <w:rsid w:val="00291E04"/>
    <w:rsid w:val="0029645D"/>
    <w:rsid w:val="00297658"/>
    <w:rsid w:val="002A5538"/>
    <w:rsid w:val="002A64A5"/>
    <w:rsid w:val="002A6794"/>
    <w:rsid w:val="002A67E9"/>
    <w:rsid w:val="002B0482"/>
    <w:rsid w:val="002B2698"/>
    <w:rsid w:val="002B4F2C"/>
    <w:rsid w:val="002B559C"/>
    <w:rsid w:val="002B5E76"/>
    <w:rsid w:val="002C2DF9"/>
    <w:rsid w:val="002C63C3"/>
    <w:rsid w:val="002D4715"/>
    <w:rsid w:val="002E01B1"/>
    <w:rsid w:val="002F0868"/>
    <w:rsid w:val="002F23D3"/>
    <w:rsid w:val="002F2A89"/>
    <w:rsid w:val="002F45C5"/>
    <w:rsid w:val="002F4EFC"/>
    <w:rsid w:val="002F5A28"/>
    <w:rsid w:val="002F6808"/>
    <w:rsid w:val="00310E06"/>
    <w:rsid w:val="0032096D"/>
    <w:rsid w:val="0032364E"/>
    <w:rsid w:val="00323E78"/>
    <w:rsid w:val="00323F91"/>
    <w:rsid w:val="00325B5A"/>
    <w:rsid w:val="003316F2"/>
    <w:rsid w:val="00335397"/>
    <w:rsid w:val="00335CDA"/>
    <w:rsid w:val="00340888"/>
    <w:rsid w:val="00344862"/>
    <w:rsid w:val="00346291"/>
    <w:rsid w:val="00347348"/>
    <w:rsid w:val="003534B3"/>
    <w:rsid w:val="00353DA4"/>
    <w:rsid w:val="00361931"/>
    <w:rsid w:val="00364C71"/>
    <w:rsid w:val="003655D8"/>
    <w:rsid w:val="00366EFB"/>
    <w:rsid w:val="00372B87"/>
    <w:rsid w:val="00374573"/>
    <w:rsid w:val="00375AFE"/>
    <w:rsid w:val="00377450"/>
    <w:rsid w:val="00382603"/>
    <w:rsid w:val="00382E81"/>
    <w:rsid w:val="00383160"/>
    <w:rsid w:val="0038564B"/>
    <w:rsid w:val="00386C75"/>
    <w:rsid w:val="00387D2A"/>
    <w:rsid w:val="00391358"/>
    <w:rsid w:val="00391902"/>
    <w:rsid w:val="00391B1A"/>
    <w:rsid w:val="0039208A"/>
    <w:rsid w:val="003958E6"/>
    <w:rsid w:val="00395B0D"/>
    <w:rsid w:val="003A437A"/>
    <w:rsid w:val="003A4DCD"/>
    <w:rsid w:val="003A5EDE"/>
    <w:rsid w:val="003A7566"/>
    <w:rsid w:val="003B07A6"/>
    <w:rsid w:val="003B136D"/>
    <w:rsid w:val="003B24E1"/>
    <w:rsid w:val="003B34F9"/>
    <w:rsid w:val="003B3F29"/>
    <w:rsid w:val="003B43FD"/>
    <w:rsid w:val="003B522A"/>
    <w:rsid w:val="003B6456"/>
    <w:rsid w:val="003C0BA8"/>
    <w:rsid w:val="003C215E"/>
    <w:rsid w:val="003C51A3"/>
    <w:rsid w:val="003C5BCE"/>
    <w:rsid w:val="003D0D35"/>
    <w:rsid w:val="003D6324"/>
    <w:rsid w:val="003D719A"/>
    <w:rsid w:val="003E481D"/>
    <w:rsid w:val="003E4B3A"/>
    <w:rsid w:val="003E7C1D"/>
    <w:rsid w:val="003F26B0"/>
    <w:rsid w:val="003F2B48"/>
    <w:rsid w:val="003F6740"/>
    <w:rsid w:val="003F6859"/>
    <w:rsid w:val="003F6EF1"/>
    <w:rsid w:val="00400318"/>
    <w:rsid w:val="0040300C"/>
    <w:rsid w:val="00404E15"/>
    <w:rsid w:val="004051C2"/>
    <w:rsid w:val="00407F39"/>
    <w:rsid w:val="0041095F"/>
    <w:rsid w:val="004117A0"/>
    <w:rsid w:val="0041398D"/>
    <w:rsid w:val="00414CA3"/>
    <w:rsid w:val="00415253"/>
    <w:rsid w:val="00415DE4"/>
    <w:rsid w:val="00416C87"/>
    <w:rsid w:val="00416F84"/>
    <w:rsid w:val="00420544"/>
    <w:rsid w:val="00423180"/>
    <w:rsid w:val="00423AA7"/>
    <w:rsid w:val="0042497F"/>
    <w:rsid w:val="00426021"/>
    <w:rsid w:val="004266F0"/>
    <w:rsid w:val="00427B79"/>
    <w:rsid w:val="00427DD5"/>
    <w:rsid w:val="0043157D"/>
    <w:rsid w:val="00434348"/>
    <w:rsid w:val="0043481D"/>
    <w:rsid w:val="00435077"/>
    <w:rsid w:val="004354F5"/>
    <w:rsid w:val="00437A9D"/>
    <w:rsid w:val="00441E11"/>
    <w:rsid w:val="00450502"/>
    <w:rsid w:val="00450732"/>
    <w:rsid w:val="004521EA"/>
    <w:rsid w:val="00455162"/>
    <w:rsid w:val="004629F9"/>
    <w:rsid w:val="004648A8"/>
    <w:rsid w:val="00470810"/>
    <w:rsid w:val="00471F7E"/>
    <w:rsid w:val="00472DAF"/>
    <w:rsid w:val="00473827"/>
    <w:rsid w:val="00475CD7"/>
    <w:rsid w:val="0047651F"/>
    <w:rsid w:val="00476D03"/>
    <w:rsid w:val="00483B2D"/>
    <w:rsid w:val="00491657"/>
    <w:rsid w:val="004933F1"/>
    <w:rsid w:val="00494E38"/>
    <w:rsid w:val="004973D2"/>
    <w:rsid w:val="004979F9"/>
    <w:rsid w:val="004A01FD"/>
    <w:rsid w:val="004A0DA0"/>
    <w:rsid w:val="004A2873"/>
    <w:rsid w:val="004A356B"/>
    <w:rsid w:val="004A41E7"/>
    <w:rsid w:val="004A5506"/>
    <w:rsid w:val="004A64EA"/>
    <w:rsid w:val="004A6BD9"/>
    <w:rsid w:val="004B0B9A"/>
    <w:rsid w:val="004B66CD"/>
    <w:rsid w:val="004B7FC9"/>
    <w:rsid w:val="004C01CE"/>
    <w:rsid w:val="004C2C14"/>
    <w:rsid w:val="004C37CD"/>
    <w:rsid w:val="004C3F58"/>
    <w:rsid w:val="004C46ED"/>
    <w:rsid w:val="004C7C3A"/>
    <w:rsid w:val="004D3696"/>
    <w:rsid w:val="004D38F5"/>
    <w:rsid w:val="004D62C2"/>
    <w:rsid w:val="004D6F5B"/>
    <w:rsid w:val="004E01D1"/>
    <w:rsid w:val="004E3F74"/>
    <w:rsid w:val="004E40E0"/>
    <w:rsid w:val="004E5E2E"/>
    <w:rsid w:val="004E6431"/>
    <w:rsid w:val="004F0523"/>
    <w:rsid w:val="004F0794"/>
    <w:rsid w:val="004F07B4"/>
    <w:rsid w:val="004F1AEA"/>
    <w:rsid w:val="004F277D"/>
    <w:rsid w:val="004F44B9"/>
    <w:rsid w:val="004F547D"/>
    <w:rsid w:val="004F605B"/>
    <w:rsid w:val="004F6109"/>
    <w:rsid w:val="004F6C5E"/>
    <w:rsid w:val="004F6CBF"/>
    <w:rsid w:val="004F6DF7"/>
    <w:rsid w:val="00500CF5"/>
    <w:rsid w:val="00505F3C"/>
    <w:rsid w:val="00510061"/>
    <w:rsid w:val="00510C6F"/>
    <w:rsid w:val="00510E64"/>
    <w:rsid w:val="005156AE"/>
    <w:rsid w:val="00515F47"/>
    <w:rsid w:val="00531D5B"/>
    <w:rsid w:val="00532EF3"/>
    <w:rsid w:val="00542502"/>
    <w:rsid w:val="0054360C"/>
    <w:rsid w:val="00543F6F"/>
    <w:rsid w:val="00547F32"/>
    <w:rsid w:val="00551F32"/>
    <w:rsid w:val="005533FD"/>
    <w:rsid w:val="0055756D"/>
    <w:rsid w:val="00560BF1"/>
    <w:rsid w:val="00563A6D"/>
    <w:rsid w:val="00563CF8"/>
    <w:rsid w:val="00564D83"/>
    <w:rsid w:val="00565A9E"/>
    <w:rsid w:val="00565E2F"/>
    <w:rsid w:val="00566329"/>
    <w:rsid w:val="00566B52"/>
    <w:rsid w:val="00566E21"/>
    <w:rsid w:val="00571650"/>
    <w:rsid w:val="00571F29"/>
    <w:rsid w:val="0057260D"/>
    <w:rsid w:val="005835CC"/>
    <w:rsid w:val="00584B87"/>
    <w:rsid w:val="005860C3"/>
    <w:rsid w:val="00587791"/>
    <w:rsid w:val="005923B4"/>
    <w:rsid w:val="005936C4"/>
    <w:rsid w:val="00594CE5"/>
    <w:rsid w:val="00595D9B"/>
    <w:rsid w:val="00595F06"/>
    <w:rsid w:val="005A16F9"/>
    <w:rsid w:val="005A3F2C"/>
    <w:rsid w:val="005A464A"/>
    <w:rsid w:val="005A5123"/>
    <w:rsid w:val="005A519D"/>
    <w:rsid w:val="005A6ED4"/>
    <w:rsid w:val="005B3F70"/>
    <w:rsid w:val="005B6D2E"/>
    <w:rsid w:val="005C17DC"/>
    <w:rsid w:val="005C18FC"/>
    <w:rsid w:val="005C1F2D"/>
    <w:rsid w:val="005C6CF5"/>
    <w:rsid w:val="005D1BF8"/>
    <w:rsid w:val="005D60E1"/>
    <w:rsid w:val="005D7117"/>
    <w:rsid w:val="005D7327"/>
    <w:rsid w:val="005E0440"/>
    <w:rsid w:val="005E2E7D"/>
    <w:rsid w:val="005E3082"/>
    <w:rsid w:val="005E5C31"/>
    <w:rsid w:val="005F1535"/>
    <w:rsid w:val="005F413A"/>
    <w:rsid w:val="005F4527"/>
    <w:rsid w:val="005F5E31"/>
    <w:rsid w:val="006001B7"/>
    <w:rsid w:val="0060781C"/>
    <w:rsid w:val="00612D74"/>
    <w:rsid w:val="006147B4"/>
    <w:rsid w:val="006167FF"/>
    <w:rsid w:val="00623382"/>
    <w:rsid w:val="00625704"/>
    <w:rsid w:val="006306B7"/>
    <w:rsid w:val="0063095B"/>
    <w:rsid w:val="00630C20"/>
    <w:rsid w:val="00630ED9"/>
    <w:rsid w:val="00632030"/>
    <w:rsid w:val="00635B1A"/>
    <w:rsid w:val="00637020"/>
    <w:rsid w:val="006371DC"/>
    <w:rsid w:val="00640DD7"/>
    <w:rsid w:val="00644A45"/>
    <w:rsid w:val="006468B3"/>
    <w:rsid w:val="0065115A"/>
    <w:rsid w:val="00653910"/>
    <w:rsid w:val="006573E2"/>
    <w:rsid w:val="00657B8F"/>
    <w:rsid w:val="0066002E"/>
    <w:rsid w:val="00664F7B"/>
    <w:rsid w:val="00665320"/>
    <w:rsid w:val="0066553A"/>
    <w:rsid w:val="006669F5"/>
    <w:rsid w:val="00666A2C"/>
    <w:rsid w:val="006670DA"/>
    <w:rsid w:val="0067008E"/>
    <w:rsid w:val="00671611"/>
    <w:rsid w:val="006716CA"/>
    <w:rsid w:val="006755E9"/>
    <w:rsid w:val="006766E1"/>
    <w:rsid w:val="00677588"/>
    <w:rsid w:val="00677E50"/>
    <w:rsid w:val="00680943"/>
    <w:rsid w:val="0068381C"/>
    <w:rsid w:val="00684399"/>
    <w:rsid w:val="00685BEE"/>
    <w:rsid w:val="0069244F"/>
    <w:rsid w:val="0069382F"/>
    <w:rsid w:val="006960CD"/>
    <w:rsid w:val="006A22E4"/>
    <w:rsid w:val="006A460C"/>
    <w:rsid w:val="006A60EE"/>
    <w:rsid w:val="006B25C3"/>
    <w:rsid w:val="006B4D16"/>
    <w:rsid w:val="006B60AF"/>
    <w:rsid w:val="006B6167"/>
    <w:rsid w:val="006B6B0A"/>
    <w:rsid w:val="006B6DCA"/>
    <w:rsid w:val="006C0C2D"/>
    <w:rsid w:val="006C0D34"/>
    <w:rsid w:val="006C1171"/>
    <w:rsid w:val="006C498E"/>
    <w:rsid w:val="006C775C"/>
    <w:rsid w:val="006D286E"/>
    <w:rsid w:val="006E0CB5"/>
    <w:rsid w:val="006E20C7"/>
    <w:rsid w:val="006E2365"/>
    <w:rsid w:val="006E43C8"/>
    <w:rsid w:val="006E4570"/>
    <w:rsid w:val="006E67DC"/>
    <w:rsid w:val="006F0163"/>
    <w:rsid w:val="006F3F7B"/>
    <w:rsid w:val="006F6A75"/>
    <w:rsid w:val="00704175"/>
    <w:rsid w:val="00707281"/>
    <w:rsid w:val="00707E46"/>
    <w:rsid w:val="0071048F"/>
    <w:rsid w:val="00712A62"/>
    <w:rsid w:val="00714106"/>
    <w:rsid w:val="00715EED"/>
    <w:rsid w:val="00717AF7"/>
    <w:rsid w:val="00717FD8"/>
    <w:rsid w:val="007270A9"/>
    <w:rsid w:val="00733341"/>
    <w:rsid w:val="00735B9F"/>
    <w:rsid w:val="00737DF1"/>
    <w:rsid w:val="0074448D"/>
    <w:rsid w:val="00746684"/>
    <w:rsid w:val="00746CE8"/>
    <w:rsid w:val="00747BCA"/>
    <w:rsid w:val="0075046B"/>
    <w:rsid w:val="00751B5A"/>
    <w:rsid w:val="007551A8"/>
    <w:rsid w:val="00757743"/>
    <w:rsid w:val="007579AE"/>
    <w:rsid w:val="00770630"/>
    <w:rsid w:val="00770B85"/>
    <w:rsid w:val="00774328"/>
    <w:rsid w:val="007757E1"/>
    <w:rsid w:val="007778C4"/>
    <w:rsid w:val="007805DF"/>
    <w:rsid w:val="00784A7B"/>
    <w:rsid w:val="007857DB"/>
    <w:rsid w:val="007861C4"/>
    <w:rsid w:val="00787140"/>
    <w:rsid w:val="0079221C"/>
    <w:rsid w:val="00793C8E"/>
    <w:rsid w:val="00794059"/>
    <w:rsid w:val="00795A70"/>
    <w:rsid w:val="007967DF"/>
    <w:rsid w:val="00797441"/>
    <w:rsid w:val="007A200A"/>
    <w:rsid w:val="007A611E"/>
    <w:rsid w:val="007A708E"/>
    <w:rsid w:val="007B4DAB"/>
    <w:rsid w:val="007B7164"/>
    <w:rsid w:val="007B730F"/>
    <w:rsid w:val="007C1A65"/>
    <w:rsid w:val="007C2758"/>
    <w:rsid w:val="007C5FAD"/>
    <w:rsid w:val="007C6FC5"/>
    <w:rsid w:val="007D19F7"/>
    <w:rsid w:val="007D397F"/>
    <w:rsid w:val="007D4574"/>
    <w:rsid w:val="007D4A4C"/>
    <w:rsid w:val="007D4F72"/>
    <w:rsid w:val="007E0B49"/>
    <w:rsid w:val="007E0B9C"/>
    <w:rsid w:val="007E0E92"/>
    <w:rsid w:val="007E1A8D"/>
    <w:rsid w:val="007E2113"/>
    <w:rsid w:val="007E524E"/>
    <w:rsid w:val="007F081F"/>
    <w:rsid w:val="007F0EE9"/>
    <w:rsid w:val="007F4808"/>
    <w:rsid w:val="007F632D"/>
    <w:rsid w:val="007F6660"/>
    <w:rsid w:val="007F6A39"/>
    <w:rsid w:val="007F78E7"/>
    <w:rsid w:val="007F7EF1"/>
    <w:rsid w:val="008013D1"/>
    <w:rsid w:val="00803EEE"/>
    <w:rsid w:val="00804320"/>
    <w:rsid w:val="00805708"/>
    <w:rsid w:val="008108E0"/>
    <w:rsid w:val="008124FB"/>
    <w:rsid w:val="00813A66"/>
    <w:rsid w:val="008147F3"/>
    <w:rsid w:val="00814994"/>
    <w:rsid w:val="00815CA1"/>
    <w:rsid w:val="00822C26"/>
    <w:rsid w:val="0082310B"/>
    <w:rsid w:val="00823819"/>
    <w:rsid w:val="00823B61"/>
    <w:rsid w:val="00824967"/>
    <w:rsid w:val="0082498D"/>
    <w:rsid w:val="008249D8"/>
    <w:rsid w:val="0082556C"/>
    <w:rsid w:val="00825745"/>
    <w:rsid w:val="00827812"/>
    <w:rsid w:val="00831BE9"/>
    <w:rsid w:val="00831D58"/>
    <w:rsid w:val="00832AD3"/>
    <w:rsid w:val="008341B4"/>
    <w:rsid w:val="00844718"/>
    <w:rsid w:val="008456C9"/>
    <w:rsid w:val="0084611F"/>
    <w:rsid w:val="008504DB"/>
    <w:rsid w:val="00855C20"/>
    <w:rsid w:val="00857FED"/>
    <w:rsid w:val="008601B9"/>
    <w:rsid w:val="008609E8"/>
    <w:rsid w:val="00860A79"/>
    <w:rsid w:val="00861378"/>
    <w:rsid w:val="00863FAF"/>
    <w:rsid w:val="00864742"/>
    <w:rsid w:val="0086650B"/>
    <w:rsid w:val="008812DB"/>
    <w:rsid w:val="00882F9A"/>
    <w:rsid w:val="008830A7"/>
    <w:rsid w:val="008848CE"/>
    <w:rsid w:val="00890ADF"/>
    <w:rsid w:val="00890B88"/>
    <w:rsid w:val="008935F6"/>
    <w:rsid w:val="00894C4C"/>
    <w:rsid w:val="0089527D"/>
    <w:rsid w:val="008A0BC3"/>
    <w:rsid w:val="008A35DE"/>
    <w:rsid w:val="008A3EE5"/>
    <w:rsid w:val="008A4D15"/>
    <w:rsid w:val="008A6451"/>
    <w:rsid w:val="008B1A85"/>
    <w:rsid w:val="008B1D19"/>
    <w:rsid w:val="008B2132"/>
    <w:rsid w:val="008B2E89"/>
    <w:rsid w:val="008B2F14"/>
    <w:rsid w:val="008B409F"/>
    <w:rsid w:val="008B5A27"/>
    <w:rsid w:val="008B67AA"/>
    <w:rsid w:val="008B6B34"/>
    <w:rsid w:val="008C0694"/>
    <w:rsid w:val="008C0F5F"/>
    <w:rsid w:val="008C102A"/>
    <w:rsid w:val="008C1F6B"/>
    <w:rsid w:val="008C5502"/>
    <w:rsid w:val="008D7B7F"/>
    <w:rsid w:val="008E0AF6"/>
    <w:rsid w:val="008E2604"/>
    <w:rsid w:val="008E3D10"/>
    <w:rsid w:val="008E4E08"/>
    <w:rsid w:val="008E7170"/>
    <w:rsid w:val="008E79D5"/>
    <w:rsid w:val="008E7D73"/>
    <w:rsid w:val="008F1000"/>
    <w:rsid w:val="008F1E2F"/>
    <w:rsid w:val="008F32AD"/>
    <w:rsid w:val="008F61D6"/>
    <w:rsid w:val="00901AEF"/>
    <w:rsid w:val="009029CD"/>
    <w:rsid w:val="009029F2"/>
    <w:rsid w:val="00904321"/>
    <w:rsid w:val="009075E5"/>
    <w:rsid w:val="00910426"/>
    <w:rsid w:val="00911004"/>
    <w:rsid w:val="009178DC"/>
    <w:rsid w:val="009208AF"/>
    <w:rsid w:val="0092123D"/>
    <w:rsid w:val="009235E5"/>
    <w:rsid w:val="00931244"/>
    <w:rsid w:val="00932ACB"/>
    <w:rsid w:val="00940691"/>
    <w:rsid w:val="009426AD"/>
    <w:rsid w:val="009454B3"/>
    <w:rsid w:val="0094563F"/>
    <w:rsid w:val="00950872"/>
    <w:rsid w:val="00950A88"/>
    <w:rsid w:val="009514AF"/>
    <w:rsid w:val="0095192D"/>
    <w:rsid w:val="0095250D"/>
    <w:rsid w:val="0095599C"/>
    <w:rsid w:val="00962EDC"/>
    <w:rsid w:val="0096678A"/>
    <w:rsid w:val="00967069"/>
    <w:rsid w:val="00976AD3"/>
    <w:rsid w:val="009836FE"/>
    <w:rsid w:val="00983C2F"/>
    <w:rsid w:val="00983D38"/>
    <w:rsid w:val="0098585F"/>
    <w:rsid w:val="009858BF"/>
    <w:rsid w:val="00994ED3"/>
    <w:rsid w:val="00997C0E"/>
    <w:rsid w:val="009A2C56"/>
    <w:rsid w:val="009A3CB8"/>
    <w:rsid w:val="009A6862"/>
    <w:rsid w:val="009B002B"/>
    <w:rsid w:val="009B0C2C"/>
    <w:rsid w:val="009B0E28"/>
    <w:rsid w:val="009B15C9"/>
    <w:rsid w:val="009B2A22"/>
    <w:rsid w:val="009B2D03"/>
    <w:rsid w:val="009B59A7"/>
    <w:rsid w:val="009B5E15"/>
    <w:rsid w:val="009B5EC2"/>
    <w:rsid w:val="009B78B1"/>
    <w:rsid w:val="009C0A95"/>
    <w:rsid w:val="009C3744"/>
    <w:rsid w:val="009C430A"/>
    <w:rsid w:val="009C444A"/>
    <w:rsid w:val="009C4649"/>
    <w:rsid w:val="009C5D54"/>
    <w:rsid w:val="009C6DBB"/>
    <w:rsid w:val="009C74E6"/>
    <w:rsid w:val="009D0812"/>
    <w:rsid w:val="009D1B93"/>
    <w:rsid w:val="009D3F73"/>
    <w:rsid w:val="009D4062"/>
    <w:rsid w:val="009D41D8"/>
    <w:rsid w:val="009D4CBE"/>
    <w:rsid w:val="009D5C46"/>
    <w:rsid w:val="009E08BE"/>
    <w:rsid w:val="009E2024"/>
    <w:rsid w:val="009E21F9"/>
    <w:rsid w:val="009E2D5D"/>
    <w:rsid w:val="009F1B44"/>
    <w:rsid w:val="009F34DF"/>
    <w:rsid w:val="009F44F6"/>
    <w:rsid w:val="00A00C2F"/>
    <w:rsid w:val="00A033AA"/>
    <w:rsid w:val="00A03ABF"/>
    <w:rsid w:val="00A068DD"/>
    <w:rsid w:val="00A07614"/>
    <w:rsid w:val="00A1032B"/>
    <w:rsid w:val="00A1046C"/>
    <w:rsid w:val="00A14DE6"/>
    <w:rsid w:val="00A1504C"/>
    <w:rsid w:val="00A16840"/>
    <w:rsid w:val="00A21466"/>
    <w:rsid w:val="00A23B2D"/>
    <w:rsid w:val="00A255B1"/>
    <w:rsid w:val="00A316EB"/>
    <w:rsid w:val="00A3518A"/>
    <w:rsid w:val="00A40685"/>
    <w:rsid w:val="00A40B20"/>
    <w:rsid w:val="00A42902"/>
    <w:rsid w:val="00A457A0"/>
    <w:rsid w:val="00A4672B"/>
    <w:rsid w:val="00A47DFD"/>
    <w:rsid w:val="00A50300"/>
    <w:rsid w:val="00A54693"/>
    <w:rsid w:val="00A56953"/>
    <w:rsid w:val="00A571B4"/>
    <w:rsid w:val="00A61930"/>
    <w:rsid w:val="00A65A42"/>
    <w:rsid w:val="00A72CCC"/>
    <w:rsid w:val="00A7408E"/>
    <w:rsid w:val="00A741AF"/>
    <w:rsid w:val="00A74884"/>
    <w:rsid w:val="00A756A4"/>
    <w:rsid w:val="00A757B3"/>
    <w:rsid w:val="00A758CE"/>
    <w:rsid w:val="00A7635F"/>
    <w:rsid w:val="00A779EA"/>
    <w:rsid w:val="00A77D4E"/>
    <w:rsid w:val="00A8116E"/>
    <w:rsid w:val="00A852C4"/>
    <w:rsid w:val="00A877E6"/>
    <w:rsid w:val="00A92DC4"/>
    <w:rsid w:val="00A946BB"/>
    <w:rsid w:val="00AA14F5"/>
    <w:rsid w:val="00AA5A4F"/>
    <w:rsid w:val="00AA5E37"/>
    <w:rsid w:val="00AA747A"/>
    <w:rsid w:val="00AB3A2C"/>
    <w:rsid w:val="00AB4269"/>
    <w:rsid w:val="00AB5600"/>
    <w:rsid w:val="00AB759B"/>
    <w:rsid w:val="00AC096F"/>
    <w:rsid w:val="00AC4B15"/>
    <w:rsid w:val="00AD03AA"/>
    <w:rsid w:val="00AD1C1D"/>
    <w:rsid w:val="00AD2A85"/>
    <w:rsid w:val="00AD3052"/>
    <w:rsid w:val="00AD4A4A"/>
    <w:rsid w:val="00AD4BDE"/>
    <w:rsid w:val="00AD524C"/>
    <w:rsid w:val="00AD5D0C"/>
    <w:rsid w:val="00AD6C8A"/>
    <w:rsid w:val="00AD7EAE"/>
    <w:rsid w:val="00AE1659"/>
    <w:rsid w:val="00AE21C1"/>
    <w:rsid w:val="00AF5136"/>
    <w:rsid w:val="00B07AB8"/>
    <w:rsid w:val="00B12DF6"/>
    <w:rsid w:val="00B13254"/>
    <w:rsid w:val="00B17E22"/>
    <w:rsid w:val="00B20189"/>
    <w:rsid w:val="00B2065D"/>
    <w:rsid w:val="00B21235"/>
    <w:rsid w:val="00B217FE"/>
    <w:rsid w:val="00B22164"/>
    <w:rsid w:val="00B22740"/>
    <w:rsid w:val="00B23AFD"/>
    <w:rsid w:val="00B264C5"/>
    <w:rsid w:val="00B411FD"/>
    <w:rsid w:val="00B45700"/>
    <w:rsid w:val="00B503AE"/>
    <w:rsid w:val="00B52936"/>
    <w:rsid w:val="00B53211"/>
    <w:rsid w:val="00B54DCC"/>
    <w:rsid w:val="00B61EBF"/>
    <w:rsid w:val="00B658C2"/>
    <w:rsid w:val="00B65BBE"/>
    <w:rsid w:val="00B67E2A"/>
    <w:rsid w:val="00B717B5"/>
    <w:rsid w:val="00B71ABB"/>
    <w:rsid w:val="00B71AC6"/>
    <w:rsid w:val="00B7771E"/>
    <w:rsid w:val="00B779E1"/>
    <w:rsid w:val="00B80E55"/>
    <w:rsid w:val="00B819F7"/>
    <w:rsid w:val="00B82B8C"/>
    <w:rsid w:val="00B900E9"/>
    <w:rsid w:val="00B90170"/>
    <w:rsid w:val="00B91201"/>
    <w:rsid w:val="00B9180F"/>
    <w:rsid w:val="00B92BD8"/>
    <w:rsid w:val="00B94DA5"/>
    <w:rsid w:val="00B97764"/>
    <w:rsid w:val="00BA087C"/>
    <w:rsid w:val="00BA0EA3"/>
    <w:rsid w:val="00BA33E1"/>
    <w:rsid w:val="00BA4A29"/>
    <w:rsid w:val="00BA603A"/>
    <w:rsid w:val="00BA70D0"/>
    <w:rsid w:val="00BB084C"/>
    <w:rsid w:val="00BB1FC1"/>
    <w:rsid w:val="00BB3437"/>
    <w:rsid w:val="00BB48E3"/>
    <w:rsid w:val="00BB7105"/>
    <w:rsid w:val="00BB7624"/>
    <w:rsid w:val="00BC0321"/>
    <w:rsid w:val="00BC0E1A"/>
    <w:rsid w:val="00BC1CFE"/>
    <w:rsid w:val="00BC2105"/>
    <w:rsid w:val="00BC247C"/>
    <w:rsid w:val="00BC2FBE"/>
    <w:rsid w:val="00BE1B31"/>
    <w:rsid w:val="00BE6214"/>
    <w:rsid w:val="00BE6D7D"/>
    <w:rsid w:val="00BF1A90"/>
    <w:rsid w:val="00BF2EC8"/>
    <w:rsid w:val="00BF57B9"/>
    <w:rsid w:val="00C00D06"/>
    <w:rsid w:val="00C0234A"/>
    <w:rsid w:val="00C12573"/>
    <w:rsid w:val="00C16F79"/>
    <w:rsid w:val="00C172AD"/>
    <w:rsid w:val="00C20684"/>
    <w:rsid w:val="00C23F14"/>
    <w:rsid w:val="00C246C0"/>
    <w:rsid w:val="00C31A7D"/>
    <w:rsid w:val="00C3543E"/>
    <w:rsid w:val="00C417C5"/>
    <w:rsid w:val="00C41B05"/>
    <w:rsid w:val="00C421DB"/>
    <w:rsid w:val="00C43269"/>
    <w:rsid w:val="00C45659"/>
    <w:rsid w:val="00C46DEA"/>
    <w:rsid w:val="00C51476"/>
    <w:rsid w:val="00C516A3"/>
    <w:rsid w:val="00C53500"/>
    <w:rsid w:val="00C53CA3"/>
    <w:rsid w:val="00C5604A"/>
    <w:rsid w:val="00C564BF"/>
    <w:rsid w:val="00C62762"/>
    <w:rsid w:val="00C64002"/>
    <w:rsid w:val="00C65FE5"/>
    <w:rsid w:val="00C7098B"/>
    <w:rsid w:val="00C70FF5"/>
    <w:rsid w:val="00C72A30"/>
    <w:rsid w:val="00C73504"/>
    <w:rsid w:val="00C73AF0"/>
    <w:rsid w:val="00C74FE6"/>
    <w:rsid w:val="00C847E5"/>
    <w:rsid w:val="00C87E4F"/>
    <w:rsid w:val="00C90BE8"/>
    <w:rsid w:val="00C911DE"/>
    <w:rsid w:val="00C95481"/>
    <w:rsid w:val="00C974C1"/>
    <w:rsid w:val="00CA1A9D"/>
    <w:rsid w:val="00CA2E58"/>
    <w:rsid w:val="00CA454C"/>
    <w:rsid w:val="00CA500D"/>
    <w:rsid w:val="00CA7FA3"/>
    <w:rsid w:val="00CB159D"/>
    <w:rsid w:val="00CB68F5"/>
    <w:rsid w:val="00CC0CA5"/>
    <w:rsid w:val="00CC16C0"/>
    <w:rsid w:val="00CD7CB2"/>
    <w:rsid w:val="00CE183A"/>
    <w:rsid w:val="00CE2E81"/>
    <w:rsid w:val="00CE3D31"/>
    <w:rsid w:val="00CE3DAE"/>
    <w:rsid w:val="00CE419A"/>
    <w:rsid w:val="00CF07E8"/>
    <w:rsid w:val="00CF2895"/>
    <w:rsid w:val="00CF3BD4"/>
    <w:rsid w:val="00CF4AE4"/>
    <w:rsid w:val="00CF53D3"/>
    <w:rsid w:val="00CF6886"/>
    <w:rsid w:val="00CF6F53"/>
    <w:rsid w:val="00D015AB"/>
    <w:rsid w:val="00D02C15"/>
    <w:rsid w:val="00D03231"/>
    <w:rsid w:val="00D0654B"/>
    <w:rsid w:val="00D10D78"/>
    <w:rsid w:val="00D11C15"/>
    <w:rsid w:val="00D14E92"/>
    <w:rsid w:val="00D159DB"/>
    <w:rsid w:val="00D163A7"/>
    <w:rsid w:val="00D205E5"/>
    <w:rsid w:val="00D20EE3"/>
    <w:rsid w:val="00D23A48"/>
    <w:rsid w:val="00D24051"/>
    <w:rsid w:val="00D3088A"/>
    <w:rsid w:val="00D35E0D"/>
    <w:rsid w:val="00D4060A"/>
    <w:rsid w:val="00D44306"/>
    <w:rsid w:val="00D462B6"/>
    <w:rsid w:val="00D46CDC"/>
    <w:rsid w:val="00D51457"/>
    <w:rsid w:val="00D54343"/>
    <w:rsid w:val="00D54841"/>
    <w:rsid w:val="00D54D45"/>
    <w:rsid w:val="00D56B72"/>
    <w:rsid w:val="00D60970"/>
    <w:rsid w:val="00D61A4F"/>
    <w:rsid w:val="00D74B0A"/>
    <w:rsid w:val="00D755BE"/>
    <w:rsid w:val="00D75F7E"/>
    <w:rsid w:val="00D82394"/>
    <w:rsid w:val="00D86522"/>
    <w:rsid w:val="00D90A00"/>
    <w:rsid w:val="00D90F95"/>
    <w:rsid w:val="00D932AE"/>
    <w:rsid w:val="00D939A9"/>
    <w:rsid w:val="00DA17E7"/>
    <w:rsid w:val="00DA1BFB"/>
    <w:rsid w:val="00DA3E11"/>
    <w:rsid w:val="00DA3E1A"/>
    <w:rsid w:val="00DA628F"/>
    <w:rsid w:val="00DA761D"/>
    <w:rsid w:val="00DB21F7"/>
    <w:rsid w:val="00DB2815"/>
    <w:rsid w:val="00DB4B47"/>
    <w:rsid w:val="00DB6CC5"/>
    <w:rsid w:val="00DC0770"/>
    <w:rsid w:val="00DC1C14"/>
    <w:rsid w:val="00DC22B5"/>
    <w:rsid w:val="00DC2BD6"/>
    <w:rsid w:val="00DC4DC6"/>
    <w:rsid w:val="00DC5596"/>
    <w:rsid w:val="00DD00C5"/>
    <w:rsid w:val="00DD05CC"/>
    <w:rsid w:val="00DD1FF4"/>
    <w:rsid w:val="00DD638E"/>
    <w:rsid w:val="00DE0381"/>
    <w:rsid w:val="00DE2D87"/>
    <w:rsid w:val="00DE6417"/>
    <w:rsid w:val="00DE7553"/>
    <w:rsid w:val="00DF18B6"/>
    <w:rsid w:val="00DF3F7A"/>
    <w:rsid w:val="00DF47CC"/>
    <w:rsid w:val="00DF4B75"/>
    <w:rsid w:val="00E055CC"/>
    <w:rsid w:val="00E064A0"/>
    <w:rsid w:val="00E06CB8"/>
    <w:rsid w:val="00E10A83"/>
    <w:rsid w:val="00E1204F"/>
    <w:rsid w:val="00E137CB"/>
    <w:rsid w:val="00E17B20"/>
    <w:rsid w:val="00E2059E"/>
    <w:rsid w:val="00E23DED"/>
    <w:rsid w:val="00E25480"/>
    <w:rsid w:val="00E26BA3"/>
    <w:rsid w:val="00E3075F"/>
    <w:rsid w:val="00E41AE1"/>
    <w:rsid w:val="00E4330A"/>
    <w:rsid w:val="00E43BA7"/>
    <w:rsid w:val="00E447BD"/>
    <w:rsid w:val="00E52776"/>
    <w:rsid w:val="00E54000"/>
    <w:rsid w:val="00E5585E"/>
    <w:rsid w:val="00E560BD"/>
    <w:rsid w:val="00E56640"/>
    <w:rsid w:val="00E63CC0"/>
    <w:rsid w:val="00E64C9F"/>
    <w:rsid w:val="00E66C19"/>
    <w:rsid w:val="00E70EB7"/>
    <w:rsid w:val="00E7494E"/>
    <w:rsid w:val="00E7728C"/>
    <w:rsid w:val="00E84B92"/>
    <w:rsid w:val="00E91BA1"/>
    <w:rsid w:val="00E927DF"/>
    <w:rsid w:val="00E9335A"/>
    <w:rsid w:val="00E957EC"/>
    <w:rsid w:val="00EA1546"/>
    <w:rsid w:val="00EA38AE"/>
    <w:rsid w:val="00EB06B6"/>
    <w:rsid w:val="00EC0BD1"/>
    <w:rsid w:val="00EC199E"/>
    <w:rsid w:val="00EC2918"/>
    <w:rsid w:val="00EC3437"/>
    <w:rsid w:val="00EC434B"/>
    <w:rsid w:val="00EC6FF2"/>
    <w:rsid w:val="00ED322C"/>
    <w:rsid w:val="00ED4A2C"/>
    <w:rsid w:val="00ED573C"/>
    <w:rsid w:val="00ED730A"/>
    <w:rsid w:val="00EE0DC0"/>
    <w:rsid w:val="00EE4097"/>
    <w:rsid w:val="00EE40E3"/>
    <w:rsid w:val="00EE41F3"/>
    <w:rsid w:val="00EE7002"/>
    <w:rsid w:val="00EE7CAA"/>
    <w:rsid w:val="00EF02E9"/>
    <w:rsid w:val="00EF153A"/>
    <w:rsid w:val="00EF2345"/>
    <w:rsid w:val="00EF41F8"/>
    <w:rsid w:val="00EF6B53"/>
    <w:rsid w:val="00EF76D6"/>
    <w:rsid w:val="00F006F5"/>
    <w:rsid w:val="00F01397"/>
    <w:rsid w:val="00F043C0"/>
    <w:rsid w:val="00F0734E"/>
    <w:rsid w:val="00F10A5F"/>
    <w:rsid w:val="00F12634"/>
    <w:rsid w:val="00F14331"/>
    <w:rsid w:val="00F145E6"/>
    <w:rsid w:val="00F15DF7"/>
    <w:rsid w:val="00F21F71"/>
    <w:rsid w:val="00F2351A"/>
    <w:rsid w:val="00F240B2"/>
    <w:rsid w:val="00F25687"/>
    <w:rsid w:val="00F2635D"/>
    <w:rsid w:val="00F26DA8"/>
    <w:rsid w:val="00F27105"/>
    <w:rsid w:val="00F31873"/>
    <w:rsid w:val="00F33BC1"/>
    <w:rsid w:val="00F34593"/>
    <w:rsid w:val="00F45156"/>
    <w:rsid w:val="00F51923"/>
    <w:rsid w:val="00F56EC1"/>
    <w:rsid w:val="00F576F2"/>
    <w:rsid w:val="00F6240D"/>
    <w:rsid w:val="00F63D0A"/>
    <w:rsid w:val="00F64036"/>
    <w:rsid w:val="00F64671"/>
    <w:rsid w:val="00F65F9B"/>
    <w:rsid w:val="00F66149"/>
    <w:rsid w:val="00F71BBF"/>
    <w:rsid w:val="00F809AC"/>
    <w:rsid w:val="00F814DF"/>
    <w:rsid w:val="00F8458E"/>
    <w:rsid w:val="00F84EF6"/>
    <w:rsid w:val="00F868B0"/>
    <w:rsid w:val="00F940D9"/>
    <w:rsid w:val="00F95354"/>
    <w:rsid w:val="00F95B19"/>
    <w:rsid w:val="00F967C1"/>
    <w:rsid w:val="00F97B03"/>
    <w:rsid w:val="00FA4ACD"/>
    <w:rsid w:val="00FA4FFB"/>
    <w:rsid w:val="00FA6281"/>
    <w:rsid w:val="00FA66B7"/>
    <w:rsid w:val="00FB205A"/>
    <w:rsid w:val="00FB3C01"/>
    <w:rsid w:val="00FB48D4"/>
    <w:rsid w:val="00FB4B0C"/>
    <w:rsid w:val="00FB766E"/>
    <w:rsid w:val="00FC0A6D"/>
    <w:rsid w:val="00FC2887"/>
    <w:rsid w:val="00FC50F3"/>
    <w:rsid w:val="00FC7789"/>
    <w:rsid w:val="00FC7B22"/>
    <w:rsid w:val="00FD01BC"/>
    <w:rsid w:val="00FD0598"/>
    <w:rsid w:val="00FD1C0E"/>
    <w:rsid w:val="00FD1E53"/>
    <w:rsid w:val="00FD25A6"/>
    <w:rsid w:val="00FD2A05"/>
    <w:rsid w:val="00FD3B61"/>
    <w:rsid w:val="00FD5AFE"/>
    <w:rsid w:val="00FD7DE2"/>
    <w:rsid w:val="00FE02F7"/>
    <w:rsid w:val="00FE0953"/>
    <w:rsid w:val="00FE10B5"/>
    <w:rsid w:val="00FE31D7"/>
    <w:rsid w:val="00FE4101"/>
    <w:rsid w:val="00FE4B20"/>
    <w:rsid w:val="00FE5DF7"/>
    <w:rsid w:val="00FE5E2E"/>
    <w:rsid w:val="00FE68BE"/>
    <w:rsid w:val="00FE7C11"/>
    <w:rsid w:val="00FF1027"/>
    <w:rsid w:val="00FF2739"/>
    <w:rsid w:val="00FF3E94"/>
    <w:rsid w:val="00FF5F69"/>
    <w:rsid w:val="00FF6193"/>
    <w:rsid w:val="00FF732B"/>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C8"/>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7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7E9"/>
    <w:rPr>
      <w:rFonts w:ascii="Segoe UI" w:hAnsi="Segoe UI" w:cs="Segoe UI"/>
      <w:sz w:val="18"/>
      <w:szCs w:val="18"/>
    </w:rPr>
  </w:style>
  <w:style w:type="paragraph" w:styleId="Revisin">
    <w:name w:val="Revision"/>
    <w:hidden/>
    <w:uiPriority w:val="99"/>
    <w:semiHidden/>
    <w:rsid w:val="00F00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031">
      <w:bodyDiv w:val="1"/>
      <w:marLeft w:val="0"/>
      <w:marRight w:val="0"/>
      <w:marTop w:val="0"/>
      <w:marBottom w:val="0"/>
      <w:divBdr>
        <w:top w:val="none" w:sz="0" w:space="0" w:color="auto"/>
        <w:left w:val="none" w:sz="0" w:space="0" w:color="auto"/>
        <w:bottom w:val="none" w:sz="0" w:space="0" w:color="auto"/>
        <w:right w:val="none" w:sz="0" w:space="0" w:color="auto"/>
      </w:divBdr>
    </w:div>
    <w:div w:id="179440169">
      <w:bodyDiv w:val="1"/>
      <w:marLeft w:val="0"/>
      <w:marRight w:val="0"/>
      <w:marTop w:val="0"/>
      <w:marBottom w:val="0"/>
      <w:divBdr>
        <w:top w:val="none" w:sz="0" w:space="0" w:color="auto"/>
        <w:left w:val="none" w:sz="0" w:space="0" w:color="auto"/>
        <w:bottom w:val="none" w:sz="0" w:space="0" w:color="auto"/>
        <w:right w:val="none" w:sz="0" w:space="0" w:color="auto"/>
      </w:divBdr>
    </w:div>
    <w:div w:id="237833079">
      <w:bodyDiv w:val="1"/>
      <w:marLeft w:val="0"/>
      <w:marRight w:val="0"/>
      <w:marTop w:val="0"/>
      <w:marBottom w:val="0"/>
      <w:divBdr>
        <w:top w:val="none" w:sz="0" w:space="0" w:color="auto"/>
        <w:left w:val="none" w:sz="0" w:space="0" w:color="auto"/>
        <w:bottom w:val="none" w:sz="0" w:space="0" w:color="auto"/>
        <w:right w:val="none" w:sz="0" w:space="0" w:color="auto"/>
      </w:divBdr>
    </w:div>
    <w:div w:id="279647020">
      <w:bodyDiv w:val="1"/>
      <w:marLeft w:val="0"/>
      <w:marRight w:val="0"/>
      <w:marTop w:val="0"/>
      <w:marBottom w:val="0"/>
      <w:divBdr>
        <w:top w:val="none" w:sz="0" w:space="0" w:color="auto"/>
        <w:left w:val="none" w:sz="0" w:space="0" w:color="auto"/>
        <w:bottom w:val="none" w:sz="0" w:space="0" w:color="auto"/>
        <w:right w:val="none" w:sz="0" w:space="0" w:color="auto"/>
      </w:divBdr>
    </w:div>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388042900">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785660199">
      <w:bodyDiv w:val="1"/>
      <w:marLeft w:val="0"/>
      <w:marRight w:val="0"/>
      <w:marTop w:val="0"/>
      <w:marBottom w:val="0"/>
      <w:divBdr>
        <w:top w:val="none" w:sz="0" w:space="0" w:color="auto"/>
        <w:left w:val="none" w:sz="0" w:space="0" w:color="auto"/>
        <w:bottom w:val="none" w:sz="0" w:space="0" w:color="auto"/>
        <w:right w:val="none" w:sz="0" w:space="0" w:color="auto"/>
      </w:divBdr>
    </w:div>
    <w:div w:id="812412062">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282375345">
      <w:bodyDiv w:val="1"/>
      <w:marLeft w:val="0"/>
      <w:marRight w:val="0"/>
      <w:marTop w:val="0"/>
      <w:marBottom w:val="0"/>
      <w:divBdr>
        <w:top w:val="none" w:sz="0" w:space="0" w:color="auto"/>
        <w:left w:val="none" w:sz="0" w:space="0" w:color="auto"/>
        <w:bottom w:val="none" w:sz="0" w:space="0" w:color="auto"/>
        <w:right w:val="none" w:sz="0" w:space="0" w:color="auto"/>
      </w:divBdr>
    </w:div>
    <w:div w:id="1287155436">
      <w:bodyDiv w:val="1"/>
      <w:marLeft w:val="0"/>
      <w:marRight w:val="0"/>
      <w:marTop w:val="0"/>
      <w:marBottom w:val="0"/>
      <w:divBdr>
        <w:top w:val="none" w:sz="0" w:space="0" w:color="auto"/>
        <w:left w:val="none" w:sz="0" w:space="0" w:color="auto"/>
        <w:bottom w:val="none" w:sz="0" w:space="0" w:color="auto"/>
        <w:right w:val="none" w:sz="0" w:space="0" w:color="auto"/>
      </w:divBdr>
    </w:div>
    <w:div w:id="1350139085">
      <w:bodyDiv w:val="1"/>
      <w:marLeft w:val="0"/>
      <w:marRight w:val="0"/>
      <w:marTop w:val="0"/>
      <w:marBottom w:val="0"/>
      <w:divBdr>
        <w:top w:val="none" w:sz="0" w:space="0" w:color="auto"/>
        <w:left w:val="none" w:sz="0" w:space="0" w:color="auto"/>
        <w:bottom w:val="none" w:sz="0" w:space="0" w:color="auto"/>
        <w:right w:val="none" w:sz="0" w:space="0" w:color="auto"/>
      </w:divBdr>
    </w:div>
    <w:div w:id="1640525425">
      <w:bodyDiv w:val="1"/>
      <w:marLeft w:val="0"/>
      <w:marRight w:val="0"/>
      <w:marTop w:val="0"/>
      <w:marBottom w:val="0"/>
      <w:divBdr>
        <w:top w:val="none" w:sz="0" w:space="0" w:color="auto"/>
        <w:left w:val="none" w:sz="0" w:space="0" w:color="auto"/>
        <w:bottom w:val="none" w:sz="0" w:space="0" w:color="auto"/>
        <w:right w:val="none" w:sz="0" w:space="0" w:color="auto"/>
      </w:divBdr>
    </w:div>
    <w:div w:id="1665474629">
      <w:bodyDiv w:val="1"/>
      <w:marLeft w:val="0"/>
      <w:marRight w:val="0"/>
      <w:marTop w:val="0"/>
      <w:marBottom w:val="0"/>
      <w:divBdr>
        <w:top w:val="none" w:sz="0" w:space="0" w:color="auto"/>
        <w:left w:val="none" w:sz="0" w:space="0" w:color="auto"/>
        <w:bottom w:val="none" w:sz="0" w:space="0" w:color="auto"/>
        <w:right w:val="none" w:sz="0" w:space="0" w:color="auto"/>
      </w:divBdr>
    </w:div>
    <w:div w:id="1671247663">
      <w:bodyDiv w:val="1"/>
      <w:marLeft w:val="0"/>
      <w:marRight w:val="0"/>
      <w:marTop w:val="0"/>
      <w:marBottom w:val="0"/>
      <w:divBdr>
        <w:top w:val="none" w:sz="0" w:space="0" w:color="auto"/>
        <w:left w:val="none" w:sz="0" w:space="0" w:color="auto"/>
        <w:bottom w:val="none" w:sz="0" w:space="0" w:color="auto"/>
        <w:right w:val="none" w:sz="0" w:space="0" w:color="auto"/>
      </w:divBdr>
    </w:div>
    <w:div w:id="1708409656">
      <w:bodyDiv w:val="1"/>
      <w:marLeft w:val="0"/>
      <w:marRight w:val="0"/>
      <w:marTop w:val="0"/>
      <w:marBottom w:val="0"/>
      <w:divBdr>
        <w:top w:val="none" w:sz="0" w:space="0" w:color="auto"/>
        <w:left w:val="none" w:sz="0" w:space="0" w:color="auto"/>
        <w:bottom w:val="none" w:sz="0" w:space="0" w:color="auto"/>
        <w:right w:val="none" w:sz="0" w:space="0" w:color="auto"/>
      </w:divBdr>
    </w:div>
    <w:div w:id="1878737697">
      <w:bodyDiv w:val="1"/>
      <w:marLeft w:val="0"/>
      <w:marRight w:val="0"/>
      <w:marTop w:val="0"/>
      <w:marBottom w:val="0"/>
      <w:divBdr>
        <w:top w:val="none" w:sz="0" w:space="0" w:color="auto"/>
        <w:left w:val="none" w:sz="0" w:space="0" w:color="auto"/>
        <w:bottom w:val="none" w:sz="0" w:space="0" w:color="auto"/>
        <w:right w:val="none" w:sz="0" w:space="0" w:color="auto"/>
      </w:divBdr>
    </w:div>
    <w:div w:id="1890797586">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038189518">
      <w:bodyDiv w:val="1"/>
      <w:marLeft w:val="0"/>
      <w:marRight w:val="0"/>
      <w:marTop w:val="0"/>
      <w:marBottom w:val="0"/>
      <w:divBdr>
        <w:top w:val="none" w:sz="0" w:space="0" w:color="auto"/>
        <w:left w:val="none" w:sz="0" w:space="0" w:color="auto"/>
        <w:bottom w:val="none" w:sz="0" w:space="0" w:color="auto"/>
        <w:right w:val="none" w:sz="0" w:space="0" w:color="auto"/>
      </w:divBdr>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4F476-BE6E-4732-BAC8-A3578EAC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3</Pages>
  <Words>1048</Words>
  <Characters>5769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3</cp:revision>
  <dcterms:created xsi:type="dcterms:W3CDTF">2025-03-27T11:29:00Z</dcterms:created>
  <dcterms:modified xsi:type="dcterms:W3CDTF">2025-03-27T13:06:00Z</dcterms:modified>
</cp:coreProperties>
</file>