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7B94" w14:textId="77777777" w:rsidR="009C3A08" w:rsidRDefault="009C3A08" w:rsidP="002208D3">
      <w:pPr>
        <w:pStyle w:val="Default"/>
        <w:rPr>
          <w:i/>
          <w:iCs/>
          <w:sz w:val="30"/>
          <w:szCs w:val="30"/>
        </w:rPr>
      </w:pPr>
    </w:p>
    <w:p w14:paraId="65B8D52C" w14:textId="77777777" w:rsidR="009C3A08" w:rsidRDefault="002208D3" w:rsidP="009C3A08">
      <w:pPr>
        <w:pStyle w:val="Default"/>
        <w:jc w:val="center"/>
        <w:rPr>
          <w:i/>
          <w:iCs/>
          <w:sz w:val="30"/>
          <w:szCs w:val="30"/>
        </w:rPr>
      </w:pPr>
      <w:r>
        <w:rPr>
          <w:i/>
          <w:iCs/>
          <w:sz w:val="30"/>
          <w:szCs w:val="30"/>
        </w:rPr>
        <w:t>República de Colombia</w:t>
      </w:r>
    </w:p>
    <w:p w14:paraId="7ED6F536" w14:textId="77777777" w:rsidR="009C3A08" w:rsidRDefault="002208D3" w:rsidP="009C3A08">
      <w:pPr>
        <w:pStyle w:val="Default"/>
        <w:jc w:val="center"/>
        <w:rPr>
          <w:i/>
          <w:iCs/>
          <w:sz w:val="30"/>
          <w:szCs w:val="30"/>
        </w:rPr>
      </w:pPr>
      <w:r>
        <w:rPr>
          <w:i/>
          <w:iCs/>
          <w:sz w:val="30"/>
          <w:szCs w:val="30"/>
        </w:rPr>
        <w:t>Rama Judicial</w:t>
      </w:r>
    </w:p>
    <w:p w14:paraId="178A1EF7" w14:textId="77777777" w:rsidR="00C91839" w:rsidRDefault="00C91839" w:rsidP="009C3A08">
      <w:pPr>
        <w:pStyle w:val="Default"/>
        <w:jc w:val="center"/>
        <w:rPr>
          <w:i/>
          <w:iCs/>
          <w:sz w:val="30"/>
          <w:szCs w:val="30"/>
        </w:rPr>
      </w:pPr>
    </w:p>
    <w:p w14:paraId="28D2B76F" w14:textId="77777777" w:rsidR="009C3A08" w:rsidRDefault="002208D3" w:rsidP="009C3A08">
      <w:pPr>
        <w:pStyle w:val="Default"/>
        <w:jc w:val="center"/>
        <w:rPr>
          <w:i/>
          <w:iCs/>
          <w:sz w:val="30"/>
          <w:szCs w:val="30"/>
        </w:rPr>
      </w:pPr>
      <w:r>
        <w:rPr>
          <w:i/>
          <w:iCs/>
          <w:sz w:val="30"/>
          <w:szCs w:val="30"/>
        </w:rPr>
        <w:t>TRIBUNAL SUPERIOR DEL DISTRITO JUDICIAL DE BOGOTA</w:t>
      </w:r>
    </w:p>
    <w:p w14:paraId="36D3DEAA" w14:textId="77777777" w:rsidR="002208D3" w:rsidRDefault="002208D3" w:rsidP="009C3A08">
      <w:pPr>
        <w:pStyle w:val="Default"/>
        <w:jc w:val="center"/>
        <w:rPr>
          <w:sz w:val="30"/>
          <w:szCs w:val="30"/>
        </w:rPr>
      </w:pPr>
      <w:r>
        <w:rPr>
          <w:i/>
          <w:iCs/>
          <w:sz w:val="30"/>
          <w:szCs w:val="30"/>
        </w:rPr>
        <w:t>SALA CIVIL</w:t>
      </w:r>
    </w:p>
    <w:p w14:paraId="7911E237" w14:textId="77777777" w:rsidR="009C3A08" w:rsidRDefault="009C3A08" w:rsidP="002208D3">
      <w:pPr>
        <w:pStyle w:val="Default"/>
        <w:rPr>
          <w:rFonts w:ascii="Times New Roman" w:hAnsi="Times New Roman" w:cs="Times New Roman"/>
          <w:color w:val="auto"/>
          <w:sz w:val="23"/>
          <w:szCs w:val="23"/>
        </w:rPr>
      </w:pPr>
    </w:p>
    <w:p w14:paraId="3E205C9B" w14:textId="77777777" w:rsidR="009C3A08" w:rsidRDefault="009C3A08" w:rsidP="002208D3">
      <w:pPr>
        <w:pStyle w:val="Default"/>
        <w:rPr>
          <w:rFonts w:ascii="Times New Roman" w:hAnsi="Times New Roman" w:cs="Times New Roman"/>
          <w:color w:val="auto"/>
          <w:sz w:val="23"/>
          <w:szCs w:val="23"/>
        </w:rPr>
      </w:pPr>
    </w:p>
    <w:p w14:paraId="7A8D6D43" w14:textId="77777777" w:rsidR="002208D3" w:rsidRDefault="002208D3" w:rsidP="002208D3">
      <w:pPr>
        <w:pStyle w:val="Default"/>
        <w:rPr>
          <w:color w:val="auto"/>
          <w:sz w:val="23"/>
          <w:szCs w:val="23"/>
        </w:rPr>
      </w:pPr>
      <w:r>
        <w:rPr>
          <w:rFonts w:ascii="Times New Roman" w:hAnsi="Times New Roman" w:cs="Times New Roman"/>
          <w:color w:val="auto"/>
          <w:sz w:val="23"/>
          <w:szCs w:val="23"/>
        </w:rPr>
        <w:t xml:space="preserve">Radicación: 110013103024-2018-00583-01 </w:t>
      </w:r>
    </w:p>
    <w:p w14:paraId="1EA5A412" w14:textId="77777777" w:rsidR="002208D3" w:rsidRDefault="002208D3" w:rsidP="002208D3">
      <w:pPr>
        <w:pStyle w:val="Default"/>
        <w:rPr>
          <w:color w:val="auto"/>
          <w:sz w:val="23"/>
          <w:szCs w:val="23"/>
        </w:rPr>
      </w:pPr>
      <w:r>
        <w:rPr>
          <w:rFonts w:ascii="Times New Roman" w:hAnsi="Times New Roman" w:cs="Times New Roman"/>
          <w:color w:val="auto"/>
          <w:sz w:val="23"/>
          <w:szCs w:val="23"/>
        </w:rPr>
        <w:t xml:space="preserve">Demandante: Esperanza Prada Rey </w:t>
      </w:r>
    </w:p>
    <w:p w14:paraId="5393FC69" w14:textId="77777777" w:rsidR="002208D3" w:rsidRDefault="002208D3" w:rsidP="002208D3">
      <w:pPr>
        <w:pStyle w:val="Default"/>
        <w:rPr>
          <w:color w:val="auto"/>
          <w:sz w:val="23"/>
          <w:szCs w:val="23"/>
        </w:rPr>
      </w:pPr>
      <w:r>
        <w:rPr>
          <w:rFonts w:ascii="Times New Roman" w:hAnsi="Times New Roman" w:cs="Times New Roman"/>
          <w:color w:val="auto"/>
          <w:sz w:val="23"/>
          <w:szCs w:val="23"/>
        </w:rPr>
        <w:t xml:space="preserve">Demandado: Nueva EPS S.A. </w:t>
      </w:r>
    </w:p>
    <w:p w14:paraId="6F4738FC" w14:textId="77777777" w:rsidR="002208D3" w:rsidRDefault="002208D3" w:rsidP="002208D3">
      <w:pPr>
        <w:pStyle w:val="Default"/>
        <w:rPr>
          <w:color w:val="auto"/>
          <w:sz w:val="23"/>
          <w:szCs w:val="23"/>
        </w:rPr>
      </w:pPr>
      <w:r>
        <w:rPr>
          <w:rFonts w:ascii="Times New Roman" w:hAnsi="Times New Roman" w:cs="Times New Roman"/>
          <w:color w:val="auto"/>
          <w:sz w:val="23"/>
          <w:szCs w:val="23"/>
        </w:rPr>
        <w:t xml:space="preserve">Proceso: Ordinario </w:t>
      </w:r>
    </w:p>
    <w:p w14:paraId="1A620A85" w14:textId="77777777" w:rsidR="009C3A08" w:rsidRDefault="009C3A08" w:rsidP="002208D3">
      <w:pPr>
        <w:pStyle w:val="Default"/>
        <w:rPr>
          <w:rFonts w:ascii="Times New Roman" w:hAnsi="Times New Roman" w:cs="Times New Roman"/>
          <w:color w:val="auto"/>
          <w:sz w:val="28"/>
          <w:szCs w:val="28"/>
        </w:rPr>
      </w:pPr>
    </w:p>
    <w:p w14:paraId="3E3A443E" w14:textId="77777777" w:rsidR="00C91839" w:rsidRDefault="00C91839" w:rsidP="002208D3">
      <w:pPr>
        <w:pStyle w:val="Default"/>
        <w:rPr>
          <w:rFonts w:ascii="Times New Roman" w:hAnsi="Times New Roman" w:cs="Times New Roman"/>
          <w:color w:val="auto"/>
          <w:sz w:val="28"/>
          <w:szCs w:val="28"/>
        </w:rPr>
      </w:pPr>
    </w:p>
    <w:p w14:paraId="5C58D3A4" w14:textId="77777777" w:rsidR="002208D3" w:rsidRDefault="002208D3" w:rsidP="009C3A08">
      <w:pPr>
        <w:pStyle w:val="Default"/>
        <w:jc w:val="center"/>
        <w:rPr>
          <w:color w:val="auto"/>
          <w:sz w:val="28"/>
          <w:szCs w:val="28"/>
        </w:rPr>
      </w:pPr>
      <w:r>
        <w:rPr>
          <w:rFonts w:ascii="Times New Roman" w:hAnsi="Times New Roman" w:cs="Times New Roman"/>
          <w:color w:val="auto"/>
          <w:sz w:val="28"/>
          <w:szCs w:val="28"/>
        </w:rPr>
        <w:t>Bogotá, D. C., veintiuno (21) de marzo de dos mil veinticuatro (2024).</w:t>
      </w:r>
    </w:p>
    <w:p w14:paraId="56BC219A" w14:textId="77777777" w:rsidR="009C3A08" w:rsidRDefault="009C3A08" w:rsidP="009C3A08">
      <w:pPr>
        <w:pStyle w:val="Default"/>
        <w:jc w:val="both"/>
        <w:rPr>
          <w:rFonts w:ascii="Times New Roman" w:hAnsi="Times New Roman" w:cs="Times New Roman"/>
          <w:color w:val="auto"/>
          <w:sz w:val="28"/>
          <w:szCs w:val="28"/>
        </w:rPr>
      </w:pPr>
    </w:p>
    <w:p w14:paraId="0A6207C9" w14:textId="77777777" w:rsidR="00C91839" w:rsidRDefault="00C91839" w:rsidP="009C3A08">
      <w:pPr>
        <w:pStyle w:val="Default"/>
        <w:jc w:val="both"/>
        <w:rPr>
          <w:rFonts w:ascii="Times New Roman" w:hAnsi="Times New Roman" w:cs="Times New Roman"/>
          <w:color w:val="auto"/>
          <w:sz w:val="28"/>
          <w:szCs w:val="28"/>
        </w:rPr>
      </w:pPr>
    </w:p>
    <w:p w14:paraId="6DD160A4" w14:textId="77777777" w:rsidR="009C3A08" w:rsidRDefault="002208D3" w:rsidP="009C3A0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Revisado el criterio sobre el punto, aflora que de acuerdo con la ley 2213 de 2022, aplicable a este asunto según se especificó en ocasión anterior, no es forzoso sustentar el recurso vertical, en segunda instancia, por lo cual es razonable considerar que pueden aceptarse los reparos presentados en primera instancia, siempre que muestren un verdadero reproche a la sentencia apelada. </w:t>
      </w:r>
    </w:p>
    <w:p w14:paraId="14755D61" w14:textId="77777777" w:rsidR="009C3A08" w:rsidRDefault="009C3A08" w:rsidP="009C3A08">
      <w:pPr>
        <w:pStyle w:val="Default"/>
        <w:jc w:val="both"/>
        <w:rPr>
          <w:rFonts w:ascii="Times New Roman" w:hAnsi="Times New Roman" w:cs="Times New Roman"/>
          <w:color w:val="auto"/>
          <w:sz w:val="28"/>
          <w:szCs w:val="28"/>
        </w:rPr>
      </w:pPr>
    </w:p>
    <w:p w14:paraId="758C17FE" w14:textId="77777777" w:rsidR="002208D3" w:rsidRDefault="002208D3" w:rsidP="009C3A08">
      <w:pPr>
        <w:pStyle w:val="Default"/>
        <w:jc w:val="both"/>
        <w:rPr>
          <w:color w:val="auto"/>
          <w:sz w:val="28"/>
          <w:szCs w:val="28"/>
        </w:rPr>
      </w:pPr>
      <w:r>
        <w:rPr>
          <w:rFonts w:ascii="Times New Roman" w:hAnsi="Times New Roman" w:cs="Times New Roman"/>
          <w:color w:val="auto"/>
          <w:sz w:val="28"/>
          <w:szCs w:val="28"/>
        </w:rPr>
        <w:t xml:space="preserve">Si bien el artículo 12 de esa ley previó un término para sustentar la apelación ante el </w:t>
      </w:r>
      <w:r>
        <w:rPr>
          <w:rFonts w:ascii="Times New Roman" w:hAnsi="Times New Roman" w:cs="Times New Roman"/>
          <w:i/>
          <w:iCs/>
          <w:color w:val="auto"/>
          <w:sz w:val="28"/>
          <w:szCs w:val="28"/>
        </w:rPr>
        <w:t xml:space="preserve">ad </w:t>
      </w:r>
      <w:proofErr w:type="spellStart"/>
      <w:r>
        <w:rPr>
          <w:rFonts w:ascii="Times New Roman" w:hAnsi="Times New Roman" w:cs="Times New Roman"/>
          <w:i/>
          <w:iCs/>
          <w:color w:val="auto"/>
          <w:sz w:val="28"/>
          <w:szCs w:val="28"/>
        </w:rPr>
        <w:t>quem</w:t>
      </w:r>
      <w:proofErr w:type="spellEnd"/>
      <w:r>
        <w:rPr>
          <w:rFonts w:ascii="Times New Roman" w:hAnsi="Times New Roman" w:cs="Times New Roman"/>
          <w:color w:val="auto"/>
          <w:sz w:val="28"/>
          <w:szCs w:val="28"/>
        </w:rPr>
        <w:t xml:space="preserve">, tal precepto debe entenderse como carga complementaria para los casos en que ante el </w:t>
      </w:r>
      <w:r>
        <w:rPr>
          <w:rFonts w:ascii="Times New Roman" w:hAnsi="Times New Roman" w:cs="Times New Roman"/>
          <w:i/>
          <w:iCs/>
          <w:color w:val="auto"/>
          <w:sz w:val="28"/>
          <w:szCs w:val="28"/>
        </w:rPr>
        <w:t>a quo</w:t>
      </w:r>
      <w:r>
        <w:rPr>
          <w:rFonts w:ascii="Times New Roman" w:hAnsi="Times New Roman" w:cs="Times New Roman"/>
          <w:color w:val="auto"/>
          <w:sz w:val="28"/>
          <w:szCs w:val="28"/>
        </w:rPr>
        <w:t xml:space="preserve">, se hayan presentado simples y sucintos reproches que impidan ver claramente la refutación que desea plantear el recurrente. </w:t>
      </w:r>
    </w:p>
    <w:p w14:paraId="1A816F99" w14:textId="77777777" w:rsidR="009C3A08" w:rsidRDefault="009C3A08" w:rsidP="009C3A08">
      <w:pPr>
        <w:pStyle w:val="Default"/>
        <w:jc w:val="both"/>
        <w:rPr>
          <w:rFonts w:ascii="Times New Roman" w:hAnsi="Times New Roman" w:cs="Times New Roman"/>
          <w:color w:val="auto"/>
          <w:sz w:val="28"/>
          <w:szCs w:val="28"/>
        </w:rPr>
      </w:pPr>
    </w:p>
    <w:p w14:paraId="72A31207" w14:textId="77777777" w:rsidR="002208D3" w:rsidRDefault="002208D3" w:rsidP="009C3A08">
      <w:pPr>
        <w:pStyle w:val="Default"/>
        <w:jc w:val="both"/>
        <w:rPr>
          <w:color w:val="auto"/>
          <w:sz w:val="28"/>
          <w:szCs w:val="28"/>
        </w:rPr>
      </w:pPr>
      <w:r>
        <w:rPr>
          <w:rFonts w:ascii="Times New Roman" w:hAnsi="Times New Roman" w:cs="Times New Roman"/>
          <w:color w:val="auto"/>
          <w:sz w:val="28"/>
          <w:szCs w:val="28"/>
        </w:rPr>
        <w:t>Es de verse que la norma predecesora a esa disposición legal, el artículo 14 del citado decreto 806 de 2020, dadas las circunstancias de la pasada pandemia del Covid-19, además de adoptar la orientación del sistema procesal escritural en la segunda instancia, estableció que la sustentación debe hacerse “</w:t>
      </w:r>
      <w:r>
        <w:rPr>
          <w:rFonts w:ascii="Times New Roman" w:hAnsi="Times New Roman" w:cs="Times New Roman"/>
          <w:i/>
          <w:iCs/>
          <w:color w:val="auto"/>
          <w:sz w:val="28"/>
          <w:szCs w:val="28"/>
        </w:rPr>
        <w:t>a más tardar dentro de los cinco (5) días siguientes</w:t>
      </w:r>
      <w:r>
        <w:rPr>
          <w:rFonts w:ascii="Times New Roman" w:hAnsi="Times New Roman" w:cs="Times New Roman"/>
          <w:color w:val="auto"/>
          <w:sz w:val="28"/>
          <w:szCs w:val="28"/>
        </w:rPr>
        <w:t>”, lo cual significa que puede cumplirse esa carga antes. Sistema que es similar a lo que antes consagraba el artículo 352 del derogado Código de Procedimiento Civil, en cuyo parágrafo 1º se preveía que la carga de sustanciación del apelante debía cumplirse “</w:t>
      </w:r>
      <w:r>
        <w:rPr>
          <w:rFonts w:ascii="Times New Roman" w:hAnsi="Times New Roman" w:cs="Times New Roman"/>
          <w:i/>
          <w:iCs/>
          <w:color w:val="auto"/>
          <w:sz w:val="28"/>
          <w:szCs w:val="28"/>
        </w:rPr>
        <w:t>ante el juez o tribunal que deba resolverlo, a más tardar dentro de la oportunidad establecida en los artículos 359 y 360</w:t>
      </w:r>
      <w:r>
        <w:rPr>
          <w:rFonts w:ascii="Times New Roman" w:hAnsi="Times New Roman" w:cs="Times New Roman"/>
          <w:color w:val="auto"/>
          <w:sz w:val="28"/>
          <w:szCs w:val="28"/>
        </w:rPr>
        <w:t xml:space="preserve">...” </w:t>
      </w:r>
    </w:p>
    <w:p w14:paraId="74F78163" w14:textId="77777777" w:rsidR="009C3A08" w:rsidRDefault="009C3A08" w:rsidP="009C3A08">
      <w:pPr>
        <w:pStyle w:val="Default"/>
        <w:jc w:val="both"/>
        <w:rPr>
          <w:rFonts w:ascii="Times New Roman" w:hAnsi="Times New Roman" w:cs="Times New Roman"/>
          <w:color w:val="auto"/>
          <w:sz w:val="28"/>
          <w:szCs w:val="28"/>
        </w:rPr>
      </w:pPr>
    </w:p>
    <w:p w14:paraId="562BB411" w14:textId="77777777" w:rsidR="002208D3" w:rsidRDefault="002208D3" w:rsidP="009C3A08">
      <w:pPr>
        <w:pStyle w:val="Default"/>
        <w:jc w:val="both"/>
        <w:rPr>
          <w:color w:val="auto"/>
          <w:sz w:val="28"/>
          <w:szCs w:val="28"/>
        </w:rPr>
      </w:pPr>
      <w:r>
        <w:rPr>
          <w:rFonts w:ascii="Times New Roman" w:hAnsi="Times New Roman" w:cs="Times New Roman"/>
          <w:color w:val="auto"/>
          <w:sz w:val="28"/>
          <w:szCs w:val="28"/>
        </w:rPr>
        <w:t xml:space="preserve">Esa postura fue planteada y acogida por la Sala de Casación Civil de la Corte Suprema de Justicia, en sentencias STC5497-2021 y STC5569-2021, en </w:t>
      </w:r>
      <w:r>
        <w:rPr>
          <w:rFonts w:ascii="Times New Roman" w:hAnsi="Times New Roman" w:cs="Times New Roman"/>
          <w:color w:val="auto"/>
          <w:sz w:val="28"/>
          <w:szCs w:val="28"/>
        </w:rPr>
        <w:lastRenderedPageBreak/>
        <w:t>vigencia del decreto 806 de 2020</w:t>
      </w:r>
      <w:r>
        <w:rPr>
          <w:rFonts w:ascii="Times New Roman" w:hAnsi="Times New Roman" w:cs="Times New Roman"/>
          <w:color w:val="auto"/>
          <w:sz w:val="18"/>
          <w:szCs w:val="18"/>
        </w:rPr>
        <w:t>1</w:t>
      </w:r>
      <w:r>
        <w:rPr>
          <w:rFonts w:ascii="Times New Roman" w:hAnsi="Times New Roman" w:cs="Times New Roman"/>
          <w:color w:val="auto"/>
          <w:sz w:val="28"/>
          <w:szCs w:val="28"/>
        </w:rPr>
        <w:t xml:space="preserve">, que reiteró luego de expedida la ley 2213 de 2022 en sentencias STC12613-2022 y STC13425-2022, entre muchas otras más. </w:t>
      </w:r>
    </w:p>
    <w:p w14:paraId="65A7C8D0" w14:textId="77777777" w:rsidR="004E14DC" w:rsidRDefault="004E14DC" w:rsidP="009C3A08">
      <w:pPr>
        <w:pStyle w:val="Default"/>
        <w:jc w:val="both"/>
        <w:rPr>
          <w:rFonts w:ascii="Times New Roman" w:hAnsi="Times New Roman" w:cs="Times New Roman"/>
          <w:color w:val="auto"/>
          <w:sz w:val="28"/>
          <w:szCs w:val="28"/>
        </w:rPr>
      </w:pPr>
    </w:p>
    <w:p w14:paraId="70CFCF31" w14:textId="77777777" w:rsidR="002208D3" w:rsidRDefault="002208D3" w:rsidP="009C3A08">
      <w:pPr>
        <w:pStyle w:val="Default"/>
        <w:jc w:val="both"/>
        <w:rPr>
          <w:color w:val="auto"/>
          <w:sz w:val="28"/>
          <w:szCs w:val="28"/>
        </w:rPr>
      </w:pPr>
      <w:r>
        <w:rPr>
          <w:rFonts w:ascii="Times New Roman" w:hAnsi="Times New Roman" w:cs="Times New Roman"/>
          <w:color w:val="auto"/>
          <w:sz w:val="28"/>
          <w:szCs w:val="28"/>
        </w:rPr>
        <w:t xml:space="preserve">Por cierto que en este caso, aunque no se descorrió el traslado acorde con la norma antes citada, de todas maneras el apelante ante el </w:t>
      </w:r>
      <w:r>
        <w:rPr>
          <w:rFonts w:ascii="Times New Roman" w:hAnsi="Times New Roman" w:cs="Times New Roman"/>
          <w:i/>
          <w:iCs/>
          <w:color w:val="auto"/>
          <w:sz w:val="28"/>
          <w:szCs w:val="28"/>
        </w:rPr>
        <w:t xml:space="preserve">a quo </w:t>
      </w:r>
      <w:r>
        <w:rPr>
          <w:rFonts w:ascii="Times New Roman" w:hAnsi="Times New Roman" w:cs="Times New Roman"/>
          <w:color w:val="auto"/>
          <w:sz w:val="28"/>
          <w:szCs w:val="28"/>
        </w:rPr>
        <w:t xml:space="preserve">efectuó críticas específicas contra la sentencia apelada y un desarrollo argumental que puede tenerse como sustentación. </w:t>
      </w:r>
    </w:p>
    <w:p w14:paraId="6F4C7FC3" w14:textId="77777777" w:rsidR="009C3A08" w:rsidRDefault="009C3A08" w:rsidP="009C3A08">
      <w:pPr>
        <w:pStyle w:val="Default"/>
        <w:jc w:val="both"/>
        <w:rPr>
          <w:rFonts w:ascii="Times New Roman" w:hAnsi="Times New Roman" w:cs="Times New Roman"/>
          <w:color w:val="auto"/>
          <w:sz w:val="28"/>
          <w:szCs w:val="28"/>
        </w:rPr>
      </w:pPr>
    </w:p>
    <w:p w14:paraId="64CE4A82" w14:textId="77777777" w:rsidR="002208D3" w:rsidRDefault="002208D3" w:rsidP="009C3A08">
      <w:pPr>
        <w:pStyle w:val="Default"/>
        <w:jc w:val="both"/>
        <w:rPr>
          <w:color w:val="auto"/>
          <w:sz w:val="28"/>
          <w:szCs w:val="28"/>
        </w:rPr>
      </w:pPr>
      <w:r>
        <w:rPr>
          <w:rFonts w:ascii="Times New Roman" w:hAnsi="Times New Roman" w:cs="Times New Roman"/>
          <w:color w:val="auto"/>
          <w:sz w:val="28"/>
          <w:szCs w:val="28"/>
        </w:rPr>
        <w:t xml:space="preserve">En consecuencia, por Secretaría </w:t>
      </w:r>
      <w:r>
        <w:rPr>
          <w:rFonts w:ascii="Times New Roman" w:hAnsi="Times New Roman" w:cs="Times New Roman"/>
          <w:b/>
          <w:bCs/>
          <w:color w:val="auto"/>
          <w:sz w:val="28"/>
          <w:szCs w:val="28"/>
        </w:rPr>
        <w:t xml:space="preserve">dese traslado </w:t>
      </w:r>
      <w:r>
        <w:rPr>
          <w:rFonts w:ascii="Times New Roman" w:hAnsi="Times New Roman" w:cs="Times New Roman"/>
          <w:color w:val="auto"/>
          <w:sz w:val="28"/>
          <w:szCs w:val="28"/>
        </w:rPr>
        <w:t xml:space="preserve">de los reparos verbales presentados por la parte apelante ante el Juzgado 24 Civil del Circuito de Bogotá (récord 01:24:50 a 01:30:20 archivo 56, </w:t>
      </w:r>
      <w:proofErr w:type="spellStart"/>
      <w:r>
        <w:rPr>
          <w:rFonts w:ascii="Times New Roman" w:hAnsi="Times New Roman" w:cs="Times New Roman"/>
          <w:color w:val="auto"/>
          <w:sz w:val="28"/>
          <w:szCs w:val="28"/>
        </w:rPr>
        <w:t>cuad</w:t>
      </w:r>
      <w:proofErr w:type="spellEnd"/>
      <w:r>
        <w:rPr>
          <w:rFonts w:ascii="Times New Roman" w:hAnsi="Times New Roman" w:cs="Times New Roman"/>
          <w:color w:val="auto"/>
          <w:sz w:val="28"/>
          <w:szCs w:val="28"/>
        </w:rPr>
        <w:t xml:space="preserve">. ppal.), para que la contraparte tenga la oportunidad de formular la réplica correspondiente. Facilítese a las partes el acceso al expediente digitalizado. </w:t>
      </w:r>
    </w:p>
    <w:p w14:paraId="590D4201" w14:textId="77777777" w:rsidR="009C3A08" w:rsidRDefault="009C3A08" w:rsidP="009C3A08">
      <w:pPr>
        <w:pStyle w:val="Default"/>
        <w:jc w:val="both"/>
        <w:rPr>
          <w:rFonts w:ascii="Times New Roman" w:hAnsi="Times New Roman" w:cs="Times New Roman"/>
          <w:b/>
          <w:bCs/>
          <w:color w:val="auto"/>
          <w:sz w:val="28"/>
          <w:szCs w:val="28"/>
        </w:rPr>
      </w:pPr>
    </w:p>
    <w:p w14:paraId="6CAA05F7" w14:textId="77777777" w:rsidR="002208D3" w:rsidRDefault="002208D3" w:rsidP="009C3A08">
      <w:pPr>
        <w:pStyle w:val="Default"/>
        <w:jc w:val="both"/>
        <w:rPr>
          <w:color w:val="auto"/>
          <w:sz w:val="28"/>
          <w:szCs w:val="28"/>
        </w:rPr>
      </w:pPr>
      <w:r>
        <w:rPr>
          <w:rFonts w:ascii="Times New Roman" w:hAnsi="Times New Roman" w:cs="Times New Roman"/>
          <w:b/>
          <w:bCs/>
          <w:color w:val="auto"/>
          <w:sz w:val="28"/>
          <w:szCs w:val="28"/>
        </w:rPr>
        <w:t xml:space="preserve">Cópiese y notifíquese. </w:t>
      </w:r>
    </w:p>
    <w:p w14:paraId="51B3BA42" w14:textId="77777777" w:rsidR="009C3A08" w:rsidRDefault="009C3A08" w:rsidP="009C3A08">
      <w:pPr>
        <w:pStyle w:val="Default"/>
        <w:jc w:val="both"/>
        <w:rPr>
          <w:rFonts w:ascii="Times New Roman" w:hAnsi="Times New Roman" w:cs="Times New Roman"/>
          <w:b/>
          <w:bCs/>
          <w:color w:val="auto"/>
          <w:sz w:val="27"/>
          <w:szCs w:val="27"/>
        </w:rPr>
      </w:pPr>
    </w:p>
    <w:p w14:paraId="76FD549C" w14:textId="77777777" w:rsidR="002208D3" w:rsidRDefault="002208D3" w:rsidP="009C3A08">
      <w:pPr>
        <w:pStyle w:val="Default"/>
        <w:jc w:val="both"/>
        <w:rPr>
          <w:color w:val="auto"/>
          <w:sz w:val="27"/>
          <w:szCs w:val="27"/>
        </w:rPr>
      </w:pPr>
      <w:r>
        <w:rPr>
          <w:rFonts w:ascii="Times New Roman" w:hAnsi="Times New Roman" w:cs="Times New Roman"/>
          <w:b/>
          <w:bCs/>
          <w:color w:val="auto"/>
          <w:sz w:val="27"/>
          <w:szCs w:val="27"/>
        </w:rPr>
        <w:t xml:space="preserve">JOSE ALFONSO ISAZA DAVILA </w:t>
      </w:r>
    </w:p>
    <w:p w14:paraId="6FA3CE51" w14:textId="77777777" w:rsidR="009C3A08" w:rsidRDefault="009C3A08" w:rsidP="009C3A08">
      <w:pPr>
        <w:jc w:val="both"/>
        <w:rPr>
          <w:rFonts w:ascii="Times New Roman" w:hAnsi="Times New Roman" w:cs="Times New Roman"/>
          <w:sz w:val="27"/>
          <w:szCs w:val="27"/>
        </w:rPr>
      </w:pPr>
    </w:p>
    <w:p w14:paraId="7A2EFE1F" w14:textId="77777777" w:rsidR="00000000" w:rsidRDefault="002208D3" w:rsidP="009C3A08">
      <w:pPr>
        <w:jc w:val="both"/>
      </w:pPr>
      <w:r>
        <w:rPr>
          <w:rFonts w:ascii="Times New Roman" w:hAnsi="Times New Roman" w:cs="Times New Roman"/>
          <w:sz w:val="27"/>
          <w:szCs w:val="27"/>
        </w:rPr>
        <w:t>M</w:t>
      </w:r>
      <w:r>
        <w:rPr>
          <w:rFonts w:ascii="Times New Roman" w:hAnsi="Times New Roman" w:cs="Times New Roman"/>
        </w:rPr>
        <w:t xml:space="preserve">AGISTRADO </w:t>
      </w:r>
      <w:r>
        <w:rPr>
          <w:rFonts w:ascii="Times New Roman" w:hAnsi="Times New Roman" w:cs="Times New Roman"/>
          <w:sz w:val="27"/>
          <w:szCs w:val="27"/>
        </w:rPr>
        <w:t>T</w:t>
      </w:r>
      <w:r>
        <w:rPr>
          <w:rFonts w:ascii="Times New Roman" w:hAnsi="Times New Roman" w:cs="Times New Roman"/>
        </w:rPr>
        <w:t xml:space="preserve">RIBUNAL </w:t>
      </w:r>
      <w:r>
        <w:rPr>
          <w:rFonts w:ascii="Times New Roman" w:hAnsi="Times New Roman" w:cs="Times New Roman"/>
          <w:sz w:val="27"/>
          <w:szCs w:val="27"/>
        </w:rPr>
        <w:t>S</w:t>
      </w:r>
      <w:r>
        <w:rPr>
          <w:rFonts w:ascii="Times New Roman" w:hAnsi="Times New Roman" w:cs="Times New Roman"/>
        </w:rPr>
        <w:t>UP</w:t>
      </w:r>
      <w:r>
        <w:rPr>
          <w:rFonts w:ascii="Times New Roman" w:hAnsi="Times New Roman" w:cs="Times New Roman"/>
          <w:sz w:val="27"/>
          <w:szCs w:val="27"/>
        </w:rPr>
        <w:t xml:space="preserve">. </w:t>
      </w:r>
      <w:r>
        <w:rPr>
          <w:rFonts w:ascii="Times New Roman" w:hAnsi="Times New Roman" w:cs="Times New Roman"/>
        </w:rPr>
        <w:t xml:space="preserve">DE </w:t>
      </w:r>
      <w:r>
        <w:rPr>
          <w:rFonts w:ascii="Times New Roman" w:hAnsi="Times New Roman" w:cs="Times New Roman"/>
          <w:sz w:val="27"/>
          <w:szCs w:val="27"/>
        </w:rPr>
        <w:t>B</w:t>
      </w:r>
      <w:r>
        <w:rPr>
          <w:rFonts w:ascii="Times New Roman" w:hAnsi="Times New Roman" w:cs="Times New Roman"/>
        </w:rPr>
        <w:t>OGOTÁ</w:t>
      </w:r>
      <w:r>
        <w:rPr>
          <w:rFonts w:ascii="Times New Roman" w:hAnsi="Times New Roman" w:cs="Times New Roman"/>
          <w:sz w:val="27"/>
          <w:szCs w:val="27"/>
        </w:rPr>
        <w:t>, S</w:t>
      </w:r>
      <w:r>
        <w:rPr>
          <w:rFonts w:ascii="Times New Roman" w:hAnsi="Times New Roman" w:cs="Times New Roman"/>
        </w:rPr>
        <w:t xml:space="preserve">ALA </w:t>
      </w:r>
      <w:r>
        <w:rPr>
          <w:rFonts w:ascii="Times New Roman" w:hAnsi="Times New Roman" w:cs="Times New Roman"/>
          <w:sz w:val="27"/>
          <w:szCs w:val="27"/>
        </w:rPr>
        <w:t>C</w:t>
      </w:r>
      <w:r>
        <w:rPr>
          <w:rFonts w:ascii="Times New Roman" w:hAnsi="Times New Roman" w:cs="Times New Roman"/>
        </w:rPr>
        <w:t>IVIL</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D3"/>
    <w:rsid w:val="002208D3"/>
    <w:rsid w:val="004C33DF"/>
    <w:rsid w:val="004E14DC"/>
    <w:rsid w:val="0059167B"/>
    <w:rsid w:val="009C3A08"/>
    <w:rsid w:val="00C91839"/>
    <w:rsid w:val="00CF6F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F9BF"/>
  <w15:chartTrackingRefBased/>
  <w15:docId w15:val="{E10BA4C4-4DB5-4F4B-A9E2-06BA294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208D3"/>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2</cp:revision>
  <dcterms:created xsi:type="dcterms:W3CDTF">2024-03-22T23:29:00Z</dcterms:created>
  <dcterms:modified xsi:type="dcterms:W3CDTF">2024-03-22T23:29:00Z</dcterms:modified>
</cp:coreProperties>
</file>