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CFD2" w14:textId="3ED31395" w:rsidR="00FB2EE1" w:rsidRDefault="00A40405" w:rsidP="00FB2EE1">
      <w:pPr>
        <w:pStyle w:val="Default"/>
        <w:jc w:val="center"/>
        <w:rPr>
          <w:i/>
          <w:iCs/>
          <w:sz w:val="28"/>
          <w:szCs w:val="28"/>
        </w:rPr>
      </w:pPr>
      <w:r>
        <w:rPr>
          <w:i/>
          <w:iCs/>
          <w:sz w:val="28"/>
          <w:szCs w:val="28"/>
        </w:rPr>
        <w:t>República de Colombia</w:t>
      </w:r>
    </w:p>
    <w:p w14:paraId="34B00E57" w14:textId="42A30469" w:rsidR="00FB2EE1" w:rsidRDefault="00A40405" w:rsidP="00FB2EE1">
      <w:pPr>
        <w:pStyle w:val="Default"/>
        <w:jc w:val="center"/>
        <w:rPr>
          <w:i/>
          <w:iCs/>
          <w:sz w:val="28"/>
          <w:szCs w:val="28"/>
        </w:rPr>
      </w:pPr>
      <w:r>
        <w:rPr>
          <w:i/>
          <w:iCs/>
          <w:sz w:val="28"/>
          <w:szCs w:val="28"/>
        </w:rPr>
        <w:t>Rama Judicial</w:t>
      </w:r>
    </w:p>
    <w:p w14:paraId="1532E2D0" w14:textId="02ECFC5A" w:rsidR="00FB2EE1" w:rsidRDefault="00A40405" w:rsidP="00FB2EE1">
      <w:pPr>
        <w:pStyle w:val="Default"/>
        <w:jc w:val="center"/>
        <w:rPr>
          <w:i/>
          <w:iCs/>
          <w:sz w:val="28"/>
          <w:szCs w:val="28"/>
        </w:rPr>
      </w:pPr>
      <w:r>
        <w:rPr>
          <w:i/>
          <w:iCs/>
          <w:sz w:val="28"/>
          <w:szCs w:val="28"/>
        </w:rPr>
        <w:t>TRIBUNAL SUPERIOR DEL DISTRITO JUDICIAL DE BOGOTA</w:t>
      </w:r>
    </w:p>
    <w:p w14:paraId="3BE54B60" w14:textId="5899B1C1" w:rsidR="00A40405" w:rsidRDefault="00A40405" w:rsidP="00FB2EE1">
      <w:pPr>
        <w:pStyle w:val="Default"/>
        <w:jc w:val="center"/>
        <w:rPr>
          <w:sz w:val="28"/>
          <w:szCs w:val="28"/>
        </w:rPr>
      </w:pPr>
      <w:r>
        <w:rPr>
          <w:i/>
          <w:iCs/>
          <w:sz w:val="28"/>
          <w:szCs w:val="28"/>
        </w:rPr>
        <w:t>SALA CIVIL</w:t>
      </w:r>
    </w:p>
    <w:p w14:paraId="470E5F9F" w14:textId="77777777" w:rsidR="00FB2EE1" w:rsidRDefault="00FB2EE1" w:rsidP="00A40405">
      <w:pPr>
        <w:pStyle w:val="Default"/>
        <w:rPr>
          <w:rFonts w:ascii="Times New Roman" w:hAnsi="Times New Roman" w:cs="Times New Roman"/>
          <w:color w:val="auto"/>
          <w:sz w:val="23"/>
          <w:szCs w:val="23"/>
        </w:rPr>
      </w:pPr>
    </w:p>
    <w:p w14:paraId="66897D49" w14:textId="0D773493" w:rsidR="00A40405" w:rsidRDefault="00A40405" w:rsidP="00A40405">
      <w:pPr>
        <w:pStyle w:val="Default"/>
        <w:rPr>
          <w:color w:val="auto"/>
          <w:sz w:val="23"/>
          <w:szCs w:val="23"/>
        </w:rPr>
      </w:pPr>
      <w:r>
        <w:rPr>
          <w:rFonts w:ascii="Times New Roman" w:hAnsi="Times New Roman" w:cs="Times New Roman"/>
          <w:color w:val="auto"/>
          <w:sz w:val="23"/>
          <w:szCs w:val="23"/>
        </w:rPr>
        <w:t xml:space="preserve">Radicación: </w:t>
      </w:r>
      <w:r w:rsidR="00FB2EE1">
        <w:rPr>
          <w:rFonts w:ascii="Times New Roman" w:hAnsi="Times New Roman" w:cs="Times New Roman"/>
          <w:color w:val="auto"/>
          <w:sz w:val="23"/>
          <w:szCs w:val="23"/>
        </w:rPr>
        <w:tab/>
      </w:r>
      <w:r>
        <w:rPr>
          <w:rFonts w:ascii="Times New Roman" w:hAnsi="Times New Roman" w:cs="Times New Roman"/>
          <w:color w:val="auto"/>
          <w:sz w:val="23"/>
          <w:szCs w:val="23"/>
        </w:rPr>
        <w:t xml:space="preserve">110013103024-2018-00583-01 </w:t>
      </w:r>
    </w:p>
    <w:p w14:paraId="43984A70" w14:textId="3128AEC4" w:rsidR="00A40405" w:rsidRDefault="00A40405" w:rsidP="00A4040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Demandante: </w:t>
      </w:r>
      <w:r w:rsidR="00FB2EE1">
        <w:rPr>
          <w:rFonts w:ascii="Times New Roman" w:hAnsi="Times New Roman" w:cs="Times New Roman"/>
          <w:color w:val="auto"/>
          <w:sz w:val="23"/>
          <w:szCs w:val="23"/>
        </w:rPr>
        <w:tab/>
      </w:r>
      <w:r>
        <w:rPr>
          <w:rFonts w:ascii="Times New Roman" w:hAnsi="Times New Roman" w:cs="Times New Roman"/>
          <w:color w:val="auto"/>
          <w:sz w:val="23"/>
          <w:szCs w:val="23"/>
        </w:rPr>
        <w:t xml:space="preserve">Esperanza Prada Rey </w:t>
      </w:r>
    </w:p>
    <w:p w14:paraId="446C7A43" w14:textId="00C553FF" w:rsidR="00A40405" w:rsidRDefault="00A40405" w:rsidP="00A4040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Demandado: </w:t>
      </w:r>
      <w:r w:rsidR="00FB2EE1">
        <w:rPr>
          <w:rFonts w:ascii="Times New Roman" w:hAnsi="Times New Roman" w:cs="Times New Roman"/>
          <w:color w:val="auto"/>
          <w:sz w:val="23"/>
          <w:szCs w:val="23"/>
        </w:rPr>
        <w:tab/>
      </w:r>
      <w:r>
        <w:rPr>
          <w:rFonts w:ascii="Times New Roman" w:hAnsi="Times New Roman" w:cs="Times New Roman"/>
          <w:color w:val="auto"/>
          <w:sz w:val="23"/>
          <w:szCs w:val="23"/>
        </w:rPr>
        <w:t xml:space="preserve">Nueva EPS y otros </w:t>
      </w:r>
    </w:p>
    <w:p w14:paraId="109B3270" w14:textId="2D34195B" w:rsidR="00A40405" w:rsidRDefault="00A40405" w:rsidP="00A4040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Proceso: </w:t>
      </w:r>
      <w:r w:rsidR="00FB2EE1">
        <w:rPr>
          <w:rFonts w:ascii="Times New Roman" w:hAnsi="Times New Roman" w:cs="Times New Roman"/>
          <w:color w:val="auto"/>
          <w:sz w:val="23"/>
          <w:szCs w:val="23"/>
        </w:rPr>
        <w:tab/>
      </w:r>
      <w:r>
        <w:rPr>
          <w:rFonts w:ascii="Times New Roman" w:hAnsi="Times New Roman" w:cs="Times New Roman"/>
          <w:color w:val="auto"/>
          <w:sz w:val="23"/>
          <w:szCs w:val="23"/>
        </w:rPr>
        <w:t xml:space="preserve">Verbal </w:t>
      </w:r>
    </w:p>
    <w:p w14:paraId="2CEA9ADA" w14:textId="42BD88FC" w:rsidR="00A40405" w:rsidRDefault="00A40405" w:rsidP="00A40405">
      <w:pPr>
        <w:pStyle w:val="Default"/>
        <w:rPr>
          <w:color w:val="auto"/>
          <w:sz w:val="23"/>
          <w:szCs w:val="23"/>
        </w:rPr>
      </w:pPr>
      <w:r>
        <w:rPr>
          <w:rFonts w:ascii="Times New Roman" w:hAnsi="Times New Roman" w:cs="Times New Roman"/>
          <w:color w:val="auto"/>
          <w:sz w:val="23"/>
          <w:szCs w:val="23"/>
        </w:rPr>
        <w:t xml:space="preserve">Trámite: </w:t>
      </w:r>
      <w:r w:rsidR="00FB2EE1">
        <w:rPr>
          <w:rFonts w:ascii="Times New Roman" w:hAnsi="Times New Roman" w:cs="Times New Roman"/>
          <w:color w:val="auto"/>
          <w:sz w:val="23"/>
          <w:szCs w:val="23"/>
        </w:rPr>
        <w:tab/>
      </w:r>
      <w:r>
        <w:rPr>
          <w:rFonts w:ascii="Times New Roman" w:hAnsi="Times New Roman" w:cs="Times New Roman"/>
          <w:color w:val="auto"/>
          <w:sz w:val="23"/>
          <w:szCs w:val="23"/>
        </w:rPr>
        <w:t xml:space="preserve">Apelación sentencia – pruebas </w:t>
      </w:r>
    </w:p>
    <w:p w14:paraId="48FAEBA8" w14:textId="77777777" w:rsidR="00FB2EE1" w:rsidRDefault="00FB2EE1" w:rsidP="00A40405">
      <w:pPr>
        <w:pStyle w:val="Default"/>
        <w:rPr>
          <w:rFonts w:ascii="Times New Roman" w:hAnsi="Times New Roman" w:cs="Times New Roman"/>
          <w:color w:val="auto"/>
          <w:sz w:val="28"/>
          <w:szCs w:val="28"/>
        </w:rPr>
      </w:pPr>
    </w:p>
    <w:p w14:paraId="3F435E75" w14:textId="5D2F6B43" w:rsidR="00A40405" w:rsidRDefault="00A40405" w:rsidP="00FB2EE1">
      <w:pPr>
        <w:pStyle w:val="Default"/>
        <w:jc w:val="center"/>
        <w:rPr>
          <w:color w:val="auto"/>
          <w:sz w:val="28"/>
          <w:szCs w:val="28"/>
        </w:rPr>
      </w:pPr>
      <w:r>
        <w:rPr>
          <w:rFonts w:ascii="Times New Roman" w:hAnsi="Times New Roman" w:cs="Times New Roman"/>
          <w:color w:val="auto"/>
          <w:sz w:val="28"/>
          <w:szCs w:val="28"/>
        </w:rPr>
        <w:t>Bogotá, D. C., veintidós (22) de febrero de dos mil veinticuatro (2024).</w:t>
      </w:r>
    </w:p>
    <w:p w14:paraId="5432E048" w14:textId="77777777" w:rsidR="00FB2EE1" w:rsidRDefault="00FB2EE1" w:rsidP="00A40405">
      <w:pPr>
        <w:pStyle w:val="Default"/>
        <w:rPr>
          <w:rFonts w:ascii="Times New Roman" w:hAnsi="Times New Roman" w:cs="Times New Roman"/>
          <w:color w:val="auto"/>
          <w:sz w:val="28"/>
          <w:szCs w:val="28"/>
        </w:rPr>
      </w:pPr>
    </w:p>
    <w:p w14:paraId="168B905D" w14:textId="18A8439C" w:rsidR="00A40405" w:rsidRDefault="00A40405" w:rsidP="00FB2EE1">
      <w:pPr>
        <w:pStyle w:val="Default"/>
        <w:jc w:val="both"/>
        <w:rPr>
          <w:color w:val="auto"/>
          <w:sz w:val="28"/>
          <w:szCs w:val="28"/>
        </w:rPr>
      </w:pPr>
      <w:r>
        <w:rPr>
          <w:rFonts w:ascii="Times New Roman" w:hAnsi="Times New Roman" w:cs="Times New Roman"/>
          <w:color w:val="auto"/>
          <w:sz w:val="28"/>
          <w:szCs w:val="28"/>
        </w:rPr>
        <w:t xml:space="preserve">Estando en estudio de decisión este expediente, </w:t>
      </w:r>
      <w:proofErr w:type="spellStart"/>
      <w:r>
        <w:rPr>
          <w:rFonts w:ascii="Times New Roman" w:hAnsi="Times New Roman" w:cs="Times New Roman"/>
          <w:color w:val="auto"/>
          <w:sz w:val="28"/>
          <w:szCs w:val="28"/>
        </w:rPr>
        <w:t>obsérvase</w:t>
      </w:r>
      <w:proofErr w:type="spellEnd"/>
      <w:r>
        <w:rPr>
          <w:rFonts w:ascii="Times New Roman" w:hAnsi="Times New Roman" w:cs="Times New Roman"/>
          <w:color w:val="auto"/>
          <w:sz w:val="28"/>
          <w:szCs w:val="28"/>
        </w:rPr>
        <w:t xml:space="preserve"> que la </w:t>
      </w:r>
      <w:proofErr w:type="gramStart"/>
      <w:r>
        <w:rPr>
          <w:rFonts w:ascii="Times New Roman" w:hAnsi="Times New Roman" w:cs="Times New Roman"/>
          <w:color w:val="auto"/>
          <w:sz w:val="28"/>
          <w:szCs w:val="28"/>
        </w:rPr>
        <w:t>parte</w:t>
      </w:r>
      <w:r w:rsidR="00FB2EE1">
        <w:rPr>
          <w:rFonts w:ascii="Times New Roman" w:hAnsi="Times New Roman" w:cs="Times New Roman"/>
          <w:color w:val="auto"/>
          <w:sz w:val="28"/>
          <w:szCs w:val="28"/>
        </w:rPr>
        <w:t xml:space="preserve">  d</w:t>
      </w:r>
      <w:r>
        <w:rPr>
          <w:rFonts w:ascii="Times New Roman" w:hAnsi="Times New Roman" w:cs="Times New Roman"/>
          <w:color w:val="auto"/>
          <w:sz w:val="28"/>
          <w:szCs w:val="28"/>
        </w:rPr>
        <w:t>emandante</w:t>
      </w:r>
      <w:proofErr w:type="gramEnd"/>
      <w:r>
        <w:rPr>
          <w:rFonts w:ascii="Times New Roman" w:hAnsi="Times New Roman" w:cs="Times New Roman"/>
          <w:color w:val="auto"/>
          <w:sz w:val="28"/>
          <w:szCs w:val="28"/>
        </w:rPr>
        <w:t xml:space="preserve"> solicitó el decreto de la prueba testimonial de Miguel </w:t>
      </w:r>
      <w:proofErr w:type="spellStart"/>
      <w:r>
        <w:rPr>
          <w:rFonts w:ascii="Times New Roman" w:hAnsi="Times New Roman" w:cs="Times New Roman"/>
          <w:color w:val="auto"/>
          <w:sz w:val="28"/>
          <w:szCs w:val="28"/>
        </w:rPr>
        <w:t>Angel</w:t>
      </w:r>
      <w:proofErr w:type="spellEnd"/>
      <w:r>
        <w:rPr>
          <w:rFonts w:ascii="Times New Roman" w:hAnsi="Times New Roman" w:cs="Times New Roman"/>
          <w:color w:val="auto"/>
          <w:sz w:val="28"/>
          <w:szCs w:val="28"/>
        </w:rPr>
        <w:t xml:space="preserve"> Carvajal Fuentes, Jeny Paola Garzón Rico e Iván Gregori </w:t>
      </w:r>
      <w:proofErr w:type="spellStart"/>
      <w:r>
        <w:rPr>
          <w:rFonts w:ascii="Times New Roman" w:hAnsi="Times New Roman" w:cs="Times New Roman"/>
          <w:color w:val="auto"/>
          <w:sz w:val="28"/>
          <w:szCs w:val="28"/>
        </w:rPr>
        <w:t>Pisciotti</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Chajin</w:t>
      </w:r>
      <w:proofErr w:type="spellEnd"/>
      <w:r>
        <w:rPr>
          <w:rFonts w:ascii="Times New Roman" w:hAnsi="Times New Roman" w:cs="Times New Roman"/>
          <w:color w:val="auto"/>
          <w:sz w:val="28"/>
          <w:szCs w:val="28"/>
        </w:rPr>
        <w:t>, petición que apoyó en haberse decretado en primera instancia, pero por motivos ajenos a su voluntad, no pudieron ser practicados (</w:t>
      </w:r>
      <w:proofErr w:type="spellStart"/>
      <w:r>
        <w:rPr>
          <w:rFonts w:ascii="Times New Roman" w:hAnsi="Times New Roman" w:cs="Times New Roman"/>
          <w:color w:val="auto"/>
          <w:sz w:val="28"/>
          <w:szCs w:val="28"/>
        </w:rPr>
        <w:t>pdf</w:t>
      </w:r>
      <w:proofErr w:type="spellEnd"/>
      <w:r>
        <w:rPr>
          <w:rFonts w:ascii="Times New Roman" w:hAnsi="Times New Roman" w:cs="Times New Roman"/>
          <w:color w:val="auto"/>
          <w:sz w:val="28"/>
          <w:szCs w:val="28"/>
        </w:rPr>
        <w:t xml:space="preserve"> 06 del </w:t>
      </w:r>
      <w:proofErr w:type="spellStart"/>
      <w:r>
        <w:rPr>
          <w:rFonts w:ascii="Times New Roman" w:hAnsi="Times New Roman" w:cs="Times New Roman"/>
          <w:color w:val="auto"/>
          <w:sz w:val="28"/>
          <w:szCs w:val="28"/>
        </w:rPr>
        <w:t>cuad</w:t>
      </w:r>
      <w:proofErr w:type="spellEnd"/>
      <w:r>
        <w:rPr>
          <w:rFonts w:ascii="Times New Roman" w:hAnsi="Times New Roman" w:cs="Times New Roman"/>
          <w:color w:val="auto"/>
          <w:sz w:val="28"/>
          <w:szCs w:val="28"/>
        </w:rPr>
        <w:t xml:space="preserve">. Tribunal). </w:t>
      </w:r>
    </w:p>
    <w:p w14:paraId="2A9C0FF0" w14:textId="77777777" w:rsidR="007A49AE" w:rsidRDefault="007A49AE" w:rsidP="00FB2EE1">
      <w:pPr>
        <w:pStyle w:val="Default"/>
        <w:jc w:val="both"/>
        <w:rPr>
          <w:rFonts w:ascii="Times New Roman" w:hAnsi="Times New Roman" w:cs="Times New Roman"/>
          <w:color w:val="auto"/>
          <w:sz w:val="28"/>
          <w:szCs w:val="28"/>
        </w:rPr>
      </w:pPr>
    </w:p>
    <w:p w14:paraId="032DFBCF" w14:textId="13B1E49D" w:rsidR="00A40405" w:rsidRDefault="00A40405" w:rsidP="00FB2EE1">
      <w:pPr>
        <w:pStyle w:val="Default"/>
        <w:jc w:val="both"/>
        <w:rPr>
          <w:color w:val="auto"/>
          <w:sz w:val="28"/>
          <w:szCs w:val="28"/>
        </w:rPr>
      </w:pPr>
      <w:r>
        <w:rPr>
          <w:rFonts w:ascii="Times New Roman" w:hAnsi="Times New Roman" w:cs="Times New Roman"/>
          <w:color w:val="auto"/>
          <w:sz w:val="28"/>
          <w:szCs w:val="28"/>
        </w:rPr>
        <w:t xml:space="preserve">Se </w:t>
      </w:r>
      <w:r>
        <w:rPr>
          <w:rFonts w:ascii="Times New Roman" w:hAnsi="Times New Roman" w:cs="Times New Roman"/>
          <w:b/>
          <w:bCs/>
          <w:color w:val="auto"/>
          <w:sz w:val="28"/>
          <w:szCs w:val="28"/>
        </w:rPr>
        <w:t xml:space="preserve">deniega </w:t>
      </w:r>
      <w:r>
        <w:rPr>
          <w:rFonts w:ascii="Times New Roman" w:hAnsi="Times New Roman" w:cs="Times New Roman"/>
          <w:color w:val="auto"/>
          <w:sz w:val="28"/>
          <w:szCs w:val="28"/>
        </w:rPr>
        <w:t xml:space="preserve">esa solicitud por cuanto no reúne los requisitos de la causal 2ª del art. 327 del Código General del Proceso, que es la invocada. En efecto, tal precepto regula el decreto de pruebas en segunda instancia –a solicitud de las partes– de forma restringida, pues únicamente es factible en los eventos excepcionales allí consagrados, de los cuales se invocó el ordinal 2º, cuyo supuesto no milita en el asunto de autos. </w:t>
      </w:r>
    </w:p>
    <w:p w14:paraId="5B5CD706" w14:textId="77777777" w:rsidR="007A49AE" w:rsidRDefault="007A49AE" w:rsidP="00FB2EE1">
      <w:pPr>
        <w:pStyle w:val="Default"/>
        <w:jc w:val="both"/>
        <w:rPr>
          <w:rFonts w:ascii="Times New Roman" w:hAnsi="Times New Roman" w:cs="Times New Roman"/>
          <w:color w:val="auto"/>
          <w:sz w:val="28"/>
          <w:szCs w:val="28"/>
        </w:rPr>
      </w:pPr>
    </w:p>
    <w:p w14:paraId="1621D445" w14:textId="6B41EE38" w:rsidR="00A40405" w:rsidRDefault="00A40405" w:rsidP="00FB2EE1">
      <w:pPr>
        <w:pStyle w:val="Default"/>
        <w:jc w:val="both"/>
        <w:rPr>
          <w:color w:val="auto"/>
          <w:sz w:val="28"/>
          <w:szCs w:val="28"/>
        </w:rPr>
      </w:pPr>
      <w:r>
        <w:rPr>
          <w:rFonts w:ascii="Times New Roman" w:hAnsi="Times New Roman" w:cs="Times New Roman"/>
          <w:color w:val="auto"/>
          <w:sz w:val="28"/>
          <w:szCs w:val="28"/>
        </w:rPr>
        <w:t xml:space="preserve">Justamente, de la lectura del expediente se desprende que mediante auto de 1º de noviembre de 2022, el </w:t>
      </w:r>
      <w:r>
        <w:rPr>
          <w:rFonts w:ascii="Times New Roman" w:hAnsi="Times New Roman" w:cs="Times New Roman"/>
          <w:i/>
          <w:iCs/>
          <w:color w:val="auto"/>
          <w:sz w:val="28"/>
          <w:szCs w:val="28"/>
        </w:rPr>
        <w:t xml:space="preserve">a quo </w:t>
      </w:r>
      <w:r>
        <w:rPr>
          <w:rFonts w:ascii="Times New Roman" w:hAnsi="Times New Roman" w:cs="Times New Roman"/>
          <w:color w:val="auto"/>
          <w:sz w:val="28"/>
          <w:szCs w:val="28"/>
        </w:rPr>
        <w:t>decretó la práctica de esa prueba con carga de su comparecencia a la demandante (</w:t>
      </w:r>
      <w:proofErr w:type="spellStart"/>
      <w:r>
        <w:rPr>
          <w:rFonts w:ascii="Times New Roman" w:hAnsi="Times New Roman" w:cs="Times New Roman"/>
          <w:color w:val="auto"/>
          <w:sz w:val="28"/>
          <w:szCs w:val="28"/>
        </w:rPr>
        <w:t>pdf</w:t>
      </w:r>
      <w:proofErr w:type="spellEnd"/>
      <w:r>
        <w:rPr>
          <w:rFonts w:ascii="Times New Roman" w:hAnsi="Times New Roman" w:cs="Times New Roman"/>
          <w:color w:val="auto"/>
          <w:sz w:val="28"/>
          <w:szCs w:val="28"/>
        </w:rPr>
        <w:t xml:space="preserve"> 33 del </w:t>
      </w:r>
      <w:proofErr w:type="spellStart"/>
      <w:r>
        <w:rPr>
          <w:rFonts w:ascii="Times New Roman" w:hAnsi="Times New Roman" w:cs="Times New Roman"/>
          <w:color w:val="auto"/>
          <w:sz w:val="28"/>
          <w:szCs w:val="28"/>
        </w:rPr>
        <w:t>cuad</w:t>
      </w:r>
      <w:proofErr w:type="spellEnd"/>
      <w:r>
        <w:rPr>
          <w:rFonts w:ascii="Times New Roman" w:hAnsi="Times New Roman" w:cs="Times New Roman"/>
          <w:color w:val="auto"/>
          <w:sz w:val="28"/>
          <w:szCs w:val="28"/>
        </w:rPr>
        <w:t>. 1 tomo II), pero tras ser recurrida por esta, se expresó “</w:t>
      </w:r>
      <w:r>
        <w:rPr>
          <w:rFonts w:ascii="Times New Roman" w:hAnsi="Times New Roman" w:cs="Times New Roman"/>
          <w:i/>
          <w:iCs/>
          <w:color w:val="auto"/>
          <w:sz w:val="28"/>
          <w:szCs w:val="28"/>
        </w:rPr>
        <w:t>no es de carga exclusiva de estos, sino que se solicita a ANDAR S.A.S. informar en el término de diez (10) días los datos contacto de los citados testigos para su citación a audiencia (...) o el resultado de su indagación acerca de los mismos y de contar con ellos, informar a los testigos de su citación</w:t>
      </w:r>
      <w:r>
        <w:rPr>
          <w:rFonts w:ascii="Times New Roman" w:hAnsi="Times New Roman" w:cs="Times New Roman"/>
          <w:color w:val="auto"/>
          <w:sz w:val="28"/>
          <w:szCs w:val="28"/>
        </w:rPr>
        <w:t>”. Con ocasión de esa orden, la sociedad Andar S.A.S. informó no contar con la información de esas tres personas (</w:t>
      </w:r>
      <w:proofErr w:type="spellStart"/>
      <w:r>
        <w:rPr>
          <w:rFonts w:ascii="Times New Roman" w:hAnsi="Times New Roman" w:cs="Times New Roman"/>
          <w:color w:val="auto"/>
          <w:sz w:val="28"/>
          <w:szCs w:val="28"/>
        </w:rPr>
        <w:t>pdf</w:t>
      </w:r>
      <w:proofErr w:type="spellEnd"/>
      <w:r>
        <w:rPr>
          <w:rFonts w:ascii="Times New Roman" w:hAnsi="Times New Roman" w:cs="Times New Roman"/>
          <w:color w:val="auto"/>
          <w:sz w:val="28"/>
          <w:szCs w:val="28"/>
        </w:rPr>
        <w:t xml:space="preserve"> 051 ib.), situación por la cual se prescindió de esos testimonios al momento de la práctica de las pruebas. </w:t>
      </w:r>
    </w:p>
    <w:p w14:paraId="130984A8" w14:textId="77777777" w:rsidR="007A49AE" w:rsidRDefault="007A49AE" w:rsidP="00FB2EE1">
      <w:pPr>
        <w:pStyle w:val="Default"/>
        <w:jc w:val="both"/>
        <w:rPr>
          <w:rFonts w:ascii="Times New Roman" w:hAnsi="Times New Roman" w:cs="Times New Roman"/>
          <w:color w:val="auto"/>
          <w:sz w:val="28"/>
          <w:szCs w:val="28"/>
        </w:rPr>
      </w:pPr>
    </w:p>
    <w:p w14:paraId="641025CC" w14:textId="330DD4C6" w:rsidR="00A40405" w:rsidRDefault="00A40405" w:rsidP="007A49AE">
      <w:pPr>
        <w:pStyle w:val="Default"/>
        <w:jc w:val="both"/>
        <w:rPr>
          <w:color w:val="auto"/>
          <w:sz w:val="28"/>
          <w:szCs w:val="28"/>
        </w:rPr>
      </w:pPr>
      <w:r>
        <w:rPr>
          <w:rFonts w:ascii="Times New Roman" w:hAnsi="Times New Roman" w:cs="Times New Roman"/>
          <w:color w:val="auto"/>
          <w:sz w:val="28"/>
          <w:szCs w:val="28"/>
        </w:rPr>
        <w:t xml:space="preserve">Conforme al art. 312 CGP, corresponde a la parte interesada brindar cada uno de los datos de contacto del sujeto que servirá como testimonio, pero para el </w:t>
      </w:r>
      <w:r w:rsidR="007A49AE">
        <w:rPr>
          <w:rFonts w:ascii="Times New Roman" w:hAnsi="Times New Roman" w:cs="Times New Roman"/>
          <w:color w:val="auto"/>
          <w:sz w:val="28"/>
          <w:szCs w:val="28"/>
        </w:rPr>
        <w:t>a</w:t>
      </w:r>
      <w:r>
        <w:rPr>
          <w:rFonts w:ascii="Times New Roman" w:hAnsi="Times New Roman" w:cs="Times New Roman"/>
          <w:color w:val="auto"/>
          <w:sz w:val="28"/>
          <w:szCs w:val="28"/>
        </w:rPr>
        <w:t>sunto, por presentarse facilidad a una de las demandadas en</w:t>
      </w:r>
      <w:r w:rsidR="007A49A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adquirir esa </w:t>
      </w:r>
      <w:r>
        <w:rPr>
          <w:rFonts w:ascii="Times New Roman" w:hAnsi="Times New Roman" w:cs="Times New Roman"/>
          <w:color w:val="auto"/>
          <w:sz w:val="28"/>
          <w:szCs w:val="28"/>
        </w:rPr>
        <w:lastRenderedPageBreak/>
        <w:t xml:space="preserve">información, se le atribuyó tal carga a Andar S.A.S. sin eximir a la demandante de gestionar su comparecencia. Nótese </w:t>
      </w:r>
      <w:proofErr w:type="gramStart"/>
      <w:r>
        <w:rPr>
          <w:rFonts w:ascii="Times New Roman" w:hAnsi="Times New Roman" w:cs="Times New Roman"/>
          <w:color w:val="auto"/>
          <w:sz w:val="28"/>
          <w:szCs w:val="28"/>
        </w:rPr>
        <w:t>que</w:t>
      </w:r>
      <w:proofErr w:type="gramEnd"/>
      <w:r>
        <w:rPr>
          <w:rFonts w:ascii="Times New Roman" w:hAnsi="Times New Roman" w:cs="Times New Roman"/>
          <w:color w:val="auto"/>
          <w:sz w:val="28"/>
          <w:szCs w:val="28"/>
        </w:rPr>
        <w:t xml:space="preserve"> al resolverse la censura propuesta por el demandante en la audiencia inicial, se conminó a Andar S.A.S. a verificar en su base de datos registros de notificación de los testigos, pero no se aniquiló el deber de la interesada de propender por su citación (</w:t>
      </w:r>
      <w:proofErr w:type="spellStart"/>
      <w:r>
        <w:rPr>
          <w:rFonts w:ascii="Times New Roman" w:hAnsi="Times New Roman" w:cs="Times New Roman"/>
          <w:color w:val="auto"/>
          <w:sz w:val="28"/>
          <w:szCs w:val="28"/>
        </w:rPr>
        <w:t>pdf</w:t>
      </w:r>
      <w:proofErr w:type="spellEnd"/>
      <w:r>
        <w:rPr>
          <w:rFonts w:ascii="Times New Roman" w:hAnsi="Times New Roman" w:cs="Times New Roman"/>
          <w:color w:val="auto"/>
          <w:sz w:val="28"/>
          <w:szCs w:val="28"/>
        </w:rPr>
        <w:t xml:space="preserve"> 33 del </w:t>
      </w:r>
      <w:proofErr w:type="spellStart"/>
      <w:r>
        <w:rPr>
          <w:rFonts w:ascii="Times New Roman" w:hAnsi="Times New Roman" w:cs="Times New Roman"/>
          <w:color w:val="auto"/>
          <w:sz w:val="28"/>
          <w:szCs w:val="28"/>
        </w:rPr>
        <w:t>cuad</w:t>
      </w:r>
      <w:proofErr w:type="spellEnd"/>
      <w:r>
        <w:rPr>
          <w:rFonts w:ascii="Times New Roman" w:hAnsi="Times New Roman" w:cs="Times New Roman"/>
          <w:color w:val="auto"/>
          <w:sz w:val="28"/>
          <w:szCs w:val="28"/>
        </w:rPr>
        <w:t xml:space="preserve">. 1 tomo II). </w:t>
      </w:r>
    </w:p>
    <w:p w14:paraId="4066BFFD" w14:textId="77777777" w:rsidR="007A49AE" w:rsidRDefault="007A49AE" w:rsidP="00FB2EE1">
      <w:pPr>
        <w:pStyle w:val="Default"/>
        <w:jc w:val="both"/>
        <w:rPr>
          <w:rFonts w:ascii="Times New Roman" w:hAnsi="Times New Roman" w:cs="Times New Roman"/>
          <w:color w:val="auto"/>
          <w:sz w:val="28"/>
          <w:szCs w:val="28"/>
        </w:rPr>
      </w:pPr>
    </w:p>
    <w:p w14:paraId="5A86F9B8" w14:textId="34A88799" w:rsidR="00A40405" w:rsidRDefault="00A40405" w:rsidP="00FB2EE1">
      <w:pPr>
        <w:pStyle w:val="Default"/>
        <w:jc w:val="both"/>
        <w:rPr>
          <w:color w:val="auto"/>
          <w:sz w:val="28"/>
          <w:szCs w:val="28"/>
        </w:rPr>
      </w:pPr>
      <w:r>
        <w:rPr>
          <w:rFonts w:ascii="Times New Roman" w:hAnsi="Times New Roman" w:cs="Times New Roman"/>
          <w:color w:val="auto"/>
          <w:sz w:val="28"/>
          <w:szCs w:val="28"/>
        </w:rPr>
        <w:t xml:space="preserve">Ahora, en la audiencia de instrucción y juzgamiento, tras evacuarse la declaración de otra persona, la juez emitió una orden y manifestó que como se había agotado la instrucción, corría traslado para alegar de conclusión (récord 01:30:00 archivo 56), decisión que determinó el cierre de la etapa probatoria conforme al art. 373-4 del CGP, sin que ninguna de las partes se opusiera, pues alegaron y esperaron la sentencia. </w:t>
      </w:r>
    </w:p>
    <w:p w14:paraId="72D3BE91" w14:textId="77777777" w:rsidR="007A49AE" w:rsidRDefault="007A49AE" w:rsidP="00FB2EE1">
      <w:pPr>
        <w:pStyle w:val="Default"/>
        <w:jc w:val="both"/>
        <w:rPr>
          <w:rFonts w:ascii="Times New Roman" w:hAnsi="Times New Roman" w:cs="Times New Roman"/>
          <w:color w:val="auto"/>
          <w:sz w:val="28"/>
          <w:szCs w:val="28"/>
        </w:rPr>
      </w:pPr>
    </w:p>
    <w:p w14:paraId="0726F64B" w14:textId="40E02AB8" w:rsidR="00A40405" w:rsidRDefault="00A40405" w:rsidP="00FB2EE1">
      <w:pPr>
        <w:pStyle w:val="Default"/>
        <w:jc w:val="both"/>
        <w:rPr>
          <w:color w:val="auto"/>
          <w:sz w:val="28"/>
          <w:szCs w:val="28"/>
        </w:rPr>
      </w:pPr>
      <w:r>
        <w:rPr>
          <w:rFonts w:ascii="Times New Roman" w:hAnsi="Times New Roman" w:cs="Times New Roman"/>
          <w:color w:val="auto"/>
          <w:sz w:val="28"/>
          <w:szCs w:val="28"/>
        </w:rPr>
        <w:t>Véase, pues, que la parte demandante sustentó su solicitud evocando la falta de diligencia del juzgado, por conminar al registro nacional de médicos para obtener esa información, sin percatarse que tampoco ella hizo esfuerzo alguno para conseguirla, ni manifestar su inconformidad en el cierre de la etapa probatoria. Aparte de que en la petición en segunda instancia omitió la formalidad relativa a la dirección de ubicación de los testigos (</w:t>
      </w:r>
      <w:proofErr w:type="spellStart"/>
      <w:r>
        <w:rPr>
          <w:rFonts w:ascii="Times New Roman" w:hAnsi="Times New Roman" w:cs="Times New Roman"/>
          <w:color w:val="auto"/>
          <w:sz w:val="28"/>
          <w:szCs w:val="28"/>
        </w:rPr>
        <w:t>pdf</w:t>
      </w:r>
      <w:proofErr w:type="spellEnd"/>
      <w:r>
        <w:rPr>
          <w:rFonts w:ascii="Times New Roman" w:hAnsi="Times New Roman" w:cs="Times New Roman"/>
          <w:color w:val="auto"/>
          <w:sz w:val="28"/>
          <w:szCs w:val="28"/>
        </w:rPr>
        <w:t xml:space="preserve"> 06 del </w:t>
      </w:r>
      <w:proofErr w:type="spellStart"/>
      <w:r>
        <w:rPr>
          <w:rFonts w:ascii="Times New Roman" w:hAnsi="Times New Roman" w:cs="Times New Roman"/>
          <w:color w:val="auto"/>
          <w:sz w:val="28"/>
          <w:szCs w:val="28"/>
        </w:rPr>
        <w:t>cuad</w:t>
      </w:r>
      <w:proofErr w:type="spellEnd"/>
      <w:r>
        <w:rPr>
          <w:rFonts w:ascii="Times New Roman" w:hAnsi="Times New Roman" w:cs="Times New Roman"/>
          <w:color w:val="auto"/>
          <w:sz w:val="28"/>
          <w:szCs w:val="28"/>
        </w:rPr>
        <w:t xml:space="preserve">. Tribunal). </w:t>
      </w:r>
    </w:p>
    <w:p w14:paraId="57E0983F" w14:textId="77777777" w:rsidR="007A49AE" w:rsidRDefault="007A49AE" w:rsidP="00FB2EE1">
      <w:pPr>
        <w:pStyle w:val="Default"/>
        <w:jc w:val="both"/>
        <w:rPr>
          <w:rFonts w:ascii="Times New Roman" w:hAnsi="Times New Roman" w:cs="Times New Roman"/>
          <w:color w:val="auto"/>
          <w:sz w:val="28"/>
          <w:szCs w:val="28"/>
        </w:rPr>
      </w:pPr>
    </w:p>
    <w:p w14:paraId="7CC344AE" w14:textId="4042A5D4" w:rsidR="00A40405" w:rsidRDefault="00A40405" w:rsidP="00FB2EE1">
      <w:pPr>
        <w:pStyle w:val="Default"/>
        <w:jc w:val="both"/>
        <w:rPr>
          <w:color w:val="auto"/>
          <w:sz w:val="28"/>
          <w:szCs w:val="28"/>
        </w:rPr>
      </w:pPr>
      <w:r>
        <w:rPr>
          <w:rFonts w:ascii="Times New Roman" w:hAnsi="Times New Roman" w:cs="Times New Roman"/>
          <w:color w:val="auto"/>
          <w:sz w:val="28"/>
          <w:szCs w:val="28"/>
        </w:rPr>
        <w:t>Así, se incumple supuesto del numeral 2º del citado art. 327 del CGP, que prevé pruebas en segunda instancia cuando “</w:t>
      </w:r>
      <w:r>
        <w:rPr>
          <w:rFonts w:ascii="Times New Roman" w:hAnsi="Times New Roman" w:cs="Times New Roman"/>
          <w:i/>
          <w:iCs/>
          <w:color w:val="auto"/>
          <w:sz w:val="28"/>
          <w:szCs w:val="28"/>
        </w:rPr>
        <w:t>decretadas en primera instancia, se dejaron de practicar sin culpa de la parte que las pidió</w:t>
      </w:r>
      <w:r>
        <w:rPr>
          <w:rFonts w:ascii="Times New Roman" w:hAnsi="Times New Roman" w:cs="Times New Roman"/>
          <w:color w:val="auto"/>
          <w:sz w:val="28"/>
          <w:szCs w:val="28"/>
        </w:rPr>
        <w:t>”, porque viene de verse, la prueba se dejó de evacuar sin que la parte demandante prestara su colaboración para esos efectos, cual viene de explicarse (</w:t>
      </w:r>
      <w:proofErr w:type="spellStart"/>
      <w:r>
        <w:rPr>
          <w:rFonts w:ascii="Times New Roman" w:hAnsi="Times New Roman" w:cs="Times New Roman"/>
          <w:color w:val="auto"/>
          <w:sz w:val="28"/>
          <w:szCs w:val="28"/>
        </w:rPr>
        <w:t>nums</w:t>
      </w:r>
      <w:proofErr w:type="spellEnd"/>
      <w:r>
        <w:rPr>
          <w:rFonts w:ascii="Times New Roman" w:hAnsi="Times New Roman" w:cs="Times New Roman"/>
          <w:color w:val="auto"/>
          <w:sz w:val="28"/>
          <w:szCs w:val="28"/>
        </w:rPr>
        <w:t xml:space="preserve">. 8 y 11 del art. 78 del CGP). </w:t>
      </w:r>
    </w:p>
    <w:p w14:paraId="798D8293" w14:textId="77777777" w:rsidR="007A49AE" w:rsidRDefault="007A49AE" w:rsidP="00FB2EE1">
      <w:pPr>
        <w:pStyle w:val="Default"/>
        <w:jc w:val="both"/>
        <w:rPr>
          <w:rFonts w:ascii="Times New Roman" w:hAnsi="Times New Roman" w:cs="Times New Roman"/>
          <w:color w:val="auto"/>
          <w:sz w:val="28"/>
          <w:szCs w:val="28"/>
        </w:rPr>
      </w:pPr>
    </w:p>
    <w:p w14:paraId="6A2EB235" w14:textId="5E3D87BF" w:rsidR="00A40405" w:rsidRDefault="00A40405" w:rsidP="00FB2EE1">
      <w:pPr>
        <w:pStyle w:val="Default"/>
        <w:jc w:val="both"/>
        <w:rPr>
          <w:color w:val="auto"/>
          <w:sz w:val="28"/>
          <w:szCs w:val="28"/>
        </w:rPr>
      </w:pPr>
      <w:r>
        <w:rPr>
          <w:rFonts w:ascii="Times New Roman" w:hAnsi="Times New Roman" w:cs="Times New Roman"/>
          <w:color w:val="auto"/>
          <w:sz w:val="28"/>
          <w:szCs w:val="28"/>
        </w:rPr>
        <w:t xml:space="preserve">Ejecutoriada esta providencia, ingrese inmediatamente el expediente al despacho para continuar su estudio en Sala de Decisión. </w:t>
      </w:r>
    </w:p>
    <w:p w14:paraId="0FC916D2" w14:textId="77777777" w:rsidR="007A49AE" w:rsidRDefault="007A49AE" w:rsidP="00FB2EE1">
      <w:pPr>
        <w:pStyle w:val="Default"/>
        <w:jc w:val="both"/>
        <w:rPr>
          <w:rFonts w:ascii="Times New Roman" w:hAnsi="Times New Roman" w:cs="Times New Roman"/>
          <w:b/>
          <w:bCs/>
          <w:color w:val="auto"/>
          <w:sz w:val="28"/>
          <w:szCs w:val="28"/>
        </w:rPr>
      </w:pPr>
    </w:p>
    <w:p w14:paraId="1C7783C8" w14:textId="44D73996" w:rsidR="00A40405" w:rsidRDefault="00A40405" w:rsidP="00FB2EE1">
      <w:pPr>
        <w:pStyle w:val="Default"/>
        <w:jc w:val="both"/>
        <w:rPr>
          <w:color w:val="auto"/>
          <w:sz w:val="28"/>
          <w:szCs w:val="28"/>
        </w:rPr>
      </w:pPr>
      <w:r>
        <w:rPr>
          <w:rFonts w:ascii="Times New Roman" w:hAnsi="Times New Roman" w:cs="Times New Roman"/>
          <w:b/>
          <w:bCs/>
          <w:color w:val="auto"/>
          <w:sz w:val="28"/>
          <w:szCs w:val="28"/>
        </w:rPr>
        <w:t xml:space="preserve">Notifíquese y cúmplase. </w:t>
      </w:r>
    </w:p>
    <w:p w14:paraId="4F7E15EE" w14:textId="77777777" w:rsidR="007A49AE" w:rsidRDefault="007A49AE" w:rsidP="00FB2EE1">
      <w:pPr>
        <w:pStyle w:val="Default"/>
        <w:jc w:val="both"/>
        <w:rPr>
          <w:rFonts w:ascii="Times New Roman" w:hAnsi="Times New Roman" w:cs="Times New Roman"/>
          <w:b/>
          <w:bCs/>
          <w:color w:val="auto"/>
          <w:sz w:val="27"/>
          <w:szCs w:val="27"/>
        </w:rPr>
      </w:pPr>
    </w:p>
    <w:p w14:paraId="3007520B" w14:textId="307D3C46" w:rsidR="00A40405" w:rsidRDefault="00A40405" w:rsidP="00FB2EE1">
      <w:pPr>
        <w:pStyle w:val="Default"/>
        <w:jc w:val="both"/>
        <w:rPr>
          <w:color w:val="auto"/>
          <w:sz w:val="27"/>
          <w:szCs w:val="27"/>
        </w:rPr>
      </w:pPr>
      <w:r>
        <w:rPr>
          <w:rFonts w:ascii="Times New Roman" w:hAnsi="Times New Roman" w:cs="Times New Roman"/>
          <w:b/>
          <w:bCs/>
          <w:color w:val="auto"/>
          <w:sz w:val="27"/>
          <w:szCs w:val="27"/>
        </w:rPr>
        <w:t xml:space="preserve">JOSE ALFONSO ISAZA DAVILA </w:t>
      </w:r>
    </w:p>
    <w:p w14:paraId="7ABDEC31" w14:textId="23E3474A" w:rsidR="00B9243D" w:rsidRDefault="00A40405" w:rsidP="00FB2EE1">
      <w:pPr>
        <w:jc w:val="both"/>
      </w:pPr>
      <w:r>
        <w:rPr>
          <w:rFonts w:ascii="Times New Roman" w:hAnsi="Times New Roman" w:cs="Times New Roman"/>
          <w:sz w:val="27"/>
          <w:szCs w:val="27"/>
        </w:rPr>
        <w:t>M</w:t>
      </w:r>
      <w:r>
        <w:rPr>
          <w:rFonts w:ascii="Times New Roman" w:hAnsi="Times New Roman" w:cs="Times New Roman"/>
        </w:rPr>
        <w:t xml:space="preserve">AGISTRADO </w:t>
      </w:r>
      <w:r>
        <w:rPr>
          <w:rFonts w:ascii="Times New Roman" w:hAnsi="Times New Roman" w:cs="Times New Roman"/>
          <w:sz w:val="27"/>
          <w:szCs w:val="27"/>
        </w:rPr>
        <w:t>T</w:t>
      </w:r>
      <w:r>
        <w:rPr>
          <w:rFonts w:ascii="Times New Roman" w:hAnsi="Times New Roman" w:cs="Times New Roman"/>
        </w:rPr>
        <w:t xml:space="preserve">RIBUNAL </w:t>
      </w:r>
      <w:r>
        <w:rPr>
          <w:rFonts w:ascii="Times New Roman" w:hAnsi="Times New Roman" w:cs="Times New Roman"/>
          <w:sz w:val="27"/>
          <w:szCs w:val="27"/>
        </w:rPr>
        <w:t>S</w:t>
      </w:r>
      <w:r>
        <w:rPr>
          <w:rFonts w:ascii="Times New Roman" w:hAnsi="Times New Roman" w:cs="Times New Roman"/>
        </w:rPr>
        <w:t>UP</w:t>
      </w:r>
      <w:r>
        <w:rPr>
          <w:rFonts w:ascii="Times New Roman" w:hAnsi="Times New Roman" w:cs="Times New Roman"/>
          <w:sz w:val="27"/>
          <w:szCs w:val="27"/>
        </w:rPr>
        <w:t xml:space="preserve">. </w:t>
      </w:r>
      <w:r>
        <w:rPr>
          <w:rFonts w:ascii="Times New Roman" w:hAnsi="Times New Roman" w:cs="Times New Roman"/>
        </w:rPr>
        <w:t xml:space="preserve">DE </w:t>
      </w:r>
      <w:r>
        <w:rPr>
          <w:rFonts w:ascii="Times New Roman" w:hAnsi="Times New Roman" w:cs="Times New Roman"/>
          <w:sz w:val="27"/>
          <w:szCs w:val="27"/>
        </w:rPr>
        <w:t>B</w:t>
      </w:r>
      <w:r>
        <w:rPr>
          <w:rFonts w:ascii="Times New Roman" w:hAnsi="Times New Roman" w:cs="Times New Roman"/>
        </w:rPr>
        <w:t>OGOTÁ</w:t>
      </w:r>
      <w:r>
        <w:rPr>
          <w:rFonts w:ascii="Times New Roman" w:hAnsi="Times New Roman" w:cs="Times New Roman"/>
          <w:sz w:val="27"/>
          <w:szCs w:val="27"/>
        </w:rPr>
        <w:t>, S</w:t>
      </w:r>
      <w:r>
        <w:rPr>
          <w:rFonts w:ascii="Times New Roman" w:hAnsi="Times New Roman" w:cs="Times New Roman"/>
        </w:rPr>
        <w:t xml:space="preserve">ALA </w:t>
      </w:r>
      <w:r>
        <w:rPr>
          <w:rFonts w:ascii="Times New Roman" w:hAnsi="Times New Roman" w:cs="Times New Roman"/>
          <w:sz w:val="27"/>
          <w:szCs w:val="27"/>
        </w:rPr>
        <w:t>C</w:t>
      </w:r>
      <w:r>
        <w:rPr>
          <w:rFonts w:ascii="Times New Roman" w:hAnsi="Times New Roman" w:cs="Times New Roman"/>
        </w:rPr>
        <w:t>IVIL</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Monotype Corsiva">
    <w:altName w:val="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05"/>
    <w:rsid w:val="00737460"/>
    <w:rsid w:val="007A49AE"/>
    <w:rsid w:val="00A40405"/>
    <w:rsid w:val="00B9243D"/>
    <w:rsid w:val="00DA03DC"/>
    <w:rsid w:val="00FB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5531"/>
  <w15:chartTrackingRefBased/>
  <w15:docId w15:val="{C1B61FF9-059F-437F-8147-DD72E49D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40405"/>
    <w:pPr>
      <w:autoSpaceDE w:val="0"/>
      <w:autoSpaceDN w:val="0"/>
      <w:adjustRightInd w:val="0"/>
      <w:spacing w:after="0" w:line="240" w:lineRule="auto"/>
    </w:pPr>
    <w:rPr>
      <w:rFonts w:ascii="Monotype Corsiva" w:hAnsi="Monotype Corsiva" w:cs="Monotype Corsiva"/>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3472</Characters>
  <Application>Microsoft Office Word</Application>
  <DocSecurity>0</DocSecurity>
  <Lines>28</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2024-03-04T21:15:00Z</dcterms:created>
  <dcterms:modified xsi:type="dcterms:W3CDTF">2024-03-04T21:17:00Z</dcterms:modified>
</cp:coreProperties>
</file>