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AF9A" w14:textId="7E503E20" w:rsidR="00A21806" w:rsidRPr="009053A2" w:rsidRDefault="00A21806" w:rsidP="009053A2">
      <w:pPr>
        <w:tabs>
          <w:tab w:val="left" w:pos="3686"/>
        </w:tabs>
        <w:spacing w:line="276" w:lineRule="auto"/>
        <w:jc w:val="center"/>
        <w:rPr>
          <w:rFonts w:cstheme="minorHAnsi"/>
          <w:b/>
          <w:bCs/>
          <w:color w:val="000000" w:themeColor="text1"/>
          <w:sz w:val="24"/>
          <w:szCs w:val="24"/>
          <w:u w:val="single"/>
          <w:lang w:val="es-ES_tradnl"/>
        </w:rPr>
      </w:pPr>
      <w:bookmarkStart w:id="0" w:name="_Hlk57989954"/>
      <w:r w:rsidRPr="009053A2">
        <w:rPr>
          <w:rFonts w:cstheme="minorHAnsi"/>
          <w:b/>
          <w:bCs/>
          <w:color w:val="000000" w:themeColor="text1"/>
          <w:sz w:val="24"/>
          <w:szCs w:val="24"/>
          <w:u w:val="single"/>
          <w:lang w:val="es-ES_tradnl"/>
        </w:rPr>
        <w:t xml:space="preserve">ESTUDIO CASO </w:t>
      </w:r>
      <w:r w:rsidR="009961AC" w:rsidRPr="009053A2">
        <w:rPr>
          <w:rFonts w:cstheme="minorHAnsi"/>
          <w:b/>
          <w:bCs/>
          <w:color w:val="000000" w:themeColor="text1"/>
          <w:sz w:val="24"/>
          <w:szCs w:val="24"/>
          <w:u w:val="single"/>
          <w:lang w:val="es-ES_tradnl"/>
        </w:rPr>
        <w:t>MARÍA NANCY GONZÁLEZ</w:t>
      </w:r>
      <w:r w:rsidRPr="009053A2">
        <w:rPr>
          <w:rFonts w:cstheme="minorHAnsi"/>
          <w:b/>
          <w:bCs/>
          <w:color w:val="000000" w:themeColor="text1"/>
          <w:sz w:val="24"/>
          <w:szCs w:val="24"/>
          <w:u w:val="single"/>
          <w:lang w:val="es-ES_tradnl"/>
        </w:rPr>
        <w:t xml:space="preserve"> VS </w:t>
      </w:r>
      <w:r w:rsidR="009961AC" w:rsidRPr="009053A2">
        <w:rPr>
          <w:rFonts w:cstheme="minorHAnsi"/>
          <w:b/>
          <w:bCs/>
          <w:color w:val="000000" w:themeColor="text1"/>
          <w:sz w:val="24"/>
          <w:szCs w:val="24"/>
          <w:u w:val="single"/>
          <w:lang w:val="es-ES_tradnl"/>
        </w:rPr>
        <w:t>DIANA CAROLINA MORENO ZAMBRANO</w:t>
      </w:r>
      <w:r w:rsidR="000A2044" w:rsidRPr="009053A2">
        <w:rPr>
          <w:rFonts w:cstheme="minorHAnsi"/>
          <w:b/>
          <w:bCs/>
          <w:color w:val="000000" w:themeColor="text1"/>
          <w:sz w:val="24"/>
          <w:szCs w:val="24"/>
          <w:u w:val="single"/>
          <w:lang w:val="es-ES_tradnl"/>
        </w:rPr>
        <w:t xml:space="preserve"> – ASEGURADORA COMPAÑÍA MUNDIAL DE SEGUROS S.A.</w:t>
      </w:r>
    </w:p>
    <w:p w14:paraId="2AFD5697" w14:textId="77777777" w:rsidR="00A21806" w:rsidRPr="009053A2" w:rsidRDefault="00A21806" w:rsidP="009053A2">
      <w:pPr>
        <w:tabs>
          <w:tab w:val="left" w:pos="3686"/>
        </w:tabs>
        <w:spacing w:line="276" w:lineRule="auto"/>
        <w:jc w:val="both"/>
        <w:rPr>
          <w:rFonts w:cstheme="minorHAnsi"/>
          <w:b/>
          <w:bCs/>
          <w:color w:val="000000" w:themeColor="text1"/>
          <w:sz w:val="24"/>
          <w:szCs w:val="24"/>
          <w:u w:val="single"/>
          <w:lang w:val="es-ES_tradnl"/>
        </w:rPr>
      </w:pPr>
    </w:p>
    <w:p w14:paraId="1F578986" w14:textId="125A1B3B" w:rsidR="00A21806" w:rsidRPr="009053A2" w:rsidRDefault="00A21806" w:rsidP="009053A2">
      <w:pPr>
        <w:pStyle w:val="Prrafodelista"/>
        <w:numPr>
          <w:ilvl w:val="0"/>
          <w:numId w:val="1"/>
        </w:numPr>
        <w:tabs>
          <w:tab w:val="left" w:pos="3686"/>
        </w:tabs>
        <w:spacing w:line="276" w:lineRule="auto"/>
        <w:jc w:val="both"/>
        <w:rPr>
          <w:rFonts w:cstheme="minorHAnsi"/>
          <w:b/>
          <w:bCs/>
          <w:color w:val="000000" w:themeColor="text1"/>
          <w:u w:val="single"/>
          <w:lang w:val="es-ES_tradnl"/>
        </w:rPr>
      </w:pPr>
      <w:r w:rsidRPr="009053A2">
        <w:rPr>
          <w:rFonts w:cstheme="minorHAnsi"/>
          <w:b/>
          <w:bCs/>
          <w:color w:val="000000" w:themeColor="text1"/>
          <w:u w:val="single"/>
          <w:lang w:val="es-ES_tradnl"/>
        </w:rPr>
        <w:t xml:space="preserve">HECHOS </w:t>
      </w:r>
    </w:p>
    <w:p w14:paraId="25D36454" w14:textId="77777777" w:rsidR="00D226DD" w:rsidRPr="009053A2" w:rsidRDefault="00D226DD" w:rsidP="009053A2">
      <w:pPr>
        <w:pStyle w:val="Prrafodelista"/>
        <w:tabs>
          <w:tab w:val="left" w:pos="3686"/>
        </w:tabs>
        <w:spacing w:line="276" w:lineRule="auto"/>
        <w:jc w:val="both"/>
        <w:rPr>
          <w:rFonts w:cstheme="minorHAnsi"/>
          <w:b/>
          <w:bCs/>
          <w:color w:val="000000" w:themeColor="text1"/>
          <w:u w:val="single"/>
          <w:lang w:val="es-ES_tradnl"/>
        </w:rPr>
      </w:pPr>
    </w:p>
    <w:p w14:paraId="5C8AF858" w14:textId="10B4C127" w:rsidR="007F1007" w:rsidRPr="009053A2" w:rsidRDefault="008E6E3F" w:rsidP="009053A2">
      <w:pPr>
        <w:pStyle w:val="Default"/>
        <w:spacing w:line="276" w:lineRule="auto"/>
        <w:jc w:val="both"/>
        <w:rPr>
          <w:rFonts w:asciiTheme="minorHAnsi" w:hAnsiTheme="minorHAnsi" w:cstheme="minorHAnsi"/>
          <w:color w:val="000000" w:themeColor="text1"/>
          <w:lang w:val="es-ES_tradnl"/>
        </w:rPr>
      </w:pPr>
      <w:r w:rsidRPr="009053A2">
        <w:rPr>
          <w:rFonts w:asciiTheme="minorHAnsi" w:hAnsiTheme="minorHAnsi" w:cstheme="minorHAnsi"/>
          <w:color w:val="000000" w:themeColor="text1"/>
          <w:lang w:val="es-ES_tradnl"/>
        </w:rPr>
        <w:t xml:space="preserve">Los hechos materia de </w:t>
      </w:r>
      <w:r w:rsidR="00433350" w:rsidRPr="009053A2">
        <w:rPr>
          <w:rFonts w:asciiTheme="minorHAnsi" w:hAnsiTheme="minorHAnsi" w:cstheme="minorHAnsi"/>
          <w:color w:val="000000" w:themeColor="text1"/>
          <w:lang w:val="es-ES_tradnl"/>
        </w:rPr>
        <w:t>investigación</w:t>
      </w:r>
      <w:r w:rsidRPr="009053A2">
        <w:rPr>
          <w:rFonts w:asciiTheme="minorHAnsi" w:hAnsiTheme="minorHAnsi" w:cstheme="minorHAnsi"/>
          <w:color w:val="000000" w:themeColor="text1"/>
          <w:lang w:val="es-ES_tradnl"/>
        </w:rPr>
        <w:t xml:space="preserve"> </w:t>
      </w:r>
      <w:r w:rsidR="009961AC" w:rsidRPr="009053A2">
        <w:rPr>
          <w:rFonts w:asciiTheme="minorHAnsi" w:hAnsiTheme="minorHAnsi" w:cstheme="minorHAnsi"/>
          <w:color w:val="000000" w:themeColor="text1"/>
          <w:lang w:val="es-ES_tradnl"/>
        </w:rPr>
        <w:t xml:space="preserve">tuvieron ocurrencia el 5 de mayo de 2015, a eso de las 18:30 horas, en el trayecto vial Santander de Quilichao vía Florida, Kilómetro 78, más 350 metros, cuando el vehículo automotor de placas CNN – 286, piloteado por Diana Carolina Moreno Zambrano, colisionó con la motocicleta de placas PBD-15C, conducida por la señora María Nancy González, donde se determinó como causa del siniestro, “invasión de carril” y del cual resultó lesionada la última prenombrada, como resultado de dicho accidente, se le estableció una incapacidad médico legal definitiva de 140 días y secuelas médico legales: pérdida funcional de miembro inferior izquierdo de carácter permanente, perturbación funcional de órgano de la locomoción de carácter permanente, deformidad </w:t>
      </w:r>
      <w:r w:rsidR="00FD7C69" w:rsidRPr="009053A2">
        <w:rPr>
          <w:rFonts w:asciiTheme="minorHAnsi" w:hAnsiTheme="minorHAnsi" w:cstheme="minorHAnsi"/>
          <w:color w:val="000000" w:themeColor="text1"/>
          <w:lang w:val="es-ES_tradnl"/>
        </w:rPr>
        <w:t>física</w:t>
      </w:r>
      <w:r w:rsidR="009961AC" w:rsidRPr="009053A2">
        <w:rPr>
          <w:rFonts w:asciiTheme="minorHAnsi" w:hAnsiTheme="minorHAnsi" w:cstheme="minorHAnsi"/>
          <w:color w:val="000000" w:themeColor="text1"/>
          <w:lang w:val="es-ES_tradnl"/>
        </w:rPr>
        <w:t xml:space="preserve"> que afecta el cuerpo de carácter permanente, p</w:t>
      </w:r>
      <w:r w:rsidR="00FD7C69" w:rsidRPr="009053A2">
        <w:rPr>
          <w:rFonts w:asciiTheme="minorHAnsi" w:hAnsiTheme="minorHAnsi" w:cstheme="minorHAnsi"/>
          <w:color w:val="000000" w:themeColor="text1"/>
          <w:lang w:val="es-ES_tradnl"/>
        </w:rPr>
        <w:t>érdida anatómica de miembro inferior izquierdo de carácter permanente, perturbación funcional de miembro superior izquierdo de carácter por definir.</w:t>
      </w:r>
    </w:p>
    <w:p w14:paraId="3CB1944C" w14:textId="0392EA73" w:rsidR="00FD7C69" w:rsidRPr="009053A2" w:rsidRDefault="00FD7C69" w:rsidP="009053A2">
      <w:pPr>
        <w:pStyle w:val="Default"/>
        <w:spacing w:line="276" w:lineRule="auto"/>
        <w:jc w:val="both"/>
        <w:rPr>
          <w:rFonts w:asciiTheme="minorHAnsi" w:hAnsiTheme="minorHAnsi" w:cstheme="minorHAnsi"/>
          <w:color w:val="000000" w:themeColor="text1"/>
          <w:lang w:val="es-ES_tradnl"/>
        </w:rPr>
      </w:pPr>
    </w:p>
    <w:p w14:paraId="3638F227" w14:textId="1DC3946C" w:rsidR="00FD7C69" w:rsidRPr="009053A2" w:rsidRDefault="00FD7C69" w:rsidP="009053A2">
      <w:pPr>
        <w:pStyle w:val="Default"/>
        <w:spacing w:line="276" w:lineRule="auto"/>
        <w:jc w:val="both"/>
        <w:rPr>
          <w:rFonts w:asciiTheme="minorHAnsi" w:hAnsiTheme="minorHAnsi" w:cstheme="minorHAnsi"/>
          <w:color w:val="000000" w:themeColor="text1"/>
          <w:lang w:val="es-ES_tradnl"/>
        </w:rPr>
      </w:pPr>
      <w:r w:rsidRPr="009053A2">
        <w:rPr>
          <w:rFonts w:asciiTheme="minorHAnsi" w:hAnsiTheme="minorHAnsi" w:cstheme="minorHAnsi"/>
          <w:color w:val="000000" w:themeColor="text1"/>
          <w:lang w:val="es-ES_tradnl"/>
        </w:rPr>
        <w:t xml:space="preserve">Posteriormente se determinó, a favor de la lesionada, una pérdida de capacidad laboral por el </w:t>
      </w:r>
      <w:r w:rsidR="000D70C6" w:rsidRPr="009053A2">
        <w:rPr>
          <w:rFonts w:asciiTheme="minorHAnsi" w:hAnsiTheme="minorHAnsi" w:cstheme="minorHAnsi"/>
          <w:color w:val="000000" w:themeColor="text1"/>
          <w:lang w:val="es-ES_tradnl"/>
        </w:rPr>
        <w:t>4</w:t>
      </w:r>
      <w:r w:rsidRPr="009053A2">
        <w:rPr>
          <w:rFonts w:asciiTheme="minorHAnsi" w:hAnsiTheme="minorHAnsi" w:cstheme="minorHAnsi"/>
          <w:color w:val="000000" w:themeColor="text1"/>
          <w:lang w:val="es-ES_tradnl"/>
        </w:rPr>
        <w:t>3,50%, por parte de la Junta Regional de Calificación de Invalidez del Valle del Cauca.</w:t>
      </w:r>
    </w:p>
    <w:p w14:paraId="5D568CE4" w14:textId="5C67FD4A" w:rsidR="00FD7C69" w:rsidRPr="009053A2" w:rsidRDefault="00FD7C69" w:rsidP="009053A2">
      <w:pPr>
        <w:pStyle w:val="Default"/>
        <w:spacing w:line="276" w:lineRule="auto"/>
        <w:jc w:val="both"/>
        <w:rPr>
          <w:rFonts w:asciiTheme="minorHAnsi" w:hAnsiTheme="minorHAnsi" w:cstheme="minorHAnsi"/>
          <w:color w:val="000000" w:themeColor="text1"/>
          <w:lang w:val="es-ES_tradnl"/>
        </w:rPr>
      </w:pPr>
    </w:p>
    <w:p w14:paraId="1C6CE065" w14:textId="77480C65" w:rsidR="00FD7C69" w:rsidRPr="009053A2" w:rsidRDefault="00FD7C69" w:rsidP="009053A2">
      <w:pPr>
        <w:pStyle w:val="Default"/>
        <w:spacing w:line="276" w:lineRule="auto"/>
        <w:jc w:val="both"/>
        <w:rPr>
          <w:rFonts w:asciiTheme="minorHAnsi" w:hAnsiTheme="minorHAnsi" w:cstheme="minorHAnsi"/>
          <w:color w:val="000000" w:themeColor="text1"/>
          <w:lang w:val="es-ES_tradnl"/>
        </w:rPr>
      </w:pPr>
      <w:r w:rsidRPr="009053A2">
        <w:rPr>
          <w:rFonts w:asciiTheme="minorHAnsi" w:hAnsiTheme="minorHAnsi" w:cstheme="minorHAnsi"/>
          <w:color w:val="000000" w:themeColor="text1"/>
          <w:lang w:val="es-ES_tradnl"/>
        </w:rPr>
        <w:t>Por estos hechos se adelantó proceso penal, el cual culminó con sentencia condenatoria de primera instancia, proferida por el Juzgado Primero Penal con Funciones de Conocimiento de Palmira, de fecha 21 de diciembre de 2021.</w:t>
      </w:r>
    </w:p>
    <w:p w14:paraId="11F62BAE" w14:textId="02A7582C" w:rsidR="00137279" w:rsidRPr="009053A2" w:rsidRDefault="00137279" w:rsidP="009053A2">
      <w:pPr>
        <w:pStyle w:val="Default"/>
        <w:spacing w:line="276" w:lineRule="auto"/>
        <w:jc w:val="both"/>
        <w:rPr>
          <w:rFonts w:asciiTheme="minorHAnsi" w:hAnsiTheme="minorHAnsi" w:cstheme="minorHAnsi"/>
          <w:color w:val="000000" w:themeColor="text1"/>
          <w:lang w:val="es-ES_tradnl"/>
        </w:rPr>
      </w:pPr>
    </w:p>
    <w:p w14:paraId="68EE2FAD" w14:textId="77777777" w:rsidR="007F1007" w:rsidRPr="009053A2" w:rsidRDefault="007F1007" w:rsidP="009053A2">
      <w:pPr>
        <w:pStyle w:val="Default"/>
        <w:spacing w:line="276" w:lineRule="auto"/>
        <w:jc w:val="both"/>
        <w:rPr>
          <w:rFonts w:asciiTheme="minorHAnsi" w:hAnsiTheme="minorHAnsi" w:cstheme="minorHAnsi"/>
          <w:color w:val="000000" w:themeColor="text1"/>
          <w:lang w:val="es-ES_tradnl"/>
        </w:rPr>
      </w:pPr>
    </w:p>
    <w:p w14:paraId="0BC67498" w14:textId="352A33B3" w:rsidR="00A21806" w:rsidRPr="009053A2" w:rsidRDefault="00A21806" w:rsidP="009053A2">
      <w:pPr>
        <w:pStyle w:val="Prrafodelista"/>
        <w:numPr>
          <w:ilvl w:val="0"/>
          <w:numId w:val="1"/>
        </w:numPr>
        <w:tabs>
          <w:tab w:val="left" w:pos="3686"/>
        </w:tabs>
        <w:spacing w:line="276" w:lineRule="auto"/>
        <w:jc w:val="both"/>
        <w:rPr>
          <w:rFonts w:cstheme="minorHAnsi"/>
          <w:b/>
          <w:bCs/>
          <w:color w:val="000000" w:themeColor="text1"/>
          <w:u w:val="single"/>
          <w:lang w:val="es-ES_tradnl"/>
        </w:rPr>
      </w:pPr>
      <w:r w:rsidRPr="009053A2">
        <w:rPr>
          <w:rFonts w:cstheme="minorHAnsi"/>
          <w:b/>
          <w:bCs/>
          <w:color w:val="000000" w:themeColor="text1"/>
          <w:u w:val="single"/>
          <w:lang w:val="es-ES_tradnl"/>
        </w:rPr>
        <w:t xml:space="preserve">PRETENSIONES </w:t>
      </w:r>
    </w:p>
    <w:p w14:paraId="2F0E2F39" w14:textId="77777777" w:rsidR="00301F4C" w:rsidRPr="009053A2" w:rsidRDefault="00301F4C" w:rsidP="009053A2">
      <w:pPr>
        <w:pStyle w:val="Prrafodelista"/>
        <w:tabs>
          <w:tab w:val="left" w:pos="3686"/>
        </w:tabs>
        <w:spacing w:line="276" w:lineRule="auto"/>
        <w:jc w:val="both"/>
        <w:rPr>
          <w:rFonts w:cstheme="minorHAnsi"/>
          <w:b/>
          <w:bCs/>
          <w:color w:val="000000" w:themeColor="text1"/>
          <w:u w:val="single"/>
          <w:lang w:val="es-ES_tradnl"/>
        </w:rPr>
      </w:pPr>
    </w:p>
    <w:p w14:paraId="088510E2" w14:textId="1F12E4AA" w:rsidR="00A21806" w:rsidRPr="009053A2" w:rsidRDefault="00FD7C69" w:rsidP="009053A2">
      <w:pPr>
        <w:tabs>
          <w:tab w:val="left" w:pos="3686"/>
        </w:tabs>
        <w:spacing w:line="276" w:lineRule="auto"/>
        <w:jc w:val="both"/>
        <w:rPr>
          <w:rFonts w:cstheme="minorHAnsi"/>
          <w:color w:val="000000" w:themeColor="text1"/>
          <w:sz w:val="24"/>
          <w:szCs w:val="24"/>
          <w:lang w:val="es-ES_tradnl"/>
        </w:rPr>
      </w:pPr>
      <w:r w:rsidRPr="009053A2">
        <w:rPr>
          <w:rFonts w:cstheme="minorHAnsi"/>
          <w:color w:val="000000" w:themeColor="text1"/>
          <w:sz w:val="24"/>
          <w:szCs w:val="24"/>
          <w:lang w:val="es-ES_tradnl"/>
        </w:rPr>
        <w:t xml:space="preserve">La </w:t>
      </w:r>
      <w:r w:rsidR="00A21806" w:rsidRPr="009053A2">
        <w:rPr>
          <w:rFonts w:cstheme="minorHAnsi"/>
          <w:color w:val="000000" w:themeColor="text1"/>
          <w:sz w:val="24"/>
          <w:szCs w:val="24"/>
          <w:lang w:val="es-ES_tradnl"/>
        </w:rPr>
        <w:t>incidentante solicita como único reclamante el pago de los siguientes perjuicios:</w:t>
      </w:r>
    </w:p>
    <w:p w14:paraId="1BBD663A" w14:textId="7920912D" w:rsidR="00FF7073" w:rsidRPr="009053A2" w:rsidRDefault="00FD7C69" w:rsidP="009053A2">
      <w:pPr>
        <w:pStyle w:val="Prrafodelista"/>
        <w:numPr>
          <w:ilvl w:val="0"/>
          <w:numId w:val="10"/>
        </w:numPr>
        <w:tabs>
          <w:tab w:val="left" w:pos="3686"/>
        </w:tabs>
        <w:spacing w:line="276" w:lineRule="auto"/>
        <w:jc w:val="both"/>
        <w:rPr>
          <w:rFonts w:cstheme="minorHAnsi"/>
          <w:color w:val="000000" w:themeColor="text1"/>
          <w:lang w:val="es-ES_tradnl"/>
        </w:rPr>
      </w:pPr>
      <w:r w:rsidRPr="009053A2">
        <w:rPr>
          <w:rFonts w:cstheme="minorHAnsi"/>
          <w:color w:val="000000" w:themeColor="text1"/>
          <w:lang w:val="es-ES_tradnl"/>
        </w:rPr>
        <w:t>La suma de $82.325.534 como pretensión total por los perjuicios materiales, discriminados de la siguiente manera</w:t>
      </w:r>
      <w:r w:rsidR="00FF7073" w:rsidRPr="009053A2">
        <w:rPr>
          <w:rFonts w:cstheme="minorHAnsi"/>
          <w:color w:val="000000" w:themeColor="text1"/>
          <w:lang w:val="es-ES_tradnl"/>
        </w:rPr>
        <w:t>:</w:t>
      </w:r>
    </w:p>
    <w:p w14:paraId="08440990" w14:textId="00E7B5C0" w:rsidR="00FD7C69" w:rsidRPr="009053A2" w:rsidRDefault="00FD7C69" w:rsidP="009053A2">
      <w:pPr>
        <w:pStyle w:val="Prrafodelista"/>
        <w:numPr>
          <w:ilvl w:val="1"/>
          <w:numId w:val="10"/>
        </w:numPr>
        <w:tabs>
          <w:tab w:val="left" w:pos="3686"/>
        </w:tabs>
        <w:spacing w:line="276" w:lineRule="auto"/>
        <w:jc w:val="both"/>
        <w:rPr>
          <w:rFonts w:cstheme="minorHAnsi"/>
          <w:color w:val="000000" w:themeColor="text1"/>
          <w:lang w:val="es-ES_tradnl"/>
        </w:rPr>
      </w:pPr>
      <w:r w:rsidRPr="009053A2">
        <w:rPr>
          <w:rFonts w:cstheme="minorHAnsi"/>
          <w:color w:val="000000" w:themeColor="text1"/>
          <w:lang w:val="es-ES_tradnl"/>
        </w:rPr>
        <w:t>Incapacidad: $3.645.796</w:t>
      </w:r>
    </w:p>
    <w:p w14:paraId="543444DD" w14:textId="3DECA358" w:rsidR="00FD7C69" w:rsidRPr="009053A2" w:rsidRDefault="00FD7C69" w:rsidP="009053A2">
      <w:pPr>
        <w:pStyle w:val="Prrafodelista"/>
        <w:numPr>
          <w:ilvl w:val="1"/>
          <w:numId w:val="10"/>
        </w:numPr>
        <w:tabs>
          <w:tab w:val="left" w:pos="3686"/>
        </w:tabs>
        <w:spacing w:line="276" w:lineRule="auto"/>
        <w:jc w:val="both"/>
        <w:rPr>
          <w:rFonts w:cstheme="minorHAnsi"/>
          <w:color w:val="000000" w:themeColor="text1"/>
          <w:lang w:val="es-ES_tradnl"/>
        </w:rPr>
      </w:pPr>
      <w:r w:rsidRPr="009053A2">
        <w:rPr>
          <w:rFonts w:cstheme="minorHAnsi"/>
          <w:color w:val="000000" w:themeColor="text1"/>
          <w:lang w:val="es-ES_tradnl"/>
        </w:rPr>
        <w:t>Lucro cesante pasado: $15.379.661</w:t>
      </w:r>
    </w:p>
    <w:p w14:paraId="3A434082" w14:textId="258BE475" w:rsidR="00FD7C69" w:rsidRPr="009053A2" w:rsidRDefault="00FD7C69" w:rsidP="009053A2">
      <w:pPr>
        <w:pStyle w:val="Prrafodelista"/>
        <w:numPr>
          <w:ilvl w:val="1"/>
          <w:numId w:val="10"/>
        </w:numPr>
        <w:tabs>
          <w:tab w:val="left" w:pos="3686"/>
        </w:tabs>
        <w:spacing w:line="276" w:lineRule="auto"/>
        <w:jc w:val="both"/>
        <w:rPr>
          <w:rFonts w:cstheme="minorHAnsi"/>
          <w:color w:val="000000" w:themeColor="text1"/>
          <w:lang w:val="es-ES_tradnl"/>
        </w:rPr>
      </w:pPr>
      <w:r w:rsidRPr="009053A2">
        <w:rPr>
          <w:rFonts w:cstheme="minorHAnsi"/>
          <w:color w:val="000000" w:themeColor="text1"/>
          <w:lang w:val="es-ES_tradnl"/>
        </w:rPr>
        <w:t>Lucro cesante futuro: $63.300.076</w:t>
      </w:r>
    </w:p>
    <w:p w14:paraId="02C83094" w14:textId="77777777" w:rsidR="00FD7C69" w:rsidRPr="009053A2" w:rsidRDefault="00FD7C69" w:rsidP="009053A2">
      <w:pPr>
        <w:pStyle w:val="Prrafodelista"/>
        <w:tabs>
          <w:tab w:val="left" w:pos="3686"/>
        </w:tabs>
        <w:spacing w:line="276" w:lineRule="auto"/>
        <w:ind w:left="1440"/>
        <w:jc w:val="both"/>
        <w:rPr>
          <w:rFonts w:cstheme="minorHAnsi"/>
          <w:color w:val="000000" w:themeColor="text1"/>
          <w:lang w:val="es-ES_tradnl"/>
        </w:rPr>
      </w:pPr>
    </w:p>
    <w:p w14:paraId="357F8231" w14:textId="3B1F02B6" w:rsidR="00FD7C69" w:rsidRPr="009053A2" w:rsidRDefault="00FD7C69" w:rsidP="009053A2">
      <w:pPr>
        <w:pStyle w:val="Prrafodelista"/>
        <w:numPr>
          <w:ilvl w:val="0"/>
          <w:numId w:val="10"/>
        </w:numPr>
        <w:tabs>
          <w:tab w:val="left" w:pos="3686"/>
        </w:tabs>
        <w:spacing w:line="276" w:lineRule="auto"/>
        <w:jc w:val="both"/>
        <w:rPr>
          <w:rFonts w:cstheme="minorHAnsi"/>
          <w:color w:val="000000" w:themeColor="text1"/>
          <w:lang w:val="es-ES_tradnl"/>
        </w:rPr>
      </w:pPr>
      <w:r w:rsidRPr="009053A2">
        <w:rPr>
          <w:rFonts w:cstheme="minorHAnsi"/>
          <w:color w:val="000000" w:themeColor="text1"/>
          <w:lang w:val="es-ES_tradnl"/>
        </w:rPr>
        <w:lastRenderedPageBreak/>
        <w:t>En cuanto a las pretensiones por perjuicios inmateriales, no establece ningún monto, dejándolo al arbitrio del juez.</w:t>
      </w:r>
    </w:p>
    <w:p w14:paraId="26446AC7" w14:textId="77777777" w:rsidR="00FF7073" w:rsidRPr="009053A2" w:rsidRDefault="00FF7073" w:rsidP="009053A2">
      <w:pPr>
        <w:pStyle w:val="Prrafodelista"/>
        <w:tabs>
          <w:tab w:val="left" w:pos="3686"/>
        </w:tabs>
        <w:spacing w:line="276" w:lineRule="auto"/>
        <w:jc w:val="both"/>
        <w:rPr>
          <w:rFonts w:cstheme="minorHAnsi"/>
          <w:color w:val="000000" w:themeColor="text1"/>
          <w:lang w:val="es-ES_tradnl"/>
        </w:rPr>
      </w:pPr>
    </w:p>
    <w:p w14:paraId="5AA73B95" w14:textId="5C24FDDB" w:rsidR="00FF7073" w:rsidRPr="009053A2" w:rsidRDefault="00FF7073" w:rsidP="009053A2">
      <w:pPr>
        <w:pStyle w:val="Prrafodelista"/>
        <w:numPr>
          <w:ilvl w:val="0"/>
          <w:numId w:val="13"/>
        </w:numPr>
        <w:tabs>
          <w:tab w:val="left" w:pos="3686"/>
        </w:tabs>
        <w:spacing w:line="276" w:lineRule="auto"/>
        <w:jc w:val="both"/>
        <w:rPr>
          <w:rFonts w:cstheme="minorHAnsi"/>
          <w:b/>
          <w:color w:val="000000" w:themeColor="text1"/>
          <w:lang w:val="es-ES_tradnl"/>
        </w:rPr>
      </w:pPr>
      <w:r w:rsidRPr="009053A2">
        <w:rPr>
          <w:rFonts w:cstheme="minorHAnsi"/>
          <w:b/>
          <w:color w:val="000000" w:themeColor="text1"/>
          <w:lang w:val="es-ES_tradnl"/>
        </w:rPr>
        <w:t>Total de las pretensiones: $</w:t>
      </w:r>
      <w:r w:rsidR="00FD7C69" w:rsidRPr="009053A2">
        <w:rPr>
          <w:rFonts w:cstheme="minorHAnsi"/>
          <w:b/>
          <w:color w:val="000000" w:themeColor="text1"/>
          <w:lang w:val="es-ES_tradnl"/>
        </w:rPr>
        <w:t>82.325.534</w:t>
      </w:r>
    </w:p>
    <w:p w14:paraId="00F7875A" w14:textId="77777777" w:rsidR="00A21806" w:rsidRPr="009053A2" w:rsidRDefault="00A21806" w:rsidP="009053A2">
      <w:pPr>
        <w:tabs>
          <w:tab w:val="left" w:pos="3686"/>
        </w:tabs>
        <w:spacing w:line="276" w:lineRule="auto"/>
        <w:jc w:val="both"/>
        <w:rPr>
          <w:rFonts w:cstheme="minorHAnsi"/>
          <w:b/>
          <w:bCs/>
          <w:color w:val="000000" w:themeColor="text1"/>
          <w:sz w:val="24"/>
          <w:szCs w:val="24"/>
          <w:lang w:val="es-ES_tradnl"/>
        </w:rPr>
      </w:pPr>
    </w:p>
    <w:p w14:paraId="13025E68" w14:textId="6816FC89" w:rsidR="00A21806" w:rsidRPr="009053A2" w:rsidRDefault="00A21806" w:rsidP="009053A2">
      <w:pPr>
        <w:pStyle w:val="Prrafodelista"/>
        <w:numPr>
          <w:ilvl w:val="0"/>
          <w:numId w:val="1"/>
        </w:numPr>
        <w:spacing w:line="276" w:lineRule="auto"/>
        <w:jc w:val="both"/>
        <w:rPr>
          <w:rFonts w:eastAsia="Times New Roman" w:cstheme="minorHAnsi"/>
          <w:b/>
          <w:bCs/>
          <w:color w:val="000000" w:themeColor="text1"/>
          <w:u w:val="single"/>
          <w:lang w:val="es-ES_tradnl" w:eastAsia="es-ES_tradnl"/>
        </w:rPr>
      </w:pPr>
      <w:r w:rsidRPr="009053A2">
        <w:rPr>
          <w:rFonts w:eastAsia="Times New Roman" w:cstheme="minorHAnsi"/>
          <w:b/>
          <w:bCs/>
          <w:color w:val="000000" w:themeColor="text1"/>
          <w:u w:val="single"/>
          <w:lang w:val="es-ES_tradnl" w:eastAsia="es-ES_tradnl"/>
        </w:rPr>
        <w:t>DAÑO</w:t>
      </w:r>
    </w:p>
    <w:p w14:paraId="2F390416" w14:textId="77777777" w:rsidR="00FD7C69" w:rsidRPr="009053A2" w:rsidRDefault="00FD7C69" w:rsidP="009053A2">
      <w:pPr>
        <w:pStyle w:val="Default"/>
        <w:spacing w:line="276" w:lineRule="auto"/>
        <w:jc w:val="both"/>
        <w:rPr>
          <w:rFonts w:asciiTheme="minorHAnsi" w:hAnsiTheme="minorHAnsi" w:cstheme="minorHAnsi"/>
          <w:color w:val="000000" w:themeColor="text1"/>
          <w:lang w:val="es-ES_tradnl"/>
        </w:rPr>
      </w:pPr>
    </w:p>
    <w:p w14:paraId="302C6321" w14:textId="1EAF0431" w:rsidR="00FD7C69" w:rsidRPr="009053A2" w:rsidRDefault="00A21806" w:rsidP="009053A2">
      <w:pPr>
        <w:pStyle w:val="Default"/>
        <w:spacing w:line="276" w:lineRule="auto"/>
        <w:jc w:val="both"/>
        <w:rPr>
          <w:rFonts w:asciiTheme="minorHAnsi" w:hAnsiTheme="minorHAnsi" w:cstheme="minorHAnsi"/>
          <w:color w:val="000000" w:themeColor="text1"/>
          <w:lang w:val="es-ES_tradnl"/>
        </w:rPr>
      </w:pPr>
      <w:r w:rsidRPr="009053A2">
        <w:rPr>
          <w:rFonts w:asciiTheme="minorHAnsi" w:hAnsiTheme="minorHAnsi" w:cstheme="minorHAnsi"/>
          <w:color w:val="000000" w:themeColor="text1"/>
          <w:lang w:val="es-ES_tradnl"/>
        </w:rPr>
        <w:t>En el presente asunto, la</w:t>
      </w:r>
      <w:r w:rsidR="00FF7073" w:rsidRPr="009053A2">
        <w:rPr>
          <w:rFonts w:asciiTheme="minorHAnsi" w:hAnsiTheme="minorHAnsi" w:cstheme="minorHAnsi"/>
          <w:color w:val="000000" w:themeColor="text1"/>
          <w:lang w:val="es-ES_tradnl"/>
        </w:rPr>
        <w:t>s</w:t>
      </w:r>
      <w:r w:rsidRPr="009053A2">
        <w:rPr>
          <w:rFonts w:asciiTheme="minorHAnsi" w:hAnsiTheme="minorHAnsi" w:cstheme="minorHAnsi"/>
          <w:color w:val="000000" w:themeColor="text1"/>
          <w:lang w:val="es-ES_tradnl"/>
        </w:rPr>
        <w:t xml:space="preserve"> víctima</w:t>
      </w:r>
      <w:r w:rsidR="00FF7073" w:rsidRPr="009053A2">
        <w:rPr>
          <w:rFonts w:asciiTheme="minorHAnsi" w:hAnsiTheme="minorHAnsi" w:cstheme="minorHAnsi"/>
          <w:color w:val="000000" w:themeColor="text1"/>
          <w:lang w:val="es-ES_tradnl"/>
        </w:rPr>
        <w:t>s</w:t>
      </w:r>
      <w:r w:rsidRPr="009053A2">
        <w:rPr>
          <w:rFonts w:asciiTheme="minorHAnsi" w:hAnsiTheme="minorHAnsi" w:cstheme="minorHAnsi"/>
          <w:color w:val="000000" w:themeColor="text1"/>
          <w:lang w:val="es-ES_tradnl"/>
        </w:rPr>
        <w:t xml:space="preserve">, </w:t>
      </w:r>
      <w:r w:rsidR="007F1007" w:rsidRPr="009053A2">
        <w:rPr>
          <w:rFonts w:asciiTheme="minorHAnsi" w:hAnsiTheme="minorHAnsi" w:cstheme="minorHAnsi"/>
          <w:color w:val="000000" w:themeColor="text1"/>
          <w:lang w:val="es-ES_tradnl"/>
        </w:rPr>
        <w:t>aporta</w:t>
      </w:r>
      <w:r w:rsidR="00FF7073" w:rsidRPr="009053A2">
        <w:rPr>
          <w:rFonts w:asciiTheme="minorHAnsi" w:hAnsiTheme="minorHAnsi" w:cstheme="minorHAnsi"/>
          <w:color w:val="000000" w:themeColor="text1"/>
          <w:lang w:val="es-ES_tradnl"/>
        </w:rPr>
        <w:t>n</w:t>
      </w:r>
      <w:r w:rsidR="007F1007" w:rsidRPr="009053A2">
        <w:rPr>
          <w:rFonts w:asciiTheme="minorHAnsi" w:hAnsiTheme="minorHAnsi" w:cstheme="minorHAnsi"/>
          <w:color w:val="000000" w:themeColor="text1"/>
          <w:lang w:val="es-ES_tradnl"/>
        </w:rPr>
        <w:t xml:space="preserve"> reconocimiento médico legal, proferido por el Instituto Colombiano de Medicina Legal y Ciencias Forenses</w:t>
      </w:r>
      <w:r w:rsidR="00855AA6" w:rsidRPr="009053A2">
        <w:rPr>
          <w:rFonts w:asciiTheme="minorHAnsi" w:hAnsiTheme="minorHAnsi" w:cstheme="minorHAnsi"/>
          <w:color w:val="000000" w:themeColor="text1"/>
          <w:lang w:val="es-ES_tradnl"/>
        </w:rPr>
        <w:t xml:space="preserve">, en </w:t>
      </w:r>
      <w:r w:rsidR="00FF7073" w:rsidRPr="009053A2">
        <w:rPr>
          <w:rFonts w:asciiTheme="minorHAnsi" w:hAnsiTheme="minorHAnsi" w:cstheme="minorHAnsi"/>
          <w:color w:val="000000" w:themeColor="text1"/>
          <w:lang w:val="es-ES_tradnl"/>
        </w:rPr>
        <w:t>los</w:t>
      </w:r>
      <w:r w:rsidR="00855AA6" w:rsidRPr="009053A2">
        <w:rPr>
          <w:rFonts w:asciiTheme="minorHAnsi" w:hAnsiTheme="minorHAnsi" w:cstheme="minorHAnsi"/>
          <w:color w:val="000000" w:themeColor="text1"/>
          <w:lang w:val="es-ES_tradnl"/>
        </w:rPr>
        <w:t xml:space="preserve"> que se concluye: </w:t>
      </w:r>
      <w:r w:rsidR="00FD7C69" w:rsidRPr="009053A2">
        <w:rPr>
          <w:rFonts w:asciiTheme="minorHAnsi" w:hAnsiTheme="minorHAnsi" w:cstheme="minorHAnsi"/>
          <w:color w:val="000000" w:themeColor="text1"/>
          <w:lang w:val="es-ES_tradnl"/>
        </w:rPr>
        <w:t>incapacidad médico legal definitiva de 140 días y secuelas médico legales</w:t>
      </w:r>
      <w:r w:rsidR="00433350" w:rsidRPr="009053A2">
        <w:rPr>
          <w:rFonts w:asciiTheme="minorHAnsi" w:hAnsiTheme="minorHAnsi" w:cstheme="minorHAnsi"/>
          <w:color w:val="000000" w:themeColor="text1"/>
          <w:lang w:val="es-ES_tradnl"/>
        </w:rPr>
        <w:t>,</w:t>
      </w:r>
      <w:r w:rsidR="00FD7C69" w:rsidRPr="009053A2">
        <w:rPr>
          <w:rFonts w:asciiTheme="minorHAnsi" w:hAnsiTheme="minorHAnsi" w:cstheme="minorHAnsi"/>
          <w:color w:val="000000" w:themeColor="text1"/>
          <w:lang w:val="es-ES_tradnl"/>
        </w:rPr>
        <w:t xml:space="preserve"> pérdida funcional de miembro inferior izquierdo de carácter permanente, perturbación funcional de órgano de la locomoción de carácter permanente, deformidad física que afecta el cuerpo de carácter permanente, pérdida anatómica de miembro inferior izquierdo de carácter permanente, perturbación funcional de miembro superior izquierdo de carácter por definir.</w:t>
      </w:r>
    </w:p>
    <w:p w14:paraId="31E3BBC9" w14:textId="77777777" w:rsidR="00FD7C69" w:rsidRPr="009053A2" w:rsidRDefault="00FD7C69" w:rsidP="009053A2">
      <w:pPr>
        <w:pStyle w:val="Default"/>
        <w:spacing w:line="276" w:lineRule="auto"/>
        <w:jc w:val="both"/>
        <w:rPr>
          <w:rFonts w:asciiTheme="minorHAnsi" w:hAnsiTheme="minorHAnsi" w:cstheme="minorHAnsi"/>
          <w:color w:val="000000" w:themeColor="text1"/>
          <w:lang w:val="es-ES_tradnl"/>
        </w:rPr>
      </w:pPr>
    </w:p>
    <w:p w14:paraId="08A7DCD9" w14:textId="473B5FF2" w:rsidR="00FD7C69" w:rsidRPr="009053A2" w:rsidRDefault="00433350" w:rsidP="009053A2">
      <w:pPr>
        <w:pStyle w:val="Default"/>
        <w:spacing w:line="276" w:lineRule="auto"/>
        <w:jc w:val="both"/>
        <w:rPr>
          <w:rFonts w:asciiTheme="minorHAnsi" w:hAnsiTheme="minorHAnsi" w:cstheme="minorHAnsi"/>
          <w:color w:val="000000" w:themeColor="text1"/>
          <w:lang w:val="es-ES_tradnl"/>
        </w:rPr>
      </w:pPr>
      <w:r w:rsidRPr="009053A2">
        <w:rPr>
          <w:rFonts w:asciiTheme="minorHAnsi" w:hAnsiTheme="minorHAnsi" w:cstheme="minorHAnsi"/>
          <w:color w:val="000000" w:themeColor="text1"/>
          <w:lang w:val="es-ES_tradnl"/>
        </w:rPr>
        <w:t>También</w:t>
      </w:r>
      <w:r w:rsidR="00FD7C69" w:rsidRPr="009053A2">
        <w:rPr>
          <w:rFonts w:asciiTheme="minorHAnsi" w:hAnsiTheme="minorHAnsi" w:cstheme="minorHAnsi"/>
          <w:color w:val="000000" w:themeColor="text1"/>
          <w:lang w:val="es-ES_tradnl"/>
        </w:rPr>
        <w:t xml:space="preserve"> se determinó, a favor de la lesionada, una pérdida de capacidad laboral por el </w:t>
      </w:r>
      <w:r w:rsidR="000D70C6" w:rsidRPr="009053A2">
        <w:rPr>
          <w:rFonts w:asciiTheme="minorHAnsi" w:hAnsiTheme="minorHAnsi" w:cstheme="minorHAnsi"/>
          <w:color w:val="000000" w:themeColor="text1"/>
          <w:lang w:val="es-ES_tradnl"/>
        </w:rPr>
        <w:t>4</w:t>
      </w:r>
      <w:r w:rsidR="00FD7C69" w:rsidRPr="009053A2">
        <w:rPr>
          <w:rFonts w:asciiTheme="minorHAnsi" w:hAnsiTheme="minorHAnsi" w:cstheme="minorHAnsi"/>
          <w:color w:val="000000" w:themeColor="text1"/>
          <w:lang w:val="es-ES_tradnl"/>
        </w:rPr>
        <w:t>3,50%, por parte de la Junta Regional de Calificación de Invalidez del Valle del Cauca</w:t>
      </w:r>
      <w:r w:rsidRPr="009053A2">
        <w:rPr>
          <w:rFonts w:asciiTheme="minorHAnsi" w:hAnsiTheme="minorHAnsi" w:cstheme="minorHAnsi"/>
          <w:color w:val="000000" w:themeColor="text1"/>
          <w:lang w:val="es-ES_tradnl"/>
        </w:rPr>
        <w:t>, el cual fue aportado por el incidentante, en la presente demanda.</w:t>
      </w:r>
    </w:p>
    <w:p w14:paraId="37F1AF57" w14:textId="77777777" w:rsidR="00433350" w:rsidRPr="009053A2" w:rsidRDefault="00433350" w:rsidP="009053A2">
      <w:pPr>
        <w:pStyle w:val="Default"/>
        <w:spacing w:line="276" w:lineRule="auto"/>
        <w:jc w:val="both"/>
        <w:rPr>
          <w:rFonts w:asciiTheme="minorHAnsi" w:hAnsiTheme="minorHAnsi" w:cstheme="minorHAnsi"/>
          <w:b/>
          <w:bCs/>
          <w:color w:val="000000" w:themeColor="text1"/>
          <w:u w:val="single"/>
          <w:lang w:val="es-ES_tradnl"/>
        </w:rPr>
      </w:pPr>
    </w:p>
    <w:p w14:paraId="1619A1CF" w14:textId="3B40971B" w:rsidR="00A21806" w:rsidRPr="009053A2" w:rsidRDefault="00A21806" w:rsidP="009053A2">
      <w:pPr>
        <w:pStyle w:val="Default"/>
        <w:spacing w:line="276" w:lineRule="auto"/>
        <w:jc w:val="both"/>
        <w:rPr>
          <w:rFonts w:asciiTheme="minorHAnsi" w:hAnsiTheme="minorHAnsi" w:cstheme="minorHAnsi"/>
          <w:b/>
          <w:bCs/>
          <w:color w:val="000000" w:themeColor="text1"/>
          <w:u w:val="single"/>
          <w:lang w:val="es-ES_tradnl"/>
        </w:rPr>
      </w:pPr>
      <w:r w:rsidRPr="009053A2">
        <w:rPr>
          <w:rFonts w:asciiTheme="minorHAnsi" w:hAnsiTheme="minorHAnsi" w:cstheme="minorHAnsi"/>
          <w:b/>
          <w:bCs/>
          <w:color w:val="000000" w:themeColor="text1"/>
          <w:u w:val="single"/>
          <w:lang w:val="es-ES_tradnl"/>
        </w:rPr>
        <w:t>ANÁLISIS FRENTE A LA RESPONSABILIDAD</w:t>
      </w:r>
    </w:p>
    <w:p w14:paraId="00067243" w14:textId="77777777" w:rsidR="00D226DD" w:rsidRPr="009053A2" w:rsidRDefault="00D226DD" w:rsidP="009053A2">
      <w:pPr>
        <w:spacing w:line="276" w:lineRule="auto"/>
        <w:rPr>
          <w:rFonts w:cstheme="minorHAnsi"/>
          <w:sz w:val="24"/>
          <w:szCs w:val="24"/>
          <w:lang w:val="es-ES_tradnl"/>
        </w:rPr>
      </w:pPr>
    </w:p>
    <w:p w14:paraId="706146FB" w14:textId="77777777" w:rsidR="00A21806" w:rsidRPr="009053A2" w:rsidRDefault="00A21806" w:rsidP="009053A2">
      <w:pPr>
        <w:spacing w:line="276" w:lineRule="auto"/>
        <w:jc w:val="both"/>
        <w:rPr>
          <w:rFonts w:eastAsia="Arial" w:cstheme="minorHAnsi"/>
          <w:color w:val="000000" w:themeColor="text1"/>
          <w:sz w:val="24"/>
          <w:szCs w:val="24"/>
          <w:lang w:val="es-ES_tradnl" w:eastAsia="es-CO"/>
        </w:rPr>
      </w:pPr>
      <w:r w:rsidRPr="009053A2">
        <w:rPr>
          <w:rFonts w:eastAsia="Arial" w:cstheme="minorHAnsi"/>
          <w:color w:val="000000" w:themeColor="text1"/>
          <w:sz w:val="24"/>
          <w:szCs w:val="24"/>
          <w:lang w:val="es-ES_tradnl"/>
        </w:rPr>
        <w:t>De los hechos descritos y de cada uno de los elementos de probanza aportados, tenemos que la litis que nos convoca es el incidente de reparación integral, el cual está sustentado normativamente en los artículos 102 y subsiguientes del Código de Procedimiento Penal, el cual señala:</w:t>
      </w:r>
    </w:p>
    <w:p w14:paraId="5EED01A5" w14:textId="77777777" w:rsidR="00A21806" w:rsidRPr="009053A2" w:rsidRDefault="00A21806" w:rsidP="009053A2">
      <w:pPr>
        <w:spacing w:line="276" w:lineRule="auto"/>
        <w:jc w:val="both"/>
        <w:rPr>
          <w:rFonts w:eastAsia="Arial" w:cstheme="minorHAnsi"/>
          <w:color w:val="000000" w:themeColor="text1"/>
          <w:sz w:val="24"/>
          <w:szCs w:val="24"/>
          <w:lang w:val="es-ES_tradnl"/>
        </w:rPr>
      </w:pPr>
    </w:p>
    <w:p w14:paraId="4564F786" w14:textId="77777777" w:rsidR="00A21806" w:rsidRPr="009053A2" w:rsidRDefault="00A21806" w:rsidP="009053A2">
      <w:pPr>
        <w:spacing w:line="276" w:lineRule="auto"/>
        <w:ind w:left="720"/>
        <w:jc w:val="both"/>
        <w:rPr>
          <w:rFonts w:eastAsia="Arial" w:cstheme="minorHAnsi"/>
          <w:i/>
          <w:color w:val="000000" w:themeColor="text1"/>
          <w:sz w:val="24"/>
          <w:szCs w:val="24"/>
          <w:lang w:val="es-ES_tradnl"/>
        </w:rPr>
      </w:pPr>
      <w:r w:rsidRPr="009053A2">
        <w:rPr>
          <w:rFonts w:eastAsia="Arial" w:cstheme="minorHAnsi"/>
          <w:i/>
          <w:color w:val="000000" w:themeColor="text1"/>
          <w:sz w:val="24"/>
          <w:szCs w:val="24"/>
          <w:lang w:val="es-ES_tradnl"/>
        </w:rPr>
        <w:t>“</w:t>
      </w:r>
      <w:r w:rsidRPr="009053A2">
        <w:rPr>
          <w:rFonts w:eastAsia="Arial" w:cstheme="minorHAnsi"/>
          <w:b/>
          <w:i/>
          <w:color w:val="000000" w:themeColor="text1"/>
          <w:sz w:val="24"/>
          <w:szCs w:val="24"/>
          <w:lang w:val="es-ES_tradnl"/>
        </w:rPr>
        <w:t>ARTÍCULO 102. PROCEDENCIA Y EJERCICIO DEL INCIDENTE DE REPARACIÓN INTEGRAL.</w:t>
      </w:r>
      <w:r w:rsidRPr="009053A2">
        <w:rPr>
          <w:rFonts w:eastAsia="Arial" w:cstheme="minorHAnsi"/>
          <w:i/>
          <w:color w:val="000000" w:themeColor="text1"/>
          <w:sz w:val="24"/>
          <w:szCs w:val="24"/>
          <w:lang w:val="es-ES_tradnl"/>
        </w:rPr>
        <w:t xml:space="preserve"> &lt;Artículo modificado por el artículo </w:t>
      </w:r>
      <w:hyperlink r:id="rId7" w:anchor="86" w:history="1">
        <w:r w:rsidRPr="009053A2">
          <w:rPr>
            <w:rStyle w:val="Hipervnculo"/>
            <w:rFonts w:eastAsia="Arial" w:cstheme="minorHAnsi"/>
            <w:i/>
            <w:color w:val="000000" w:themeColor="text1"/>
            <w:sz w:val="24"/>
            <w:szCs w:val="24"/>
            <w:lang w:val="es-ES_tradnl"/>
          </w:rPr>
          <w:t>86</w:t>
        </w:r>
      </w:hyperlink>
      <w:r w:rsidRPr="009053A2">
        <w:rPr>
          <w:rFonts w:eastAsia="Arial" w:cstheme="minorHAnsi"/>
          <w:i/>
          <w:color w:val="000000" w:themeColor="text1"/>
          <w:sz w:val="24"/>
          <w:szCs w:val="24"/>
          <w:lang w:val="es-ES_tradnl"/>
        </w:rPr>
        <w:t xml:space="preserve"> de la Ley 1395 de 2010. El nuevo texto es el siguiente:&gt; En firme la sentencia condenatoria y, previa solicitud expresa de la víctima, o del fiscal o del Ministerio Público a instancia de ella, el juez fallador convocará dentro de los ocho (8) días siguientes a la audiencia pública con la que dará inicio al incidente de reparación integral de los daños causados con la conducta criminal y ordenará las citaciones previstas en los artículos </w:t>
      </w:r>
      <w:hyperlink r:id="rId8" w:anchor="107" w:history="1">
        <w:r w:rsidRPr="009053A2">
          <w:rPr>
            <w:rStyle w:val="Hipervnculo"/>
            <w:rFonts w:eastAsia="Arial" w:cstheme="minorHAnsi"/>
            <w:i/>
            <w:color w:val="000000" w:themeColor="text1"/>
            <w:sz w:val="24"/>
            <w:szCs w:val="24"/>
            <w:lang w:val="es-ES_tradnl"/>
          </w:rPr>
          <w:t>107</w:t>
        </w:r>
      </w:hyperlink>
      <w:r w:rsidRPr="009053A2">
        <w:rPr>
          <w:rFonts w:eastAsia="Arial" w:cstheme="minorHAnsi"/>
          <w:i/>
          <w:color w:val="000000" w:themeColor="text1"/>
          <w:sz w:val="24"/>
          <w:szCs w:val="24"/>
          <w:lang w:val="es-ES_tradnl"/>
        </w:rPr>
        <w:t xml:space="preserve"> y </w:t>
      </w:r>
      <w:hyperlink r:id="rId9" w:anchor="108" w:history="1">
        <w:r w:rsidRPr="009053A2">
          <w:rPr>
            <w:rStyle w:val="Hipervnculo"/>
            <w:rFonts w:eastAsia="Arial" w:cstheme="minorHAnsi"/>
            <w:i/>
            <w:color w:val="000000" w:themeColor="text1"/>
            <w:sz w:val="24"/>
            <w:szCs w:val="24"/>
            <w:lang w:val="es-ES_tradnl"/>
          </w:rPr>
          <w:t>108</w:t>
        </w:r>
      </w:hyperlink>
      <w:r w:rsidRPr="009053A2">
        <w:rPr>
          <w:rFonts w:eastAsia="Arial" w:cstheme="minorHAnsi"/>
          <w:i/>
          <w:color w:val="000000" w:themeColor="text1"/>
          <w:sz w:val="24"/>
          <w:szCs w:val="24"/>
          <w:lang w:val="es-ES_tradnl"/>
        </w:rPr>
        <w:t xml:space="preserve"> de este Código, de ser solicitadas por el incidentante”.</w:t>
      </w:r>
    </w:p>
    <w:p w14:paraId="4D78AEB0" w14:textId="77777777" w:rsidR="00A21806" w:rsidRPr="009053A2" w:rsidRDefault="00A21806" w:rsidP="009053A2">
      <w:pPr>
        <w:spacing w:line="276" w:lineRule="auto"/>
        <w:ind w:firstLine="720"/>
        <w:jc w:val="both"/>
        <w:rPr>
          <w:rFonts w:eastAsia="Arial" w:cstheme="minorHAnsi"/>
          <w:color w:val="000000" w:themeColor="text1"/>
          <w:sz w:val="24"/>
          <w:szCs w:val="24"/>
          <w:lang w:val="es-ES_tradnl"/>
        </w:rPr>
      </w:pPr>
    </w:p>
    <w:p w14:paraId="0AEE61C2" w14:textId="58E1D45E" w:rsidR="00A21806" w:rsidRPr="009053A2" w:rsidRDefault="00A21806" w:rsidP="009053A2">
      <w:pPr>
        <w:spacing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Es claro afirmar en primer lugar</w:t>
      </w:r>
      <w:r w:rsidR="00FE510D" w:rsidRPr="009053A2">
        <w:rPr>
          <w:rFonts w:eastAsia="Arial" w:cstheme="minorHAnsi"/>
          <w:color w:val="000000" w:themeColor="text1"/>
          <w:sz w:val="24"/>
          <w:szCs w:val="24"/>
          <w:lang w:val="es-ES_tradnl"/>
        </w:rPr>
        <w:t>,</w:t>
      </w:r>
      <w:r w:rsidRPr="009053A2">
        <w:rPr>
          <w:rFonts w:eastAsia="Arial" w:cstheme="minorHAnsi"/>
          <w:color w:val="000000" w:themeColor="text1"/>
          <w:sz w:val="24"/>
          <w:szCs w:val="24"/>
          <w:lang w:val="es-ES_tradnl"/>
        </w:rPr>
        <w:t xml:space="preserve"> que en el presente asunto no hay discusión en cuanto a la responsabilidad de reparar, sino por el contrario, este debate ya ha sido dilucidado por el juez penal, por medio de sentencia condenatoria y en firme. </w:t>
      </w:r>
    </w:p>
    <w:p w14:paraId="208543BE" w14:textId="169A269E" w:rsidR="00A21806" w:rsidRPr="009053A2" w:rsidRDefault="00A21806" w:rsidP="009053A2">
      <w:pPr>
        <w:spacing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Al respecto la Corte Suprema de Justicia, Sala Penal, en sentencia del 14 de junio de 2017, bajo el radicado SP 8463 - 2017, Magistrado Ponente: Fernando Alberto Castro Caballero, ha definido lo siguiente:</w:t>
      </w:r>
    </w:p>
    <w:p w14:paraId="338499AE" w14:textId="77777777" w:rsidR="00A21806" w:rsidRPr="009053A2" w:rsidRDefault="00A21806" w:rsidP="009053A2">
      <w:pPr>
        <w:spacing w:line="276" w:lineRule="auto"/>
        <w:ind w:left="720"/>
        <w:jc w:val="both"/>
        <w:rPr>
          <w:rFonts w:eastAsia="Arial" w:cstheme="minorHAnsi"/>
          <w:i/>
          <w:color w:val="000000" w:themeColor="text1"/>
          <w:sz w:val="24"/>
          <w:szCs w:val="24"/>
          <w:lang w:val="es-ES_tradnl"/>
        </w:rPr>
      </w:pPr>
      <w:r w:rsidRPr="009053A2">
        <w:rPr>
          <w:rFonts w:eastAsia="Arial" w:cstheme="minorHAnsi"/>
          <w:i/>
          <w:color w:val="000000" w:themeColor="text1"/>
          <w:sz w:val="24"/>
          <w:szCs w:val="24"/>
          <w:lang w:val="es-ES_tradnl"/>
        </w:rPr>
        <w:t xml:space="preserve">“De conformidad con las legislaciones penal y civil los afectados con la conducta punible tienen derecho a reclamar y obtener la reparación o compensación debida por los daños causados. </w:t>
      </w:r>
    </w:p>
    <w:p w14:paraId="010870E5" w14:textId="77777777" w:rsidR="00A21806" w:rsidRPr="009053A2" w:rsidRDefault="00A21806" w:rsidP="009053A2">
      <w:pPr>
        <w:spacing w:line="276" w:lineRule="auto"/>
        <w:ind w:left="720"/>
        <w:jc w:val="both"/>
        <w:rPr>
          <w:rFonts w:eastAsia="Arial" w:cstheme="minorHAnsi"/>
          <w:i/>
          <w:color w:val="000000" w:themeColor="text1"/>
          <w:sz w:val="24"/>
          <w:szCs w:val="24"/>
          <w:lang w:val="es-ES_tradnl"/>
        </w:rPr>
      </w:pPr>
      <w:r w:rsidRPr="009053A2">
        <w:rPr>
          <w:rFonts w:eastAsia="Arial" w:cstheme="minorHAnsi"/>
          <w:i/>
          <w:color w:val="000000" w:themeColor="text1"/>
          <w:sz w:val="24"/>
          <w:szCs w:val="24"/>
          <w:lang w:val="es-ES_tradnl"/>
        </w:rPr>
        <w:t xml:space="preserve">De esa manera aparece regulado en el Código Penal, Libro Primero, Título IV, Capítulo Sexto, sobre la responsabilidad civil originada en el hecho delictivo y la consecuente obligación de reparar los daños materiales y morales causados con la infracción; la facultad de las personas naturales o jurídicas perjudicadas de promover la acción civil a fin de conseguir la reparación; la determinación de quiénes están obligados a indemnizar, además del penalmente responsable; y las formas de extinción de la acción civil, esto es, la prescripción cuando se ejercita dentro del mismo proceso penal, que opera únicamente respecto del procesado, y por remisión los demás eventos previstos en el Código Civil. </w:t>
      </w:r>
    </w:p>
    <w:p w14:paraId="3BDFBC03" w14:textId="77777777" w:rsidR="00A21806" w:rsidRPr="009053A2" w:rsidRDefault="00A21806" w:rsidP="009053A2">
      <w:pPr>
        <w:spacing w:line="276" w:lineRule="auto"/>
        <w:ind w:left="720"/>
        <w:jc w:val="both"/>
        <w:rPr>
          <w:rFonts w:eastAsia="Arial" w:cstheme="minorHAnsi"/>
          <w:i/>
          <w:color w:val="000000" w:themeColor="text1"/>
          <w:sz w:val="24"/>
          <w:szCs w:val="24"/>
          <w:lang w:val="es-ES_tradnl"/>
        </w:rPr>
      </w:pPr>
      <w:r w:rsidRPr="009053A2">
        <w:rPr>
          <w:rFonts w:eastAsia="Arial" w:cstheme="minorHAnsi"/>
          <w:i/>
          <w:color w:val="000000" w:themeColor="text1"/>
          <w:sz w:val="24"/>
          <w:szCs w:val="24"/>
          <w:lang w:val="es-ES_tradnl"/>
        </w:rPr>
        <w:t xml:space="preserve">Análogamente, la legislación civil trata de la “Responsabilidad común por los delitos y las culpas” y la responsabilidad extracontractual cuando se ha inferido daño a otro mediante la comisión de un delito (artículos 2341 y siguientes), para cuya reclamación se faculta al “dueño o poseedor de la cosa sobre la cual ha recaído el daño o su heredero… el usufructuario, el habitador, o el usuario, si el daño irroga perjuicio a su derecho de usufructo, habitación o uso…”, conforme al artículo 2342 ejusdem. </w:t>
      </w:r>
    </w:p>
    <w:p w14:paraId="113C8920" w14:textId="77777777" w:rsidR="00A21806" w:rsidRPr="009053A2" w:rsidRDefault="00A21806" w:rsidP="009053A2">
      <w:pPr>
        <w:spacing w:line="276" w:lineRule="auto"/>
        <w:ind w:left="720"/>
        <w:jc w:val="both"/>
        <w:rPr>
          <w:rFonts w:eastAsia="Arial" w:cstheme="minorHAnsi"/>
          <w:i/>
          <w:color w:val="000000" w:themeColor="text1"/>
          <w:sz w:val="24"/>
          <w:szCs w:val="24"/>
          <w:lang w:val="es-ES_tradnl"/>
        </w:rPr>
      </w:pPr>
      <w:r w:rsidRPr="009053A2">
        <w:rPr>
          <w:rFonts w:eastAsia="Arial" w:cstheme="minorHAnsi"/>
          <w:i/>
          <w:color w:val="000000" w:themeColor="text1"/>
          <w:sz w:val="24"/>
          <w:szCs w:val="24"/>
          <w:lang w:val="es-ES_tradnl"/>
        </w:rPr>
        <w:t xml:space="preserve">En ese orden, de acuerdo con los artículos 2343 y 2344 ibídem, están obligados a indemnizar “el que hizo el daño y sus herederos” y son responsables solidarios quienes han concurrido a cometer el delito o la culpa, con las excepciones de los artículos 2350 y 2355 del mismo código. </w:t>
      </w:r>
    </w:p>
    <w:p w14:paraId="5A653AE2" w14:textId="77777777" w:rsidR="00A21806" w:rsidRPr="009053A2" w:rsidRDefault="00A21806" w:rsidP="009053A2">
      <w:pPr>
        <w:spacing w:line="276" w:lineRule="auto"/>
        <w:ind w:left="720"/>
        <w:jc w:val="both"/>
        <w:rPr>
          <w:rFonts w:eastAsia="Arial" w:cstheme="minorHAnsi"/>
          <w:i/>
          <w:color w:val="000000" w:themeColor="text1"/>
          <w:sz w:val="24"/>
          <w:szCs w:val="24"/>
          <w:lang w:val="es-ES_tradnl"/>
        </w:rPr>
      </w:pPr>
      <w:r w:rsidRPr="009053A2">
        <w:rPr>
          <w:rFonts w:eastAsia="Arial" w:cstheme="minorHAnsi"/>
          <w:i/>
          <w:color w:val="000000" w:themeColor="text1"/>
          <w:sz w:val="24"/>
          <w:szCs w:val="24"/>
          <w:lang w:val="es-ES_tradnl"/>
        </w:rPr>
        <w:t xml:space="preserve">Así mismo, respecto de los componentes de la obligación indemnizatoria, los artículos 1613 y siguientes, señalan que ésta comprende el daño emergente y el lucro cesante, definiendo el primero como “el perjuicio o la pérdida que proviene de no haberse cumplido la obligación o de haberse cumplido imperfectamente, o de </w:t>
      </w:r>
      <w:r w:rsidRPr="009053A2">
        <w:rPr>
          <w:rFonts w:eastAsia="Arial" w:cstheme="minorHAnsi"/>
          <w:i/>
          <w:color w:val="000000" w:themeColor="text1"/>
          <w:sz w:val="24"/>
          <w:szCs w:val="24"/>
          <w:lang w:val="es-ES_tradnl"/>
        </w:rPr>
        <w:lastRenderedPageBreak/>
        <w:t>haberse retardado su cumplimiento”; y, el segundo, es “la ganancia o provecho que deja de reportarse a consecuencia de no haberse cumplido la obligación, o cumplido imperfectamente, o retardado su cumplimiento”</w:t>
      </w:r>
    </w:p>
    <w:p w14:paraId="7890DB05" w14:textId="77777777" w:rsidR="00A21806" w:rsidRPr="009053A2" w:rsidRDefault="00A21806" w:rsidP="009053A2">
      <w:pPr>
        <w:spacing w:line="276" w:lineRule="auto"/>
        <w:ind w:left="720"/>
        <w:jc w:val="both"/>
        <w:rPr>
          <w:rFonts w:eastAsia="Arial" w:cstheme="minorHAnsi"/>
          <w:color w:val="000000" w:themeColor="text1"/>
          <w:sz w:val="24"/>
          <w:szCs w:val="24"/>
          <w:lang w:val="es-ES_tradnl"/>
        </w:rPr>
      </w:pPr>
    </w:p>
    <w:p w14:paraId="7C65A347" w14:textId="28D82C5A" w:rsidR="00A21806" w:rsidRPr="009053A2" w:rsidRDefault="00A21806" w:rsidP="009053A2">
      <w:pPr>
        <w:spacing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Aplicando lo anterior al caso en concreto, podemos suponer, con base en la documentación aportada que nos encontramos con una sentencia ejecutoriada en contra de</w:t>
      </w:r>
      <w:r w:rsidR="00433350" w:rsidRPr="009053A2">
        <w:rPr>
          <w:rFonts w:eastAsia="Arial" w:cstheme="minorHAnsi"/>
          <w:color w:val="000000" w:themeColor="text1"/>
          <w:sz w:val="24"/>
          <w:szCs w:val="24"/>
          <w:lang w:val="es-ES_tradnl"/>
        </w:rPr>
        <w:t xml:space="preserve"> </w:t>
      </w:r>
      <w:r w:rsidRPr="009053A2">
        <w:rPr>
          <w:rFonts w:eastAsia="Arial" w:cstheme="minorHAnsi"/>
          <w:color w:val="000000" w:themeColor="text1"/>
          <w:sz w:val="24"/>
          <w:szCs w:val="24"/>
          <w:lang w:val="es-ES_tradnl"/>
        </w:rPr>
        <w:t>l</w:t>
      </w:r>
      <w:r w:rsidR="00433350" w:rsidRPr="009053A2">
        <w:rPr>
          <w:rFonts w:eastAsia="Arial" w:cstheme="minorHAnsi"/>
          <w:color w:val="000000" w:themeColor="text1"/>
          <w:sz w:val="24"/>
          <w:szCs w:val="24"/>
          <w:lang w:val="es-ES_tradnl"/>
        </w:rPr>
        <w:t>a</w:t>
      </w:r>
      <w:r w:rsidRPr="009053A2">
        <w:rPr>
          <w:rFonts w:eastAsia="Arial" w:cstheme="minorHAnsi"/>
          <w:color w:val="000000" w:themeColor="text1"/>
          <w:sz w:val="24"/>
          <w:szCs w:val="24"/>
          <w:lang w:val="es-ES_tradnl"/>
        </w:rPr>
        <w:t xml:space="preserve"> Señor</w:t>
      </w:r>
      <w:r w:rsidR="00433350" w:rsidRPr="009053A2">
        <w:rPr>
          <w:rFonts w:eastAsia="Arial" w:cstheme="minorHAnsi"/>
          <w:color w:val="000000" w:themeColor="text1"/>
          <w:sz w:val="24"/>
          <w:szCs w:val="24"/>
          <w:lang w:val="es-ES_tradnl"/>
        </w:rPr>
        <w:t>a</w:t>
      </w:r>
      <w:r w:rsidRPr="009053A2">
        <w:rPr>
          <w:rFonts w:eastAsia="Arial" w:cstheme="minorHAnsi"/>
          <w:color w:val="000000" w:themeColor="text1"/>
          <w:sz w:val="24"/>
          <w:szCs w:val="24"/>
          <w:lang w:val="es-ES_tradnl"/>
        </w:rPr>
        <w:t xml:space="preserve"> </w:t>
      </w:r>
      <w:r w:rsidR="00433350" w:rsidRPr="009053A2">
        <w:rPr>
          <w:rFonts w:eastAsia="Arial" w:cstheme="minorHAnsi"/>
          <w:color w:val="000000" w:themeColor="text1"/>
          <w:sz w:val="24"/>
          <w:szCs w:val="24"/>
          <w:lang w:val="es-ES_tradnl"/>
        </w:rPr>
        <w:t>Diana Carolina Moreno Zambrano</w:t>
      </w:r>
      <w:r w:rsidRPr="009053A2">
        <w:rPr>
          <w:rFonts w:eastAsia="Arial" w:cstheme="minorHAnsi"/>
          <w:color w:val="000000" w:themeColor="text1"/>
          <w:sz w:val="24"/>
          <w:szCs w:val="24"/>
          <w:lang w:val="es-ES_tradnl"/>
        </w:rPr>
        <w:t xml:space="preserve">, quien para el día </w:t>
      </w:r>
      <w:r w:rsidR="00433350" w:rsidRPr="009053A2">
        <w:rPr>
          <w:rFonts w:eastAsia="Arial" w:cstheme="minorHAnsi"/>
          <w:color w:val="000000" w:themeColor="text1"/>
          <w:sz w:val="24"/>
          <w:szCs w:val="24"/>
          <w:lang w:val="es-ES_tradnl"/>
        </w:rPr>
        <w:t>5 de mayo de 2015</w:t>
      </w:r>
      <w:r w:rsidRPr="009053A2">
        <w:rPr>
          <w:rFonts w:eastAsia="Arial" w:cstheme="minorHAnsi"/>
          <w:color w:val="000000" w:themeColor="text1"/>
          <w:sz w:val="24"/>
          <w:szCs w:val="24"/>
          <w:lang w:val="es-ES_tradnl"/>
        </w:rPr>
        <w:t xml:space="preserve">, mientras conducía </w:t>
      </w:r>
      <w:r w:rsidR="00433350" w:rsidRPr="009053A2">
        <w:rPr>
          <w:rFonts w:eastAsia="Arial" w:cstheme="minorHAnsi"/>
          <w:color w:val="000000" w:themeColor="text1"/>
          <w:sz w:val="24"/>
          <w:szCs w:val="24"/>
          <w:lang w:val="es-ES_tradnl"/>
        </w:rPr>
        <w:t>un vehículo</w:t>
      </w:r>
      <w:r w:rsidRPr="009053A2">
        <w:rPr>
          <w:rFonts w:eastAsia="Arial" w:cstheme="minorHAnsi"/>
          <w:color w:val="000000" w:themeColor="text1"/>
          <w:sz w:val="24"/>
          <w:szCs w:val="24"/>
          <w:lang w:val="es-ES_tradnl"/>
        </w:rPr>
        <w:t xml:space="preserve"> de placas </w:t>
      </w:r>
      <w:r w:rsidR="00433350" w:rsidRPr="009053A2">
        <w:rPr>
          <w:rFonts w:cstheme="minorHAnsi"/>
          <w:color w:val="000000" w:themeColor="text1"/>
          <w:sz w:val="24"/>
          <w:szCs w:val="24"/>
          <w:lang w:val="es-ES_tradnl"/>
        </w:rPr>
        <w:t>CNN – 286</w:t>
      </w:r>
      <w:r w:rsidRPr="009053A2">
        <w:rPr>
          <w:rFonts w:eastAsia="Arial" w:cstheme="minorHAnsi"/>
          <w:color w:val="000000" w:themeColor="text1"/>
          <w:sz w:val="24"/>
          <w:szCs w:val="24"/>
          <w:lang w:val="es-ES_tradnl"/>
        </w:rPr>
        <w:t>, en un</w:t>
      </w:r>
      <w:r w:rsidR="00433350" w:rsidRPr="009053A2">
        <w:rPr>
          <w:rFonts w:eastAsia="Arial" w:cstheme="minorHAnsi"/>
          <w:color w:val="000000" w:themeColor="text1"/>
          <w:sz w:val="24"/>
          <w:szCs w:val="24"/>
          <w:lang w:val="es-ES_tradnl"/>
        </w:rPr>
        <w:t>a</w:t>
      </w:r>
      <w:r w:rsidRPr="009053A2">
        <w:rPr>
          <w:rFonts w:eastAsia="Arial" w:cstheme="minorHAnsi"/>
          <w:color w:val="000000" w:themeColor="text1"/>
          <w:sz w:val="24"/>
          <w:szCs w:val="24"/>
          <w:lang w:val="es-ES_tradnl"/>
        </w:rPr>
        <w:t xml:space="preserve"> supuest</w:t>
      </w:r>
      <w:r w:rsidR="00433350" w:rsidRPr="009053A2">
        <w:rPr>
          <w:rFonts w:eastAsia="Arial" w:cstheme="minorHAnsi"/>
          <w:color w:val="000000" w:themeColor="text1"/>
          <w:sz w:val="24"/>
          <w:szCs w:val="24"/>
          <w:lang w:val="es-ES_tradnl"/>
        </w:rPr>
        <w:t>a</w:t>
      </w:r>
      <w:r w:rsidRPr="009053A2">
        <w:rPr>
          <w:rFonts w:eastAsia="Arial" w:cstheme="minorHAnsi"/>
          <w:color w:val="000000" w:themeColor="text1"/>
          <w:sz w:val="24"/>
          <w:szCs w:val="24"/>
          <w:lang w:val="es-ES_tradnl"/>
        </w:rPr>
        <w:t xml:space="preserve"> </w:t>
      </w:r>
      <w:r w:rsidR="00433350" w:rsidRPr="009053A2">
        <w:rPr>
          <w:rFonts w:eastAsia="Arial" w:cstheme="minorHAnsi"/>
          <w:color w:val="000000" w:themeColor="text1"/>
          <w:sz w:val="24"/>
          <w:szCs w:val="24"/>
          <w:lang w:val="es-ES_tradnl"/>
        </w:rPr>
        <w:t>invasión de carril</w:t>
      </w:r>
      <w:r w:rsidRPr="009053A2">
        <w:rPr>
          <w:rFonts w:eastAsia="Arial" w:cstheme="minorHAnsi"/>
          <w:color w:val="000000" w:themeColor="text1"/>
          <w:sz w:val="24"/>
          <w:szCs w:val="24"/>
          <w:lang w:val="es-ES_tradnl"/>
        </w:rPr>
        <w:t xml:space="preserve"> colisionó en contra de la integridad de</w:t>
      </w:r>
      <w:r w:rsidR="00433350" w:rsidRPr="009053A2">
        <w:rPr>
          <w:rFonts w:eastAsia="Arial" w:cstheme="minorHAnsi"/>
          <w:color w:val="000000" w:themeColor="text1"/>
          <w:sz w:val="24"/>
          <w:szCs w:val="24"/>
          <w:lang w:val="es-ES_tradnl"/>
        </w:rPr>
        <w:t xml:space="preserve"> </w:t>
      </w:r>
      <w:r w:rsidRPr="009053A2">
        <w:rPr>
          <w:rFonts w:eastAsia="Arial" w:cstheme="minorHAnsi"/>
          <w:color w:val="000000" w:themeColor="text1"/>
          <w:sz w:val="24"/>
          <w:szCs w:val="24"/>
          <w:lang w:val="es-ES_tradnl"/>
        </w:rPr>
        <w:t>l</w:t>
      </w:r>
      <w:r w:rsidR="00433350" w:rsidRPr="009053A2">
        <w:rPr>
          <w:rFonts w:eastAsia="Arial" w:cstheme="minorHAnsi"/>
          <w:color w:val="000000" w:themeColor="text1"/>
          <w:sz w:val="24"/>
          <w:szCs w:val="24"/>
          <w:lang w:val="es-ES_tradnl"/>
        </w:rPr>
        <w:t>a</w:t>
      </w:r>
      <w:r w:rsidRPr="009053A2">
        <w:rPr>
          <w:rFonts w:eastAsia="Arial" w:cstheme="minorHAnsi"/>
          <w:color w:val="000000" w:themeColor="text1"/>
          <w:sz w:val="24"/>
          <w:szCs w:val="24"/>
          <w:lang w:val="es-ES_tradnl"/>
        </w:rPr>
        <w:t xml:space="preserve"> Señor</w:t>
      </w:r>
      <w:r w:rsidR="00433350" w:rsidRPr="009053A2">
        <w:rPr>
          <w:rFonts w:eastAsia="Arial" w:cstheme="minorHAnsi"/>
          <w:color w:val="000000" w:themeColor="text1"/>
          <w:sz w:val="24"/>
          <w:szCs w:val="24"/>
          <w:lang w:val="es-ES_tradnl"/>
        </w:rPr>
        <w:t>a</w:t>
      </w:r>
      <w:r w:rsidRPr="009053A2">
        <w:rPr>
          <w:rFonts w:eastAsia="Arial" w:cstheme="minorHAnsi"/>
          <w:color w:val="000000" w:themeColor="text1"/>
          <w:sz w:val="24"/>
          <w:szCs w:val="24"/>
          <w:lang w:val="es-ES_tradnl"/>
        </w:rPr>
        <w:t xml:space="preserve"> </w:t>
      </w:r>
      <w:r w:rsidR="00433350" w:rsidRPr="009053A2">
        <w:rPr>
          <w:rFonts w:eastAsia="Arial" w:cstheme="minorHAnsi"/>
          <w:color w:val="000000" w:themeColor="text1"/>
          <w:sz w:val="24"/>
          <w:szCs w:val="24"/>
          <w:lang w:val="es-ES_tradnl"/>
        </w:rPr>
        <w:t>María Nancy González</w:t>
      </w:r>
      <w:r w:rsidRPr="009053A2">
        <w:rPr>
          <w:rFonts w:eastAsia="Arial" w:cstheme="minorHAnsi"/>
          <w:color w:val="000000" w:themeColor="text1"/>
          <w:sz w:val="24"/>
          <w:szCs w:val="24"/>
          <w:lang w:val="es-ES_tradnl"/>
        </w:rPr>
        <w:t>, quien sufrió unos daños ya descritos, producto del accidente.</w:t>
      </w:r>
    </w:p>
    <w:p w14:paraId="664B3168" w14:textId="77777777" w:rsidR="00A21806" w:rsidRPr="009053A2" w:rsidRDefault="00A21806" w:rsidP="009053A2">
      <w:pPr>
        <w:spacing w:line="276" w:lineRule="auto"/>
        <w:jc w:val="both"/>
        <w:rPr>
          <w:rFonts w:eastAsia="Arial" w:cstheme="minorHAnsi"/>
          <w:color w:val="000000" w:themeColor="text1"/>
          <w:sz w:val="24"/>
          <w:szCs w:val="24"/>
          <w:lang w:val="es-ES_tradnl"/>
        </w:rPr>
      </w:pPr>
    </w:p>
    <w:p w14:paraId="4433DC02" w14:textId="756312D1" w:rsidR="00A21806" w:rsidRPr="009053A2" w:rsidRDefault="00A21806" w:rsidP="009053A2">
      <w:pPr>
        <w:numPr>
          <w:ilvl w:val="0"/>
          <w:numId w:val="4"/>
        </w:numPr>
        <w:spacing w:after="0" w:line="276" w:lineRule="auto"/>
        <w:jc w:val="both"/>
        <w:rPr>
          <w:rFonts w:eastAsia="Arial" w:cstheme="minorHAnsi"/>
          <w:b/>
          <w:color w:val="000000" w:themeColor="text1"/>
          <w:sz w:val="24"/>
          <w:szCs w:val="24"/>
          <w:lang w:val="es-ES_tradnl"/>
        </w:rPr>
      </w:pPr>
      <w:r w:rsidRPr="009053A2">
        <w:rPr>
          <w:rFonts w:eastAsia="Arial" w:cstheme="minorHAnsi"/>
          <w:b/>
          <w:color w:val="000000" w:themeColor="text1"/>
          <w:sz w:val="24"/>
          <w:szCs w:val="24"/>
          <w:lang w:val="es-ES_tradnl"/>
        </w:rPr>
        <w:t>Rol de la aseguradora en el incidente de reparación integral.</w:t>
      </w:r>
    </w:p>
    <w:p w14:paraId="57C784CE" w14:textId="77777777" w:rsidR="00433350" w:rsidRPr="009053A2" w:rsidRDefault="00433350" w:rsidP="009053A2">
      <w:pPr>
        <w:spacing w:line="276" w:lineRule="auto"/>
        <w:jc w:val="both"/>
        <w:rPr>
          <w:rFonts w:eastAsia="Arial" w:cstheme="minorHAnsi"/>
          <w:color w:val="000000" w:themeColor="text1"/>
          <w:sz w:val="24"/>
          <w:szCs w:val="24"/>
          <w:lang w:val="es-ES_tradnl"/>
        </w:rPr>
      </w:pPr>
    </w:p>
    <w:p w14:paraId="5D43AFC0" w14:textId="082A3F35" w:rsidR="00A21806" w:rsidRPr="009053A2" w:rsidRDefault="00A21806" w:rsidP="009053A2">
      <w:pPr>
        <w:spacing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En el caso que nos ocupa, es importante analizar el papel que juega la aseguradora en el incidente de reparación integral.</w:t>
      </w:r>
    </w:p>
    <w:p w14:paraId="08BA4626" w14:textId="77777777" w:rsidR="00A21806" w:rsidRPr="009053A2" w:rsidRDefault="00A21806" w:rsidP="009053A2">
      <w:pPr>
        <w:spacing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El papel de las aseguradoras en el trámite incidental está circunscrito en el artículo 108 de nuestra legislación procedimental penal, la cual determinó:</w:t>
      </w:r>
    </w:p>
    <w:p w14:paraId="6D21DAC5" w14:textId="77777777" w:rsidR="00A21806" w:rsidRPr="009053A2" w:rsidRDefault="00A21806" w:rsidP="009053A2">
      <w:pPr>
        <w:spacing w:line="276" w:lineRule="auto"/>
        <w:jc w:val="both"/>
        <w:rPr>
          <w:rFonts w:eastAsia="Arial" w:cstheme="minorHAnsi"/>
          <w:color w:val="000000" w:themeColor="text1"/>
          <w:sz w:val="24"/>
          <w:szCs w:val="24"/>
          <w:lang w:val="es-ES_tradnl"/>
        </w:rPr>
      </w:pPr>
    </w:p>
    <w:p w14:paraId="46D2B5E5" w14:textId="77777777" w:rsidR="00A21806" w:rsidRPr="009053A2" w:rsidRDefault="00A21806" w:rsidP="009053A2">
      <w:pPr>
        <w:spacing w:line="276" w:lineRule="auto"/>
        <w:ind w:left="720"/>
        <w:jc w:val="both"/>
        <w:rPr>
          <w:rFonts w:eastAsia="Arial" w:cstheme="minorHAnsi"/>
          <w:color w:val="000000" w:themeColor="text1"/>
          <w:sz w:val="24"/>
          <w:szCs w:val="24"/>
          <w:highlight w:val="white"/>
          <w:lang w:val="es-ES_tradnl"/>
        </w:rPr>
      </w:pPr>
      <w:r w:rsidRPr="009053A2">
        <w:rPr>
          <w:rFonts w:eastAsia="Arial" w:cstheme="minorHAnsi"/>
          <w:color w:val="000000" w:themeColor="text1"/>
          <w:sz w:val="24"/>
          <w:szCs w:val="24"/>
          <w:lang w:val="es-ES_tradnl"/>
        </w:rPr>
        <w:t>“</w:t>
      </w:r>
      <w:r w:rsidRPr="009053A2">
        <w:rPr>
          <w:rFonts w:eastAsia="Arial" w:cstheme="minorHAnsi"/>
          <w:b/>
          <w:color w:val="000000" w:themeColor="text1"/>
          <w:sz w:val="24"/>
          <w:szCs w:val="24"/>
          <w:highlight w:val="white"/>
          <w:lang w:val="es-ES_tradnl"/>
        </w:rPr>
        <w:t>Artículo 108</w:t>
      </w:r>
      <w:r w:rsidRPr="009053A2">
        <w:rPr>
          <w:rFonts w:eastAsia="Arial" w:cstheme="minorHAnsi"/>
          <w:color w:val="000000" w:themeColor="text1"/>
          <w:sz w:val="24"/>
          <w:szCs w:val="24"/>
          <w:highlight w:val="white"/>
          <w:lang w:val="es-ES_tradnl"/>
        </w:rPr>
        <w:t xml:space="preserve">. </w:t>
      </w:r>
      <w:r w:rsidRPr="009053A2">
        <w:rPr>
          <w:rFonts w:eastAsia="Arial" w:cstheme="minorHAnsi"/>
          <w:i/>
          <w:color w:val="000000" w:themeColor="text1"/>
          <w:sz w:val="24"/>
          <w:szCs w:val="24"/>
          <w:highlight w:val="white"/>
          <w:lang w:val="es-ES_tradnl"/>
        </w:rPr>
        <w:t>Citación del asegurador.</w:t>
      </w:r>
      <w:r w:rsidRPr="009053A2">
        <w:rPr>
          <w:rFonts w:eastAsia="Arial" w:cstheme="minorHAnsi"/>
          <w:color w:val="000000" w:themeColor="text1"/>
          <w:sz w:val="24"/>
          <w:szCs w:val="24"/>
          <w:highlight w:val="white"/>
          <w:lang w:val="es-ES_tradnl"/>
        </w:rPr>
        <w:t xml:space="preserve"> </w:t>
      </w:r>
      <w:r w:rsidRPr="009053A2">
        <w:rPr>
          <w:rFonts w:eastAsia="Arial" w:cstheme="minorHAnsi"/>
          <w:color w:val="000000" w:themeColor="text1"/>
          <w:sz w:val="24"/>
          <w:szCs w:val="24"/>
          <w:highlight w:val="white"/>
          <w:u w:val="single"/>
          <w:lang w:val="es-ES_tradnl"/>
        </w:rPr>
        <w:t>Exclusivamente</w:t>
      </w:r>
      <w:r w:rsidRPr="009053A2">
        <w:rPr>
          <w:rFonts w:eastAsia="Arial" w:cstheme="minorHAnsi"/>
          <w:color w:val="000000" w:themeColor="text1"/>
          <w:sz w:val="24"/>
          <w:szCs w:val="24"/>
          <w:highlight w:val="white"/>
          <w:lang w:val="es-ES_tradnl"/>
        </w:rPr>
        <w:t xml:space="preserve"> para efectos de la conciliación de que trata el artículo 103, la víctima, el condenado, su defensor o el tercero civilmente responsable podrán pedir la citación del asegurador de la responsabilidad civil amparada en virtud del contrato de seguro válidamente celebrado, </w:t>
      </w:r>
      <w:r w:rsidRPr="009053A2">
        <w:rPr>
          <w:rFonts w:eastAsia="Arial" w:cstheme="minorHAnsi"/>
          <w:color w:val="000000" w:themeColor="text1"/>
          <w:sz w:val="24"/>
          <w:szCs w:val="24"/>
          <w:highlight w:val="white"/>
          <w:u w:val="single"/>
          <w:lang w:val="es-ES_tradnl"/>
        </w:rPr>
        <w:t>quien tendrá la facultad de participar en dicha conciliación</w:t>
      </w:r>
      <w:r w:rsidRPr="009053A2">
        <w:rPr>
          <w:rFonts w:eastAsia="Arial" w:cstheme="minorHAnsi"/>
          <w:color w:val="000000" w:themeColor="text1"/>
          <w:sz w:val="24"/>
          <w:szCs w:val="24"/>
          <w:highlight w:val="white"/>
          <w:lang w:val="es-ES_tradnl"/>
        </w:rPr>
        <w:t xml:space="preserve">. </w:t>
      </w:r>
      <w:r w:rsidRPr="009053A2">
        <w:rPr>
          <w:rFonts w:eastAsia="Arial" w:cstheme="minorHAnsi"/>
          <w:b/>
          <w:color w:val="000000" w:themeColor="text1"/>
          <w:sz w:val="24"/>
          <w:szCs w:val="24"/>
          <w:highlight w:val="white"/>
          <w:lang w:val="es-ES_tradnl"/>
        </w:rPr>
        <w:t>El texto subrayado fue declarado INEXEQUIBLE por la Corte Constitucional mediante Sentencia C-408 de 2009”</w:t>
      </w:r>
      <w:r w:rsidRPr="009053A2">
        <w:rPr>
          <w:rFonts w:eastAsia="Arial" w:cstheme="minorHAnsi"/>
          <w:color w:val="000000" w:themeColor="text1"/>
          <w:sz w:val="24"/>
          <w:szCs w:val="24"/>
          <w:highlight w:val="white"/>
          <w:lang w:val="es-ES_tradnl"/>
        </w:rPr>
        <w:t>.</w:t>
      </w:r>
    </w:p>
    <w:p w14:paraId="1C98F5A0" w14:textId="77777777" w:rsidR="00A21806" w:rsidRPr="009053A2" w:rsidRDefault="00A21806" w:rsidP="009053A2">
      <w:pPr>
        <w:spacing w:line="276" w:lineRule="auto"/>
        <w:ind w:left="720"/>
        <w:jc w:val="both"/>
        <w:rPr>
          <w:rFonts w:eastAsia="Arial" w:cstheme="minorHAnsi"/>
          <w:color w:val="000000" w:themeColor="text1"/>
          <w:sz w:val="24"/>
          <w:szCs w:val="24"/>
          <w:highlight w:val="white"/>
          <w:lang w:val="es-ES_tradnl"/>
        </w:rPr>
      </w:pPr>
    </w:p>
    <w:p w14:paraId="3313B007" w14:textId="77777777" w:rsidR="00A21806" w:rsidRPr="009053A2" w:rsidRDefault="00A21806" w:rsidP="009053A2">
      <w:pPr>
        <w:spacing w:line="276" w:lineRule="auto"/>
        <w:jc w:val="both"/>
        <w:rPr>
          <w:rFonts w:eastAsia="Arial" w:cstheme="minorHAnsi"/>
          <w:color w:val="000000" w:themeColor="text1"/>
          <w:sz w:val="24"/>
          <w:szCs w:val="24"/>
          <w:highlight w:val="white"/>
          <w:lang w:val="es-ES_tradnl"/>
        </w:rPr>
      </w:pPr>
      <w:r w:rsidRPr="009053A2">
        <w:rPr>
          <w:rFonts w:eastAsia="Arial" w:cstheme="minorHAnsi"/>
          <w:color w:val="000000" w:themeColor="text1"/>
          <w:sz w:val="24"/>
          <w:szCs w:val="24"/>
          <w:highlight w:val="white"/>
          <w:lang w:val="es-ES_tradnl"/>
        </w:rPr>
        <w:t xml:space="preserve">Tal como lo señala el mismo texto citado, la Corte Constitucional en Sentencia C-408 de 2009, el presente artículo se debe entender que la aseguradora tiene el deber de participar en todo el proceso incidental y no exclusivamente en la audiencia de conciliación. </w:t>
      </w:r>
    </w:p>
    <w:p w14:paraId="1554B92A" w14:textId="77777777" w:rsidR="00A21806" w:rsidRPr="009053A2" w:rsidRDefault="00A21806" w:rsidP="009053A2">
      <w:pPr>
        <w:spacing w:line="276" w:lineRule="auto"/>
        <w:jc w:val="both"/>
        <w:rPr>
          <w:rFonts w:eastAsia="Arial" w:cstheme="minorHAnsi"/>
          <w:color w:val="000000" w:themeColor="text1"/>
          <w:sz w:val="24"/>
          <w:szCs w:val="24"/>
          <w:highlight w:val="white"/>
          <w:lang w:val="es-ES_tradnl"/>
        </w:rPr>
      </w:pPr>
    </w:p>
    <w:p w14:paraId="6E5031B5" w14:textId="77777777" w:rsidR="00A21806" w:rsidRPr="009053A2" w:rsidRDefault="00A21806" w:rsidP="009053A2">
      <w:pPr>
        <w:spacing w:line="276" w:lineRule="auto"/>
        <w:ind w:left="720"/>
        <w:jc w:val="both"/>
        <w:rPr>
          <w:rFonts w:eastAsia="Arial" w:cstheme="minorHAnsi"/>
          <w:i/>
          <w:color w:val="000000" w:themeColor="text1"/>
          <w:sz w:val="24"/>
          <w:szCs w:val="24"/>
          <w:lang w:val="es-ES_tradnl"/>
        </w:rPr>
      </w:pPr>
      <w:r w:rsidRPr="009053A2">
        <w:rPr>
          <w:rFonts w:eastAsia="Arial" w:cstheme="minorHAnsi"/>
          <w:i/>
          <w:color w:val="000000" w:themeColor="text1"/>
          <w:sz w:val="24"/>
          <w:szCs w:val="24"/>
          <w:lang w:val="es-ES_tradnl"/>
        </w:rPr>
        <w:lastRenderedPageBreak/>
        <w:t xml:space="preserve">“'Dicho de otro modo y en concordancia con lo establecido en las sentencias </w:t>
      </w:r>
      <w:hyperlink r:id="rId10" w:anchor="1" w:history="1">
        <w:r w:rsidRPr="009053A2">
          <w:rPr>
            <w:rStyle w:val="Hipervnculo"/>
            <w:rFonts w:eastAsia="Arial" w:cstheme="minorHAnsi"/>
            <w:i/>
            <w:color w:val="000000" w:themeColor="text1"/>
            <w:sz w:val="24"/>
            <w:szCs w:val="24"/>
            <w:lang w:val="es-ES_tradnl"/>
          </w:rPr>
          <w:t>C-423</w:t>
        </w:r>
      </w:hyperlink>
      <w:r w:rsidRPr="009053A2">
        <w:rPr>
          <w:rFonts w:eastAsia="Arial" w:cstheme="minorHAnsi"/>
          <w:i/>
          <w:color w:val="000000" w:themeColor="text1"/>
          <w:sz w:val="24"/>
          <w:szCs w:val="24"/>
          <w:lang w:val="es-ES_tradnl"/>
        </w:rPr>
        <w:t xml:space="preserve"> y </w:t>
      </w:r>
      <w:hyperlink r:id="rId11" w:anchor="1" w:history="1">
        <w:r w:rsidRPr="009053A2">
          <w:rPr>
            <w:rStyle w:val="Hipervnculo"/>
            <w:rFonts w:eastAsia="Arial" w:cstheme="minorHAnsi"/>
            <w:i/>
            <w:color w:val="000000" w:themeColor="text1"/>
            <w:sz w:val="24"/>
            <w:szCs w:val="24"/>
            <w:lang w:val="es-ES_tradnl"/>
          </w:rPr>
          <w:t>C-425</w:t>
        </w:r>
      </w:hyperlink>
      <w:r w:rsidRPr="009053A2">
        <w:rPr>
          <w:rFonts w:eastAsia="Arial" w:cstheme="minorHAnsi"/>
          <w:i/>
          <w:color w:val="000000" w:themeColor="text1"/>
          <w:sz w:val="24"/>
          <w:szCs w:val="24"/>
          <w:lang w:val="es-ES_tradnl"/>
        </w:rPr>
        <w:t xml:space="preserve"> de 2006 para el tercero civilmente responsable, la citación con que se convoque a la aseguradora, tendrá como finalidad primaria permitirle poder conocer el objeto del incidente en concreto, para así acudir a la audiencia de conciliación y en ella, o, ante su fracaso, en la actuación subsiguiente de que trata el art. 104, inc 1º infine, desarrollar todas las actuaciones derivadas de su derecho de defensa: Aceptar y/o proponer un acuerdo; o negarse a conciliar y controvertir pruebas, o aportar y solicitar las requeridas con las que desvirtuar la responsabilidad civil contractual endilgada o la existencia misma del contrato, o la calidad de beneficiario de la víctima, o la pretensión de ésta, del condenado o del tercero civilmente responsable, de que la reparación económica reclamada deba cubrirse con el riesgo amparado por seguro.”</w:t>
      </w:r>
    </w:p>
    <w:p w14:paraId="158FE877" w14:textId="77777777" w:rsidR="00A21806" w:rsidRPr="009053A2" w:rsidRDefault="00A21806" w:rsidP="009053A2">
      <w:pPr>
        <w:spacing w:line="276" w:lineRule="auto"/>
        <w:jc w:val="both"/>
        <w:rPr>
          <w:rFonts w:eastAsia="Arial" w:cstheme="minorHAnsi"/>
          <w:color w:val="000000" w:themeColor="text1"/>
          <w:sz w:val="24"/>
          <w:szCs w:val="24"/>
          <w:lang w:val="es-ES_tradnl"/>
        </w:rPr>
      </w:pPr>
    </w:p>
    <w:p w14:paraId="5B9F560F" w14:textId="77777777" w:rsidR="00433350" w:rsidRPr="009053A2" w:rsidRDefault="00A21806" w:rsidP="009053A2">
      <w:pPr>
        <w:tabs>
          <w:tab w:val="left" w:pos="3686"/>
        </w:tabs>
        <w:spacing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Por todo lo anterior, queda demostrado el deber imperante que tiene la aseguradora de participar activamente en la defensa en el presente asunto, toda vez que, ya decantada la responsabilidad penal por parte de</w:t>
      </w:r>
      <w:r w:rsidR="00433350" w:rsidRPr="009053A2">
        <w:rPr>
          <w:rFonts w:eastAsia="Arial" w:cstheme="minorHAnsi"/>
          <w:color w:val="000000" w:themeColor="text1"/>
          <w:sz w:val="24"/>
          <w:szCs w:val="24"/>
          <w:lang w:val="es-ES_tradnl"/>
        </w:rPr>
        <w:t xml:space="preserve"> la conductora responsable del accidente.</w:t>
      </w:r>
    </w:p>
    <w:p w14:paraId="7F7EC277" w14:textId="4F2F0409" w:rsidR="00433350" w:rsidRPr="009053A2" w:rsidRDefault="00433350" w:rsidP="009053A2">
      <w:pPr>
        <w:tabs>
          <w:tab w:val="left" w:pos="3686"/>
        </w:tabs>
        <w:spacing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Por otro lado, es importante analizar los elementos que vincularon a la aseguradora al presente asunto, siendo en este caso, un SOAT, el cual fue expedido a favor de la señora María Nancy González, propietaria de la motocicleta de placas PBD-15C, cuyos amparos no dan cobertura a los hechos materia de investigación.</w:t>
      </w:r>
    </w:p>
    <w:p w14:paraId="411388AB" w14:textId="7A94FC06" w:rsidR="00A21806" w:rsidRPr="009053A2" w:rsidRDefault="00A21806" w:rsidP="009053A2">
      <w:pPr>
        <w:pStyle w:val="Prrafodelista"/>
        <w:numPr>
          <w:ilvl w:val="0"/>
          <w:numId w:val="1"/>
        </w:numPr>
        <w:tabs>
          <w:tab w:val="left" w:pos="3686"/>
        </w:tabs>
        <w:spacing w:line="276" w:lineRule="auto"/>
        <w:jc w:val="both"/>
        <w:rPr>
          <w:rFonts w:cstheme="minorHAnsi"/>
          <w:b/>
          <w:bCs/>
          <w:color w:val="000000" w:themeColor="text1"/>
          <w:u w:val="single"/>
          <w:lang w:val="es-ES_tradnl"/>
        </w:rPr>
      </w:pPr>
      <w:r w:rsidRPr="009053A2">
        <w:rPr>
          <w:rFonts w:cstheme="minorHAnsi"/>
          <w:b/>
          <w:bCs/>
          <w:color w:val="000000" w:themeColor="text1"/>
          <w:u w:val="single"/>
          <w:lang w:val="es-ES_tradnl"/>
        </w:rPr>
        <w:t xml:space="preserve">ANÁLISIS FRENTE A LOS PERJUICIOS </w:t>
      </w:r>
    </w:p>
    <w:p w14:paraId="4F0663F9" w14:textId="4D58CC90" w:rsidR="009053A2" w:rsidRPr="009053A2" w:rsidRDefault="009053A2" w:rsidP="009053A2">
      <w:pPr>
        <w:tabs>
          <w:tab w:val="left" w:pos="3686"/>
        </w:tabs>
        <w:spacing w:line="276" w:lineRule="auto"/>
        <w:jc w:val="both"/>
        <w:rPr>
          <w:rFonts w:cstheme="minorHAnsi"/>
          <w:b/>
          <w:bCs/>
          <w:color w:val="000000" w:themeColor="text1"/>
          <w:sz w:val="24"/>
          <w:szCs w:val="24"/>
          <w:u w:val="single"/>
          <w:lang w:val="es-ES_tradnl"/>
        </w:rPr>
      </w:pPr>
    </w:p>
    <w:p w14:paraId="62AC923E" w14:textId="4DF76002" w:rsidR="009053A2" w:rsidRPr="009053A2" w:rsidRDefault="009053A2" w:rsidP="009053A2">
      <w:pPr>
        <w:tabs>
          <w:tab w:val="left" w:pos="3686"/>
        </w:tabs>
        <w:spacing w:line="276" w:lineRule="auto"/>
        <w:jc w:val="both"/>
        <w:rPr>
          <w:rFonts w:cstheme="minorHAnsi"/>
          <w:bCs/>
          <w:color w:val="000000" w:themeColor="text1"/>
          <w:sz w:val="24"/>
          <w:szCs w:val="24"/>
          <w:lang w:val="es-ES_tradnl"/>
        </w:rPr>
      </w:pPr>
      <w:r w:rsidRPr="009053A2">
        <w:rPr>
          <w:rFonts w:cstheme="minorHAnsi"/>
          <w:bCs/>
          <w:color w:val="000000" w:themeColor="text1"/>
          <w:sz w:val="24"/>
          <w:szCs w:val="24"/>
          <w:lang w:val="es-ES_tradnl"/>
        </w:rPr>
        <w:t xml:space="preserve">Teniendo en cuenta los elementos materiales probatorios aportados en la demanda de incidente de reparación integral, y los precedentes jurisprudenciales en los cuales los jueces penales fundamentan sus decisiones, en esta clase de procesos, consideramos como liquidación objetivada, la suma de </w:t>
      </w:r>
      <w:r w:rsidRPr="009053A2">
        <w:rPr>
          <w:rFonts w:cstheme="minorHAnsi"/>
          <w:b/>
          <w:bCs/>
          <w:color w:val="000000" w:themeColor="text1"/>
          <w:sz w:val="24"/>
          <w:szCs w:val="24"/>
          <w:lang w:val="es-ES_tradnl"/>
        </w:rPr>
        <w:t>$</w:t>
      </w:r>
      <w:r w:rsidRPr="009053A2">
        <w:rPr>
          <w:rFonts w:cstheme="minorHAnsi"/>
          <w:b/>
          <w:color w:val="000000" w:themeColor="text1"/>
          <w:sz w:val="24"/>
          <w:szCs w:val="24"/>
          <w:lang w:val="es-ES_tradnl"/>
        </w:rPr>
        <w:t>128.086.703</w:t>
      </w:r>
      <w:r w:rsidRPr="009053A2">
        <w:rPr>
          <w:rFonts w:cstheme="minorHAnsi"/>
          <w:color w:val="000000" w:themeColor="text1"/>
          <w:sz w:val="24"/>
          <w:szCs w:val="24"/>
          <w:lang w:val="es-ES_tradnl"/>
        </w:rPr>
        <w:t>, la cual obtenemos de la siguiente manera:</w:t>
      </w:r>
    </w:p>
    <w:p w14:paraId="46E5152B" w14:textId="63174E1F" w:rsidR="002E4879" w:rsidRPr="009053A2" w:rsidRDefault="00A21806" w:rsidP="009053A2">
      <w:pPr>
        <w:numPr>
          <w:ilvl w:val="0"/>
          <w:numId w:val="2"/>
        </w:numPr>
        <w:spacing w:before="240" w:after="0" w:line="276" w:lineRule="auto"/>
        <w:ind w:left="708"/>
        <w:jc w:val="both"/>
        <w:rPr>
          <w:rFonts w:cstheme="minorHAnsi"/>
          <w:iCs/>
          <w:color w:val="000000" w:themeColor="text1"/>
          <w:sz w:val="24"/>
          <w:szCs w:val="24"/>
          <w:lang w:val="es-ES_tradnl"/>
        </w:rPr>
      </w:pPr>
      <w:r w:rsidRPr="009053A2">
        <w:rPr>
          <w:rFonts w:cstheme="minorHAnsi"/>
          <w:b/>
          <w:bCs/>
          <w:color w:val="000000" w:themeColor="text1"/>
          <w:sz w:val="24"/>
          <w:szCs w:val="24"/>
          <w:lang w:val="es-ES_tradnl"/>
        </w:rPr>
        <w:t>Frente a los perjuicios morales.</w:t>
      </w:r>
    </w:p>
    <w:p w14:paraId="101CDE8C" w14:textId="77777777" w:rsidR="00433350" w:rsidRPr="009053A2" w:rsidRDefault="00433350" w:rsidP="009053A2">
      <w:pPr>
        <w:spacing w:before="240" w:after="0" w:line="276" w:lineRule="auto"/>
        <w:ind w:left="708"/>
        <w:jc w:val="both"/>
        <w:rPr>
          <w:rFonts w:cstheme="minorHAnsi"/>
          <w:iCs/>
          <w:color w:val="000000" w:themeColor="text1"/>
          <w:sz w:val="24"/>
          <w:szCs w:val="24"/>
          <w:lang w:val="es-ES_tradnl"/>
        </w:rPr>
      </w:pPr>
    </w:p>
    <w:p w14:paraId="4868D94C" w14:textId="6D39C998" w:rsidR="000D70C6" w:rsidRPr="009053A2" w:rsidRDefault="00301F4C" w:rsidP="009053A2">
      <w:pPr>
        <w:spacing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 xml:space="preserve">Se establece la suma de </w:t>
      </w:r>
      <w:r w:rsidR="000D70C6" w:rsidRPr="009053A2">
        <w:rPr>
          <w:rFonts w:eastAsia="Arial" w:cstheme="minorHAnsi"/>
          <w:color w:val="000000" w:themeColor="text1"/>
          <w:sz w:val="24"/>
          <w:szCs w:val="24"/>
          <w:lang w:val="es-ES_tradnl"/>
        </w:rPr>
        <w:t>40 SMLMV, lo que a la fecha equivale a la suma de $46.400.000, llegando a este monto con base en lo siguiente.</w:t>
      </w:r>
    </w:p>
    <w:p w14:paraId="7E3A75CF" w14:textId="43705B3C" w:rsidR="00A21806" w:rsidRPr="009053A2" w:rsidRDefault="00A21806" w:rsidP="009053A2">
      <w:pPr>
        <w:spacing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 xml:space="preserve">En cuanto a la cuantificación de ese daño, expresa que el juez debe acudir al arbitrio judicial para que conforme a los hechos y circunstancias particulares probados en el caso establezca </w:t>
      </w:r>
      <w:r w:rsidRPr="009053A2">
        <w:rPr>
          <w:rFonts w:eastAsia="Arial" w:cstheme="minorHAnsi"/>
          <w:color w:val="000000" w:themeColor="text1"/>
          <w:sz w:val="24"/>
          <w:szCs w:val="24"/>
          <w:lang w:val="es-ES_tradnl"/>
        </w:rPr>
        <w:lastRenderedPageBreak/>
        <w:t xml:space="preserve">la cuantía. Esas especificidades tienen que ver con, entre otras cosas, </w:t>
      </w:r>
      <w:r w:rsidR="00433350" w:rsidRPr="009053A2">
        <w:rPr>
          <w:rFonts w:eastAsia="Arial" w:cstheme="minorHAnsi"/>
          <w:color w:val="000000" w:themeColor="text1"/>
          <w:sz w:val="24"/>
          <w:szCs w:val="24"/>
          <w:lang w:val="es-ES_tradnl"/>
        </w:rPr>
        <w:t>la gravedad de</w:t>
      </w:r>
      <w:r w:rsidRPr="009053A2">
        <w:rPr>
          <w:rFonts w:eastAsia="Arial" w:cstheme="minorHAnsi"/>
          <w:color w:val="000000" w:themeColor="text1"/>
          <w:sz w:val="24"/>
          <w:szCs w:val="24"/>
          <w:lang w:val="es-ES_tradnl"/>
        </w:rPr>
        <w:t xml:space="preserve"> la persona que reclama el daño y su afectación.</w:t>
      </w:r>
    </w:p>
    <w:p w14:paraId="0EF453A3" w14:textId="02BF9377" w:rsidR="00A21806" w:rsidRPr="009053A2" w:rsidRDefault="00A21806" w:rsidP="009053A2">
      <w:pPr>
        <w:spacing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 xml:space="preserve">Concluye que quien pretende reclamar la indemnización por daño moral deberá demostrar plenamente (i) la existencia del evento lesivo (hecho), (ii) la relación del evento lesivo con alguna conducta del supuesto autor (nexo de causalidad) y, (iii) el parentesco y vínculo estrecho con la víctima directa del daño y la intensidad de la afectación sufrida (daño). </w:t>
      </w:r>
    </w:p>
    <w:p w14:paraId="09296453" w14:textId="4E91F84A" w:rsidR="00A21806" w:rsidRPr="009053A2" w:rsidRDefault="00A21806" w:rsidP="009053A2">
      <w:pPr>
        <w:spacing w:line="276" w:lineRule="auto"/>
        <w:jc w:val="both"/>
        <w:rPr>
          <w:rFonts w:eastAsia="Arial" w:cstheme="minorHAnsi"/>
          <w:i/>
          <w:color w:val="000000" w:themeColor="text1"/>
          <w:sz w:val="24"/>
          <w:szCs w:val="24"/>
          <w:lang w:val="es-ES_tradnl"/>
        </w:rPr>
      </w:pPr>
      <w:r w:rsidRPr="009053A2">
        <w:rPr>
          <w:rFonts w:eastAsia="Arial" w:cstheme="minorHAnsi"/>
          <w:color w:val="000000" w:themeColor="text1"/>
          <w:sz w:val="24"/>
          <w:szCs w:val="24"/>
          <w:lang w:val="es-ES_tradnl"/>
        </w:rPr>
        <w:t xml:space="preserve">Ahora bien, en sentencia 665 de 2019 La Corte Suprema de Justicia manifiesta que el daño moral se ubica en lo más íntimo del ser humano, y por tanto resulta inestimable en términos económicos, sin embargo, la sala ha sostenido que solo a manera de relativa satisfacción es factible establecer su </w:t>
      </w:r>
      <w:r w:rsidRPr="009053A2">
        <w:rPr>
          <w:rFonts w:eastAsia="Arial" w:cstheme="minorHAnsi"/>
          <w:i/>
          <w:color w:val="000000" w:themeColor="text1"/>
          <w:sz w:val="24"/>
          <w:szCs w:val="24"/>
          <w:lang w:val="es-ES_tradnl"/>
        </w:rPr>
        <w:t>quantum</w:t>
      </w:r>
      <w:r w:rsidRPr="009053A2">
        <w:rPr>
          <w:rFonts w:eastAsia="Arial" w:cstheme="minorHAnsi"/>
          <w:color w:val="000000" w:themeColor="text1"/>
          <w:sz w:val="24"/>
          <w:szCs w:val="24"/>
          <w:lang w:val="es-ES_tradnl"/>
        </w:rPr>
        <w:t xml:space="preserve"> “ </w:t>
      </w:r>
      <w:r w:rsidRPr="009053A2">
        <w:rPr>
          <w:rFonts w:eastAsia="Arial" w:cstheme="minorHAnsi"/>
          <w:i/>
          <w:color w:val="000000" w:themeColor="text1"/>
          <w:sz w:val="24"/>
          <w:szCs w:val="24"/>
          <w:lang w:val="es-ES_tradnl"/>
        </w:rPr>
        <w:t xml:space="preserve">en el marco fáctico de circunstancias, condiciones de modo, tiempo y lugar de los hechos, situación o posición de la víctima y de los perjudicados, intensidad de la lesión a los sentimientos, dolor, aflicción o pesadumbre, y demás factores incidentes conforme al arbitrio judicial ponderado del fallador”. </w:t>
      </w:r>
      <w:r w:rsidRPr="009053A2">
        <w:rPr>
          <w:rFonts w:eastAsia="Arial" w:cstheme="minorHAnsi"/>
          <w:i/>
          <w:color w:val="000000" w:themeColor="text1"/>
          <w:sz w:val="24"/>
          <w:szCs w:val="24"/>
          <w:vertAlign w:val="superscript"/>
          <w:lang w:val="es-ES_tradnl"/>
        </w:rPr>
        <w:footnoteReference w:id="1"/>
      </w:r>
      <w:r w:rsidRPr="009053A2">
        <w:rPr>
          <w:rFonts w:eastAsia="Arial" w:cstheme="minorHAnsi"/>
          <w:i/>
          <w:color w:val="000000" w:themeColor="text1"/>
          <w:sz w:val="24"/>
          <w:szCs w:val="24"/>
          <w:lang w:val="es-ES_tradnl"/>
        </w:rPr>
        <w:t xml:space="preserve"> </w:t>
      </w:r>
    </w:p>
    <w:p w14:paraId="0DD72A1E" w14:textId="50EF12D6" w:rsidR="00A21806" w:rsidRPr="009053A2" w:rsidRDefault="00A21806" w:rsidP="009053A2">
      <w:pPr>
        <w:tabs>
          <w:tab w:val="left" w:pos="3686"/>
        </w:tabs>
        <w:spacing w:line="276" w:lineRule="auto"/>
        <w:jc w:val="both"/>
        <w:rPr>
          <w:rFonts w:cstheme="minorHAnsi"/>
          <w:color w:val="000000" w:themeColor="text1"/>
          <w:sz w:val="24"/>
          <w:szCs w:val="24"/>
          <w:shd w:val="clear" w:color="auto" w:fill="FFFFFF"/>
          <w:lang w:val="es-ES_tradnl"/>
        </w:rPr>
      </w:pPr>
      <w:r w:rsidRPr="009053A2">
        <w:rPr>
          <w:rFonts w:cstheme="minorHAnsi"/>
          <w:color w:val="000000" w:themeColor="text1"/>
          <w:sz w:val="24"/>
          <w:szCs w:val="24"/>
          <w:lang w:val="es-ES_tradnl"/>
        </w:rPr>
        <w:t>Se estima el daño moral teniendo en cuenta de forma análoga, las diferentes jurisprudencias de la Corte Suprema de Justicia Sala Civil y el acta del 28 de agosto de 2014 del Consejo de Estado, en el cual se liquida el perjuicio moral en el caso de lesiones. El monto se toma con base en que los daños reclamados son transitorios y no hay dictamen de pérdida de capacidad laboral.</w:t>
      </w:r>
    </w:p>
    <w:p w14:paraId="0B0340B3" w14:textId="7D4A08D9" w:rsidR="00A21806" w:rsidRPr="009053A2" w:rsidRDefault="00A21806" w:rsidP="009053A2">
      <w:pPr>
        <w:tabs>
          <w:tab w:val="left" w:pos="3686"/>
        </w:tabs>
        <w:spacing w:line="276" w:lineRule="auto"/>
        <w:jc w:val="both"/>
        <w:rPr>
          <w:rFonts w:cstheme="minorHAnsi"/>
          <w:color w:val="000000" w:themeColor="text1"/>
          <w:sz w:val="24"/>
          <w:szCs w:val="24"/>
          <w:lang w:val="es-ES_tradnl"/>
        </w:rPr>
      </w:pPr>
      <w:r w:rsidRPr="009053A2">
        <w:rPr>
          <w:rFonts w:cstheme="minorHAnsi"/>
          <w:color w:val="000000" w:themeColor="text1"/>
          <w:sz w:val="24"/>
          <w:szCs w:val="24"/>
          <w:shd w:val="clear" w:color="auto" w:fill="FFFFFF"/>
          <w:lang w:val="es-ES_tradnl"/>
        </w:rPr>
        <w:t xml:space="preserve">El Consejo de Estado, en acta del 28 de agosto de 2014, ajusta el monto, en caso de lesiones personales en </w:t>
      </w:r>
      <w:r w:rsidR="00433350" w:rsidRPr="009053A2">
        <w:rPr>
          <w:rFonts w:cstheme="minorHAnsi"/>
          <w:color w:val="000000" w:themeColor="text1"/>
          <w:sz w:val="24"/>
          <w:szCs w:val="24"/>
          <w:shd w:val="clear" w:color="auto" w:fill="FFFFFF"/>
          <w:lang w:val="es-ES_tradnl"/>
        </w:rPr>
        <w:t>4</w:t>
      </w:r>
      <w:r w:rsidRPr="009053A2">
        <w:rPr>
          <w:rFonts w:cstheme="minorHAnsi"/>
          <w:color w:val="000000" w:themeColor="text1"/>
          <w:sz w:val="24"/>
          <w:szCs w:val="24"/>
          <w:shd w:val="clear" w:color="auto" w:fill="FFFFFF"/>
          <w:lang w:val="es-ES_tradnl"/>
        </w:rPr>
        <w:t xml:space="preserve">0 salarios mínimos legales, cuando la pérdida de capacidad laboral está entre </w:t>
      </w:r>
      <w:r w:rsidR="00433350" w:rsidRPr="009053A2">
        <w:rPr>
          <w:rFonts w:cstheme="minorHAnsi"/>
          <w:color w:val="000000" w:themeColor="text1"/>
          <w:sz w:val="24"/>
          <w:szCs w:val="24"/>
          <w:shd w:val="clear" w:color="auto" w:fill="FFFFFF"/>
          <w:lang w:val="es-ES_tradnl"/>
        </w:rPr>
        <w:t>2</w:t>
      </w:r>
      <w:r w:rsidR="00855AA6" w:rsidRPr="009053A2">
        <w:rPr>
          <w:rFonts w:cstheme="minorHAnsi"/>
          <w:color w:val="000000" w:themeColor="text1"/>
          <w:sz w:val="24"/>
          <w:szCs w:val="24"/>
          <w:shd w:val="clear" w:color="auto" w:fill="FFFFFF"/>
          <w:lang w:val="es-ES_tradnl"/>
        </w:rPr>
        <w:t>0</w:t>
      </w:r>
      <w:r w:rsidRPr="009053A2">
        <w:rPr>
          <w:rFonts w:cstheme="minorHAnsi"/>
          <w:color w:val="000000" w:themeColor="text1"/>
          <w:sz w:val="24"/>
          <w:szCs w:val="24"/>
          <w:shd w:val="clear" w:color="auto" w:fill="FFFFFF"/>
          <w:lang w:val="es-ES_tradnl"/>
        </w:rPr>
        <w:t xml:space="preserve">% al </w:t>
      </w:r>
      <w:r w:rsidR="00433350" w:rsidRPr="009053A2">
        <w:rPr>
          <w:rFonts w:cstheme="minorHAnsi"/>
          <w:color w:val="000000" w:themeColor="text1"/>
          <w:sz w:val="24"/>
          <w:szCs w:val="24"/>
          <w:shd w:val="clear" w:color="auto" w:fill="FFFFFF"/>
          <w:lang w:val="es-ES_tradnl"/>
        </w:rPr>
        <w:t>3</w:t>
      </w:r>
      <w:r w:rsidR="00855AA6" w:rsidRPr="009053A2">
        <w:rPr>
          <w:rFonts w:cstheme="minorHAnsi"/>
          <w:color w:val="000000" w:themeColor="text1"/>
          <w:sz w:val="24"/>
          <w:szCs w:val="24"/>
          <w:shd w:val="clear" w:color="auto" w:fill="FFFFFF"/>
          <w:lang w:val="es-ES_tradnl"/>
        </w:rPr>
        <w:t>0</w:t>
      </w:r>
      <w:r w:rsidRPr="009053A2">
        <w:rPr>
          <w:rFonts w:cstheme="minorHAnsi"/>
          <w:color w:val="000000" w:themeColor="text1"/>
          <w:sz w:val="24"/>
          <w:szCs w:val="24"/>
          <w:shd w:val="clear" w:color="auto" w:fill="FFFFFF"/>
          <w:lang w:val="es-ES_tradnl"/>
        </w:rPr>
        <w:t xml:space="preserve">%. Se tiene en cuenta la postura del Consejo de Estado por ser el referente jurisprudencial más utilizado por los jueces penales en los incidentes de reparación integral, y se establece el monto de </w:t>
      </w:r>
      <w:r w:rsidR="00433350" w:rsidRPr="009053A2">
        <w:rPr>
          <w:rFonts w:cstheme="minorHAnsi"/>
          <w:color w:val="000000" w:themeColor="text1"/>
          <w:sz w:val="24"/>
          <w:szCs w:val="24"/>
          <w:shd w:val="clear" w:color="auto" w:fill="FFFFFF"/>
          <w:lang w:val="es-ES_tradnl"/>
        </w:rPr>
        <w:t>4</w:t>
      </w:r>
      <w:r w:rsidRPr="009053A2">
        <w:rPr>
          <w:rFonts w:cstheme="minorHAnsi"/>
          <w:color w:val="000000" w:themeColor="text1"/>
          <w:sz w:val="24"/>
          <w:szCs w:val="24"/>
          <w:shd w:val="clear" w:color="auto" w:fill="FFFFFF"/>
          <w:lang w:val="es-ES_tradnl"/>
        </w:rPr>
        <w:t>0 salarios mínimos legales</w:t>
      </w:r>
      <w:r w:rsidR="00855AA6" w:rsidRPr="009053A2">
        <w:rPr>
          <w:rFonts w:cstheme="minorHAnsi"/>
          <w:color w:val="000000" w:themeColor="text1"/>
          <w:sz w:val="24"/>
          <w:szCs w:val="24"/>
          <w:shd w:val="clear" w:color="auto" w:fill="FFFFFF"/>
          <w:lang w:val="es-ES_tradnl"/>
        </w:rPr>
        <w:t>, de conformidad con la valoración de</w:t>
      </w:r>
      <w:r w:rsidRPr="009053A2">
        <w:rPr>
          <w:rFonts w:cstheme="minorHAnsi"/>
          <w:color w:val="000000" w:themeColor="text1"/>
          <w:sz w:val="24"/>
          <w:szCs w:val="24"/>
          <w:shd w:val="clear" w:color="auto" w:fill="FFFFFF"/>
          <w:lang w:val="es-ES_tradnl"/>
        </w:rPr>
        <w:t xml:space="preserve"> pérdida de capacidad laboral. </w:t>
      </w:r>
    </w:p>
    <w:p w14:paraId="16D5BD24" w14:textId="748F367C" w:rsidR="00A21806" w:rsidRPr="009053A2" w:rsidRDefault="00A21806" w:rsidP="009053A2">
      <w:pPr>
        <w:tabs>
          <w:tab w:val="left" w:pos="3686"/>
        </w:tabs>
        <w:spacing w:line="276" w:lineRule="auto"/>
        <w:jc w:val="both"/>
        <w:rPr>
          <w:rFonts w:cstheme="minorHAnsi"/>
          <w:color w:val="000000" w:themeColor="text1"/>
          <w:sz w:val="24"/>
          <w:szCs w:val="24"/>
          <w:lang w:val="es-ES_tradnl"/>
        </w:rPr>
      </w:pPr>
      <w:r w:rsidRPr="009053A2">
        <w:rPr>
          <w:rFonts w:cstheme="minorHAnsi"/>
          <w:color w:val="000000" w:themeColor="text1"/>
          <w:sz w:val="24"/>
          <w:szCs w:val="24"/>
          <w:lang w:val="es-ES_tradnl"/>
        </w:rPr>
        <w:t>Es de aclarar que en materia penal, la regulación normativa referente a la indemnización por daños se encuentra contenida en el artículo 97 del Código Penal, en donde se indica que la indemnización puede alcanzar hasta 1000 salarios mínimos legales mensuales, teniendo en cuenta factores como la naturaleza de la conducta y la magnitud del daño causado</w:t>
      </w:r>
      <w:r w:rsidR="00433350" w:rsidRPr="009053A2">
        <w:rPr>
          <w:rFonts w:cstheme="minorHAnsi"/>
          <w:color w:val="000000" w:themeColor="text1"/>
          <w:sz w:val="24"/>
          <w:szCs w:val="24"/>
          <w:lang w:val="es-ES_tradnl"/>
        </w:rPr>
        <w:t>, y tal como e indicó, su reconocimiento corresponde al arbitrio del Juez</w:t>
      </w:r>
      <w:r w:rsidR="00301F4C" w:rsidRPr="009053A2">
        <w:rPr>
          <w:rFonts w:cstheme="minorHAnsi"/>
          <w:color w:val="000000" w:themeColor="text1"/>
          <w:sz w:val="24"/>
          <w:szCs w:val="24"/>
          <w:lang w:val="es-ES_tradnl"/>
        </w:rPr>
        <w:t>, y basta con que el incidentante, haya  manifestado su pretensión sin establecer su cuantía.</w:t>
      </w:r>
    </w:p>
    <w:p w14:paraId="20C5C4B4" w14:textId="77777777" w:rsidR="00A21806" w:rsidRPr="009053A2" w:rsidRDefault="00A21806" w:rsidP="009053A2">
      <w:pPr>
        <w:numPr>
          <w:ilvl w:val="0"/>
          <w:numId w:val="2"/>
        </w:numPr>
        <w:spacing w:before="240" w:after="0" w:line="276" w:lineRule="auto"/>
        <w:jc w:val="both"/>
        <w:rPr>
          <w:rFonts w:cstheme="minorHAnsi"/>
          <w:b/>
          <w:bCs/>
          <w:color w:val="000000" w:themeColor="text1"/>
          <w:sz w:val="24"/>
          <w:szCs w:val="24"/>
          <w:u w:val="single"/>
          <w:lang w:val="es-ES_tradnl"/>
        </w:rPr>
      </w:pPr>
      <w:r w:rsidRPr="009053A2">
        <w:rPr>
          <w:rFonts w:cstheme="minorHAnsi"/>
          <w:b/>
          <w:bCs/>
          <w:color w:val="000000" w:themeColor="text1"/>
          <w:sz w:val="24"/>
          <w:szCs w:val="24"/>
          <w:lang w:val="es-ES_tradnl"/>
        </w:rPr>
        <w:t>Frente al lucro cesante</w:t>
      </w:r>
    </w:p>
    <w:p w14:paraId="2B911739" w14:textId="5CF7BFFB" w:rsidR="00A21806" w:rsidRPr="009053A2" w:rsidRDefault="00A21806" w:rsidP="009053A2">
      <w:pPr>
        <w:spacing w:after="200" w:line="276" w:lineRule="auto"/>
        <w:jc w:val="both"/>
        <w:rPr>
          <w:rFonts w:eastAsia="Arial" w:cstheme="minorHAnsi"/>
          <w:color w:val="000000" w:themeColor="text1"/>
          <w:sz w:val="24"/>
          <w:szCs w:val="24"/>
          <w:lang w:val="es-ES_tradnl"/>
        </w:rPr>
      </w:pPr>
    </w:p>
    <w:p w14:paraId="278CF273" w14:textId="6A80EF47" w:rsidR="000D70C6" w:rsidRPr="009053A2" w:rsidRDefault="000D70C6" w:rsidP="009053A2">
      <w:pPr>
        <w:spacing w:after="200"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 xml:space="preserve">Se tomará como lucro cesante, lo pretendido por el incidentalista, por cuanto la liquidación objetivada es superior a la liquidación presentada en la demanda, con base en que el Juez, en este proceso, no tiene facultades </w:t>
      </w:r>
      <w:r w:rsidRPr="009053A2">
        <w:rPr>
          <w:rFonts w:eastAsia="Arial" w:cstheme="minorHAnsi"/>
          <w:i/>
          <w:color w:val="000000" w:themeColor="text1"/>
          <w:sz w:val="24"/>
          <w:szCs w:val="24"/>
          <w:lang w:val="es-ES_tradnl"/>
        </w:rPr>
        <w:t>ultra petita</w:t>
      </w:r>
      <w:r w:rsidRPr="009053A2">
        <w:rPr>
          <w:rFonts w:eastAsia="Arial" w:cstheme="minorHAnsi"/>
          <w:color w:val="000000" w:themeColor="text1"/>
          <w:sz w:val="24"/>
          <w:szCs w:val="24"/>
          <w:lang w:val="es-ES_tradnl"/>
        </w:rPr>
        <w:t xml:space="preserve"> ni </w:t>
      </w:r>
      <w:r w:rsidRPr="009053A2">
        <w:rPr>
          <w:rFonts w:eastAsia="Arial" w:cstheme="minorHAnsi"/>
          <w:i/>
          <w:color w:val="000000" w:themeColor="text1"/>
          <w:sz w:val="24"/>
          <w:szCs w:val="24"/>
          <w:lang w:val="es-ES_tradnl"/>
        </w:rPr>
        <w:t>extra petita</w:t>
      </w:r>
      <w:r w:rsidR="001D56A6" w:rsidRPr="009053A2">
        <w:rPr>
          <w:rFonts w:eastAsia="Arial" w:cstheme="minorHAnsi"/>
          <w:i/>
          <w:color w:val="000000" w:themeColor="text1"/>
          <w:sz w:val="24"/>
          <w:szCs w:val="24"/>
          <w:lang w:val="es-ES_tradnl"/>
        </w:rPr>
        <w:t xml:space="preserve">, </w:t>
      </w:r>
      <w:r w:rsidR="001D56A6" w:rsidRPr="009053A2">
        <w:rPr>
          <w:rFonts w:eastAsia="Arial" w:cstheme="minorHAnsi"/>
          <w:color w:val="000000" w:themeColor="text1"/>
          <w:sz w:val="24"/>
          <w:szCs w:val="24"/>
          <w:lang w:val="es-ES_tradnl"/>
        </w:rPr>
        <w:t>esto es $81.686.703.</w:t>
      </w:r>
    </w:p>
    <w:p w14:paraId="0216FD31" w14:textId="46FBF939" w:rsidR="000D70C6" w:rsidRPr="009053A2" w:rsidRDefault="000D70C6" w:rsidP="009053A2">
      <w:pPr>
        <w:spacing w:after="200" w:line="276" w:lineRule="auto"/>
        <w:jc w:val="both"/>
        <w:rPr>
          <w:rFonts w:eastAsia="Arial" w:cstheme="minorHAnsi"/>
          <w:color w:val="000000" w:themeColor="text1"/>
          <w:sz w:val="24"/>
          <w:szCs w:val="24"/>
          <w:lang w:val="es-ES_tradnl"/>
        </w:rPr>
      </w:pPr>
    </w:p>
    <w:p w14:paraId="4B94D0EE" w14:textId="7A575840" w:rsidR="000D70C6" w:rsidRPr="009053A2" w:rsidRDefault="000D70C6" w:rsidP="009053A2">
      <w:pPr>
        <w:spacing w:after="200"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Para realizar la liquidación, contamos con la siguiente información.</w:t>
      </w:r>
    </w:p>
    <w:p w14:paraId="03E18B43" w14:textId="4B564D94" w:rsidR="000D70C6" w:rsidRPr="009053A2" w:rsidRDefault="000D70C6" w:rsidP="009053A2">
      <w:pPr>
        <w:pStyle w:val="Prrafodelista"/>
        <w:numPr>
          <w:ilvl w:val="0"/>
          <w:numId w:val="14"/>
        </w:numPr>
        <w:spacing w:after="200" w:line="276" w:lineRule="auto"/>
        <w:jc w:val="both"/>
        <w:rPr>
          <w:rFonts w:eastAsia="Arial" w:cstheme="minorHAnsi"/>
          <w:color w:val="000000" w:themeColor="text1"/>
          <w:lang w:val="es-ES_tradnl"/>
        </w:rPr>
      </w:pPr>
      <w:r w:rsidRPr="009053A2">
        <w:rPr>
          <w:rFonts w:eastAsia="Arial" w:cstheme="minorHAnsi"/>
          <w:color w:val="000000" w:themeColor="text1"/>
          <w:lang w:val="es-ES_tradnl"/>
        </w:rPr>
        <w:t>Fecha de nacimiento de la víctima: 4 de febrero de 1975.</w:t>
      </w:r>
    </w:p>
    <w:p w14:paraId="48EAFFB5" w14:textId="7FA33515" w:rsidR="000D70C6" w:rsidRPr="009053A2" w:rsidRDefault="000D70C6" w:rsidP="009053A2">
      <w:pPr>
        <w:pStyle w:val="Prrafodelista"/>
        <w:numPr>
          <w:ilvl w:val="0"/>
          <w:numId w:val="14"/>
        </w:numPr>
        <w:spacing w:after="200" w:line="276" w:lineRule="auto"/>
        <w:jc w:val="both"/>
        <w:rPr>
          <w:rFonts w:eastAsia="Arial" w:cstheme="minorHAnsi"/>
          <w:color w:val="000000" w:themeColor="text1"/>
          <w:lang w:val="es-ES_tradnl"/>
        </w:rPr>
      </w:pPr>
      <w:r w:rsidRPr="009053A2">
        <w:rPr>
          <w:rFonts w:eastAsia="Arial" w:cstheme="minorHAnsi"/>
          <w:color w:val="000000" w:themeColor="text1"/>
          <w:lang w:val="es-ES_tradnl"/>
        </w:rPr>
        <w:t>Fecha del accidente: 5 de mayo de 2015.</w:t>
      </w:r>
    </w:p>
    <w:p w14:paraId="3338517B" w14:textId="2EC71D6D" w:rsidR="000D70C6" w:rsidRPr="009053A2" w:rsidRDefault="000D70C6" w:rsidP="009053A2">
      <w:pPr>
        <w:pStyle w:val="Prrafodelista"/>
        <w:numPr>
          <w:ilvl w:val="0"/>
          <w:numId w:val="14"/>
        </w:numPr>
        <w:spacing w:after="200" w:line="276" w:lineRule="auto"/>
        <w:jc w:val="both"/>
        <w:rPr>
          <w:rFonts w:eastAsia="Arial" w:cstheme="minorHAnsi"/>
          <w:color w:val="000000" w:themeColor="text1"/>
          <w:lang w:val="es-ES_tradnl"/>
        </w:rPr>
      </w:pPr>
      <w:r w:rsidRPr="009053A2">
        <w:rPr>
          <w:rFonts w:eastAsia="Arial" w:cstheme="minorHAnsi"/>
          <w:color w:val="000000" w:themeColor="text1"/>
          <w:lang w:val="es-ES_tradnl"/>
        </w:rPr>
        <w:t>Días de incapacidad: 140</w:t>
      </w:r>
    </w:p>
    <w:p w14:paraId="54D0C4BB" w14:textId="7D24FF29" w:rsidR="000D70C6" w:rsidRPr="009053A2" w:rsidRDefault="000D70C6" w:rsidP="009053A2">
      <w:pPr>
        <w:pStyle w:val="Prrafodelista"/>
        <w:numPr>
          <w:ilvl w:val="0"/>
          <w:numId w:val="14"/>
        </w:numPr>
        <w:spacing w:after="200" w:line="276" w:lineRule="auto"/>
        <w:jc w:val="both"/>
        <w:rPr>
          <w:rFonts w:eastAsia="Arial" w:cstheme="minorHAnsi"/>
          <w:color w:val="000000" w:themeColor="text1"/>
          <w:lang w:val="es-ES_tradnl"/>
        </w:rPr>
      </w:pPr>
      <w:r w:rsidRPr="009053A2">
        <w:rPr>
          <w:rFonts w:eastAsia="Arial" w:cstheme="minorHAnsi"/>
          <w:color w:val="000000" w:themeColor="text1"/>
          <w:lang w:val="es-ES_tradnl"/>
        </w:rPr>
        <w:t>Salario de la víctima: Se toma el salario mínimo de la fecha.</w:t>
      </w:r>
    </w:p>
    <w:p w14:paraId="0F5DCE9E" w14:textId="6F3DAB84" w:rsidR="000D70C6" w:rsidRPr="009053A2" w:rsidRDefault="000D70C6" w:rsidP="009053A2">
      <w:pPr>
        <w:pStyle w:val="Prrafodelista"/>
        <w:numPr>
          <w:ilvl w:val="0"/>
          <w:numId w:val="14"/>
        </w:numPr>
        <w:spacing w:after="200" w:line="276" w:lineRule="auto"/>
        <w:jc w:val="both"/>
        <w:rPr>
          <w:rFonts w:eastAsia="Arial" w:cstheme="minorHAnsi"/>
          <w:color w:val="000000" w:themeColor="text1"/>
          <w:lang w:val="es-ES_tradnl"/>
        </w:rPr>
      </w:pPr>
      <w:r w:rsidRPr="009053A2">
        <w:rPr>
          <w:rFonts w:eastAsia="Arial" w:cstheme="minorHAnsi"/>
          <w:color w:val="000000" w:themeColor="text1"/>
          <w:lang w:val="es-ES_tradnl"/>
        </w:rPr>
        <w:t>Pérdida de capacidad laboral: 43,50</w:t>
      </w:r>
      <w:r w:rsidR="009053A2">
        <w:rPr>
          <w:rFonts w:eastAsia="Arial" w:cstheme="minorHAnsi"/>
          <w:color w:val="000000" w:themeColor="text1"/>
          <w:lang w:val="es-ES_tradnl"/>
        </w:rPr>
        <w:t>%</w:t>
      </w:r>
      <w:r w:rsidRPr="009053A2">
        <w:rPr>
          <w:rFonts w:eastAsia="Arial" w:cstheme="minorHAnsi"/>
          <w:color w:val="000000" w:themeColor="text1"/>
          <w:lang w:val="es-ES_tradnl"/>
        </w:rPr>
        <w:t>.</w:t>
      </w:r>
    </w:p>
    <w:p w14:paraId="283173D7" w14:textId="27C0BDFC" w:rsidR="000D70C6" w:rsidRPr="009053A2" w:rsidRDefault="000D70C6" w:rsidP="009053A2">
      <w:pPr>
        <w:spacing w:after="200" w:line="276" w:lineRule="auto"/>
        <w:jc w:val="both"/>
        <w:rPr>
          <w:rFonts w:eastAsia="Arial" w:cstheme="minorHAnsi"/>
          <w:color w:val="000000" w:themeColor="text1"/>
          <w:sz w:val="24"/>
          <w:szCs w:val="24"/>
          <w:lang w:val="es-ES_tradnl"/>
        </w:rPr>
      </w:pPr>
      <w:r w:rsidRPr="009053A2">
        <w:rPr>
          <w:rFonts w:eastAsia="Arial" w:cstheme="minorHAnsi"/>
          <w:color w:val="000000" w:themeColor="text1"/>
          <w:sz w:val="24"/>
          <w:szCs w:val="24"/>
          <w:lang w:val="es-ES_tradnl"/>
        </w:rPr>
        <w:t>Lo anterior nos arroja la siguiente información</w:t>
      </w:r>
    </w:p>
    <w:p w14:paraId="284528CA" w14:textId="761F6393" w:rsidR="000D70C6" w:rsidRPr="009053A2" w:rsidRDefault="000D70C6" w:rsidP="009053A2">
      <w:pPr>
        <w:pStyle w:val="Prrafodelista"/>
        <w:numPr>
          <w:ilvl w:val="0"/>
          <w:numId w:val="14"/>
        </w:numPr>
        <w:spacing w:after="200" w:line="276" w:lineRule="auto"/>
        <w:jc w:val="both"/>
        <w:rPr>
          <w:rFonts w:eastAsia="Arial" w:cstheme="minorHAnsi"/>
          <w:color w:val="000000" w:themeColor="text1"/>
          <w:lang w:val="es-ES_tradnl"/>
        </w:rPr>
      </w:pPr>
      <w:r w:rsidRPr="009053A2">
        <w:rPr>
          <w:rFonts w:eastAsia="Arial" w:cstheme="minorHAnsi"/>
          <w:color w:val="000000" w:themeColor="text1"/>
          <w:lang w:val="es-ES_tradnl"/>
        </w:rPr>
        <w:t>Incapacidad: $3.006.966</w:t>
      </w:r>
      <w:r w:rsidR="001D56A6" w:rsidRPr="009053A2">
        <w:rPr>
          <w:rFonts w:eastAsia="Arial" w:cstheme="minorHAnsi"/>
          <w:color w:val="000000" w:themeColor="text1"/>
          <w:lang w:val="es-ES_tradnl"/>
        </w:rPr>
        <w:t xml:space="preserve"> – Valor pretendido: $3.645.796</w:t>
      </w:r>
    </w:p>
    <w:p w14:paraId="4FA05EBA" w14:textId="509774A9" w:rsidR="001D56A6" w:rsidRPr="009053A2" w:rsidRDefault="001D56A6" w:rsidP="009053A2">
      <w:pPr>
        <w:pStyle w:val="Prrafodelista"/>
        <w:numPr>
          <w:ilvl w:val="0"/>
          <w:numId w:val="14"/>
        </w:numPr>
        <w:spacing w:after="200" w:line="276" w:lineRule="auto"/>
        <w:jc w:val="both"/>
        <w:rPr>
          <w:rFonts w:eastAsia="Arial" w:cstheme="minorHAnsi"/>
          <w:color w:val="000000" w:themeColor="text1"/>
          <w:lang w:val="es-ES_tradnl"/>
        </w:rPr>
      </w:pPr>
      <w:r w:rsidRPr="009053A2">
        <w:rPr>
          <w:rFonts w:eastAsia="Arial" w:cstheme="minorHAnsi"/>
          <w:color w:val="000000" w:themeColor="text1"/>
          <w:lang w:val="es-ES_tradnl"/>
        </w:rPr>
        <w:t>Lucro cesante consolidado: $68.895.309 – Valor pretendido: $15.379.661</w:t>
      </w:r>
    </w:p>
    <w:p w14:paraId="3E750F0B" w14:textId="17D9D6B9" w:rsidR="001D56A6" w:rsidRPr="009053A2" w:rsidRDefault="001D56A6" w:rsidP="009053A2">
      <w:pPr>
        <w:pStyle w:val="Prrafodelista"/>
        <w:numPr>
          <w:ilvl w:val="0"/>
          <w:numId w:val="14"/>
        </w:numPr>
        <w:spacing w:after="200" w:line="276" w:lineRule="auto"/>
        <w:jc w:val="both"/>
        <w:rPr>
          <w:rFonts w:eastAsia="Arial" w:cstheme="minorHAnsi"/>
          <w:color w:val="000000" w:themeColor="text1"/>
          <w:lang w:val="es-ES_tradnl"/>
        </w:rPr>
      </w:pPr>
      <w:r w:rsidRPr="009053A2">
        <w:rPr>
          <w:rFonts w:eastAsia="Arial" w:cstheme="minorHAnsi"/>
          <w:color w:val="000000" w:themeColor="text1"/>
          <w:lang w:val="es-ES_tradnl"/>
        </w:rPr>
        <w:t>Lucro cesante futuro: $99.127.960 – valor pretendido: $63.300.076</w:t>
      </w:r>
    </w:p>
    <w:p w14:paraId="1B0F3001" w14:textId="77777777" w:rsidR="001D56A6" w:rsidRPr="009053A2" w:rsidRDefault="001D56A6" w:rsidP="009053A2">
      <w:pPr>
        <w:spacing w:after="200" w:line="276" w:lineRule="auto"/>
        <w:jc w:val="both"/>
        <w:rPr>
          <w:rFonts w:eastAsia="Arial" w:cstheme="minorHAnsi"/>
          <w:color w:val="000000" w:themeColor="text1"/>
          <w:sz w:val="24"/>
          <w:szCs w:val="24"/>
          <w:lang w:val="es-ES_tradnl"/>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7"/>
        <w:gridCol w:w="1393"/>
        <w:gridCol w:w="1701"/>
        <w:gridCol w:w="1838"/>
      </w:tblGrid>
      <w:tr w:rsidR="001D56A6" w:rsidRPr="009053A2" w14:paraId="303CE20B" w14:textId="77777777" w:rsidTr="001D56A6">
        <w:trPr>
          <w:trHeight w:val="300"/>
          <w:jc w:val="center"/>
        </w:trPr>
        <w:tc>
          <w:tcPr>
            <w:tcW w:w="1867" w:type="dxa"/>
            <w:shd w:val="clear" w:color="auto" w:fill="auto"/>
            <w:noWrap/>
            <w:vAlign w:val="center"/>
            <w:hideMark/>
          </w:tcPr>
          <w:p w14:paraId="7834B281" w14:textId="24E83503" w:rsidR="001D56A6" w:rsidRPr="009053A2" w:rsidRDefault="001D56A6" w:rsidP="009053A2">
            <w:pPr>
              <w:spacing w:line="276" w:lineRule="auto"/>
              <w:jc w:val="center"/>
              <w:rPr>
                <w:rFonts w:cstheme="minorHAnsi"/>
                <w:color w:val="000000" w:themeColor="text1"/>
                <w:sz w:val="24"/>
                <w:szCs w:val="24"/>
                <w:lang w:val="es-ES_tradnl"/>
              </w:rPr>
            </w:pPr>
          </w:p>
        </w:tc>
        <w:tc>
          <w:tcPr>
            <w:tcW w:w="1393" w:type="dxa"/>
            <w:shd w:val="clear" w:color="000000" w:fill="757171"/>
            <w:noWrap/>
            <w:vAlign w:val="center"/>
            <w:hideMark/>
          </w:tcPr>
          <w:p w14:paraId="18B10609" w14:textId="77777777" w:rsidR="001D56A6" w:rsidRPr="009053A2" w:rsidRDefault="001D56A6" w:rsidP="009053A2">
            <w:pPr>
              <w:spacing w:line="276" w:lineRule="auto"/>
              <w:jc w:val="center"/>
              <w:rPr>
                <w:rFonts w:cstheme="minorHAnsi"/>
                <w:b/>
                <w:bCs/>
                <w:color w:val="000000" w:themeColor="text1"/>
                <w:sz w:val="24"/>
                <w:szCs w:val="24"/>
                <w:lang w:val="es-ES_tradnl"/>
              </w:rPr>
            </w:pPr>
            <w:r w:rsidRPr="009053A2">
              <w:rPr>
                <w:rFonts w:cstheme="minorHAnsi"/>
                <w:b/>
                <w:bCs/>
                <w:color w:val="000000" w:themeColor="text1"/>
                <w:sz w:val="24"/>
                <w:szCs w:val="24"/>
                <w:lang w:val="es-ES_tradnl"/>
              </w:rPr>
              <w:t>Daño Moral</w:t>
            </w:r>
          </w:p>
        </w:tc>
        <w:tc>
          <w:tcPr>
            <w:tcW w:w="1701" w:type="dxa"/>
            <w:shd w:val="clear" w:color="000000" w:fill="757171"/>
            <w:vAlign w:val="center"/>
          </w:tcPr>
          <w:p w14:paraId="5A4154D2" w14:textId="77777777" w:rsidR="001D56A6" w:rsidRPr="009053A2" w:rsidRDefault="001D56A6" w:rsidP="009053A2">
            <w:pPr>
              <w:spacing w:line="276" w:lineRule="auto"/>
              <w:jc w:val="center"/>
              <w:rPr>
                <w:rFonts w:cstheme="minorHAnsi"/>
                <w:b/>
                <w:bCs/>
                <w:color w:val="000000" w:themeColor="text1"/>
                <w:sz w:val="24"/>
                <w:szCs w:val="24"/>
                <w:lang w:val="es-ES_tradnl"/>
              </w:rPr>
            </w:pPr>
            <w:r w:rsidRPr="009053A2">
              <w:rPr>
                <w:rFonts w:cstheme="minorHAnsi"/>
                <w:b/>
                <w:bCs/>
                <w:color w:val="000000" w:themeColor="text1"/>
                <w:sz w:val="24"/>
                <w:szCs w:val="24"/>
                <w:lang w:val="es-ES_tradnl"/>
              </w:rPr>
              <w:t>Lucro cesante</w:t>
            </w:r>
          </w:p>
        </w:tc>
        <w:tc>
          <w:tcPr>
            <w:tcW w:w="1838" w:type="dxa"/>
            <w:shd w:val="clear" w:color="000000" w:fill="757171"/>
            <w:noWrap/>
            <w:vAlign w:val="center"/>
            <w:hideMark/>
          </w:tcPr>
          <w:p w14:paraId="6A829FE4" w14:textId="77777777" w:rsidR="001D56A6" w:rsidRPr="009053A2" w:rsidRDefault="001D56A6" w:rsidP="009053A2">
            <w:pPr>
              <w:spacing w:line="276" w:lineRule="auto"/>
              <w:jc w:val="center"/>
              <w:rPr>
                <w:rFonts w:cstheme="minorHAnsi"/>
                <w:b/>
                <w:bCs/>
                <w:color w:val="000000" w:themeColor="text1"/>
                <w:sz w:val="24"/>
                <w:szCs w:val="24"/>
                <w:lang w:val="es-ES_tradnl"/>
              </w:rPr>
            </w:pPr>
            <w:r w:rsidRPr="009053A2">
              <w:rPr>
                <w:rFonts w:cstheme="minorHAnsi"/>
                <w:b/>
                <w:bCs/>
                <w:color w:val="000000" w:themeColor="text1"/>
                <w:sz w:val="24"/>
                <w:szCs w:val="24"/>
                <w:lang w:val="es-ES_tradnl"/>
              </w:rPr>
              <w:t>TOTAL</w:t>
            </w:r>
          </w:p>
        </w:tc>
      </w:tr>
      <w:tr w:rsidR="001D56A6" w:rsidRPr="009053A2" w14:paraId="0A65AA2E" w14:textId="77777777" w:rsidTr="001D56A6">
        <w:trPr>
          <w:trHeight w:val="300"/>
          <w:jc w:val="center"/>
        </w:trPr>
        <w:tc>
          <w:tcPr>
            <w:tcW w:w="1867" w:type="dxa"/>
            <w:shd w:val="clear" w:color="000000" w:fill="757171"/>
            <w:noWrap/>
            <w:vAlign w:val="center"/>
            <w:hideMark/>
          </w:tcPr>
          <w:p w14:paraId="2AB88F46" w14:textId="49FE4596" w:rsidR="001D56A6" w:rsidRPr="009053A2" w:rsidRDefault="001D56A6" w:rsidP="009053A2">
            <w:pPr>
              <w:spacing w:line="276" w:lineRule="auto"/>
              <w:jc w:val="center"/>
              <w:rPr>
                <w:rFonts w:cstheme="minorHAnsi"/>
                <w:b/>
                <w:bCs/>
                <w:color w:val="000000" w:themeColor="text1"/>
                <w:sz w:val="24"/>
                <w:szCs w:val="24"/>
                <w:lang w:val="es-ES_tradnl"/>
              </w:rPr>
            </w:pPr>
            <w:r w:rsidRPr="009053A2">
              <w:rPr>
                <w:rFonts w:cstheme="minorHAnsi"/>
                <w:b/>
                <w:bCs/>
                <w:color w:val="000000" w:themeColor="text1"/>
                <w:sz w:val="24"/>
                <w:szCs w:val="24"/>
                <w:lang w:val="es-ES_tradnl"/>
              </w:rPr>
              <w:t>María Nancy González</w:t>
            </w:r>
          </w:p>
        </w:tc>
        <w:tc>
          <w:tcPr>
            <w:tcW w:w="1393" w:type="dxa"/>
            <w:shd w:val="clear" w:color="auto" w:fill="auto"/>
            <w:noWrap/>
            <w:vAlign w:val="center"/>
            <w:hideMark/>
          </w:tcPr>
          <w:p w14:paraId="055D2AA7" w14:textId="77777777" w:rsidR="001D56A6" w:rsidRPr="009053A2" w:rsidRDefault="001D56A6" w:rsidP="009053A2">
            <w:pPr>
              <w:spacing w:line="276" w:lineRule="auto"/>
              <w:jc w:val="center"/>
              <w:rPr>
                <w:rFonts w:cstheme="minorHAnsi"/>
                <w:color w:val="000000" w:themeColor="text1"/>
                <w:sz w:val="24"/>
                <w:szCs w:val="24"/>
                <w:lang w:val="es-ES_tradnl"/>
              </w:rPr>
            </w:pPr>
          </w:p>
          <w:p w14:paraId="623A0150" w14:textId="6B4C93F8" w:rsidR="001D56A6" w:rsidRPr="009053A2" w:rsidRDefault="001D56A6" w:rsidP="009053A2">
            <w:pPr>
              <w:spacing w:line="276" w:lineRule="auto"/>
              <w:jc w:val="center"/>
              <w:rPr>
                <w:rFonts w:cstheme="minorHAnsi"/>
                <w:bCs/>
                <w:color w:val="000000" w:themeColor="text1"/>
                <w:sz w:val="24"/>
                <w:szCs w:val="24"/>
                <w:lang w:val="es-ES_tradnl" w:eastAsia="es-CO"/>
              </w:rPr>
            </w:pPr>
            <w:r w:rsidRPr="009053A2">
              <w:rPr>
                <w:rFonts w:cstheme="minorHAnsi"/>
                <w:bCs/>
                <w:color w:val="000000" w:themeColor="text1"/>
                <w:sz w:val="24"/>
                <w:szCs w:val="24"/>
                <w:lang w:val="es-ES_tradnl"/>
              </w:rPr>
              <w:t>$46.400.000</w:t>
            </w:r>
          </w:p>
        </w:tc>
        <w:tc>
          <w:tcPr>
            <w:tcW w:w="1701" w:type="dxa"/>
            <w:vAlign w:val="center"/>
          </w:tcPr>
          <w:p w14:paraId="66514030" w14:textId="77777777" w:rsidR="001D56A6" w:rsidRPr="009053A2" w:rsidRDefault="001D56A6" w:rsidP="009053A2">
            <w:pPr>
              <w:spacing w:line="276" w:lineRule="auto"/>
              <w:jc w:val="center"/>
              <w:rPr>
                <w:rFonts w:cstheme="minorHAnsi"/>
                <w:color w:val="000000" w:themeColor="text1"/>
                <w:sz w:val="24"/>
                <w:szCs w:val="24"/>
                <w:lang w:val="es-ES_tradnl"/>
              </w:rPr>
            </w:pPr>
          </w:p>
          <w:p w14:paraId="56186161" w14:textId="397E7FA3" w:rsidR="001D56A6" w:rsidRPr="009053A2" w:rsidRDefault="001D56A6" w:rsidP="009053A2">
            <w:pPr>
              <w:spacing w:line="276" w:lineRule="auto"/>
              <w:jc w:val="center"/>
              <w:rPr>
                <w:rFonts w:cstheme="minorHAnsi"/>
                <w:color w:val="000000" w:themeColor="text1"/>
                <w:sz w:val="24"/>
                <w:szCs w:val="24"/>
                <w:lang w:val="es-ES_tradnl"/>
              </w:rPr>
            </w:pPr>
            <w:r w:rsidRPr="009053A2">
              <w:rPr>
                <w:rFonts w:cstheme="minorHAnsi"/>
                <w:color w:val="000000" w:themeColor="text1"/>
                <w:sz w:val="24"/>
                <w:szCs w:val="24"/>
                <w:lang w:val="es-ES_tradnl"/>
              </w:rPr>
              <w:t>$81.686.703</w:t>
            </w:r>
          </w:p>
        </w:tc>
        <w:tc>
          <w:tcPr>
            <w:tcW w:w="1838" w:type="dxa"/>
            <w:shd w:val="clear" w:color="auto" w:fill="auto"/>
            <w:noWrap/>
            <w:vAlign w:val="center"/>
            <w:hideMark/>
          </w:tcPr>
          <w:p w14:paraId="082B90FB" w14:textId="2DF226BA" w:rsidR="001D56A6" w:rsidRPr="009053A2" w:rsidRDefault="001D56A6" w:rsidP="009053A2">
            <w:pPr>
              <w:spacing w:line="276" w:lineRule="auto"/>
              <w:jc w:val="center"/>
              <w:rPr>
                <w:rFonts w:cstheme="minorHAnsi"/>
                <w:color w:val="000000" w:themeColor="text1"/>
                <w:sz w:val="24"/>
                <w:szCs w:val="24"/>
                <w:lang w:val="es-ES_tradnl"/>
              </w:rPr>
            </w:pPr>
            <w:r w:rsidRPr="009053A2">
              <w:rPr>
                <w:rFonts w:cstheme="minorHAnsi"/>
                <w:color w:val="000000" w:themeColor="text1"/>
                <w:sz w:val="24"/>
                <w:szCs w:val="24"/>
                <w:lang w:val="es-ES_tradnl"/>
              </w:rPr>
              <w:t>$128.086.703</w:t>
            </w:r>
          </w:p>
        </w:tc>
      </w:tr>
    </w:tbl>
    <w:p w14:paraId="1F5A671C" w14:textId="77777777" w:rsidR="00A21806" w:rsidRPr="009053A2" w:rsidRDefault="00A21806" w:rsidP="009053A2">
      <w:pPr>
        <w:tabs>
          <w:tab w:val="left" w:pos="3686"/>
        </w:tabs>
        <w:spacing w:line="276" w:lineRule="auto"/>
        <w:jc w:val="both"/>
        <w:rPr>
          <w:rFonts w:cstheme="minorHAnsi"/>
          <w:color w:val="000000" w:themeColor="text1"/>
          <w:sz w:val="24"/>
          <w:szCs w:val="24"/>
          <w:lang w:val="es-ES_tradnl"/>
        </w:rPr>
      </w:pPr>
    </w:p>
    <w:p w14:paraId="2BEA2CD3" w14:textId="1129B06F" w:rsidR="00A21806" w:rsidRPr="009053A2" w:rsidRDefault="00A21806" w:rsidP="009053A2">
      <w:pPr>
        <w:tabs>
          <w:tab w:val="left" w:pos="3686"/>
        </w:tabs>
        <w:spacing w:line="276" w:lineRule="auto"/>
        <w:jc w:val="both"/>
        <w:rPr>
          <w:rFonts w:cstheme="minorHAnsi"/>
          <w:b/>
          <w:color w:val="000000" w:themeColor="text1"/>
          <w:sz w:val="24"/>
          <w:szCs w:val="24"/>
          <w:lang w:val="es-ES_tradnl"/>
        </w:rPr>
      </w:pPr>
      <w:r w:rsidRPr="009053A2">
        <w:rPr>
          <w:rFonts w:cstheme="minorHAnsi"/>
          <w:b/>
          <w:bCs/>
          <w:color w:val="000000" w:themeColor="text1"/>
          <w:sz w:val="24"/>
          <w:szCs w:val="24"/>
          <w:lang w:val="es-ES_tradnl"/>
        </w:rPr>
        <w:t>TOTAL PERJUICIOS OBJETIVADOS: $</w:t>
      </w:r>
      <w:r w:rsidR="001D56A6" w:rsidRPr="009053A2">
        <w:rPr>
          <w:rFonts w:cstheme="minorHAnsi"/>
          <w:b/>
          <w:color w:val="000000" w:themeColor="text1"/>
          <w:sz w:val="24"/>
          <w:szCs w:val="24"/>
          <w:lang w:val="es-ES_tradnl"/>
        </w:rPr>
        <w:t>128.086.703</w:t>
      </w:r>
    </w:p>
    <w:p w14:paraId="49D48F94" w14:textId="77777777" w:rsidR="00D226DD" w:rsidRPr="009053A2" w:rsidRDefault="00D226DD" w:rsidP="009053A2">
      <w:pPr>
        <w:tabs>
          <w:tab w:val="left" w:pos="3686"/>
        </w:tabs>
        <w:spacing w:line="276" w:lineRule="auto"/>
        <w:jc w:val="both"/>
        <w:rPr>
          <w:rFonts w:cstheme="minorHAnsi"/>
          <w:b/>
          <w:bCs/>
          <w:color w:val="000000" w:themeColor="text1"/>
          <w:sz w:val="24"/>
          <w:szCs w:val="24"/>
          <w:lang w:val="es-ES_tradnl"/>
        </w:rPr>
      </w:pPr>
    </w:p>
    <w:p w14:paraId="51C66E46" w14:textId="515CF2F7" w:rsidR="00A21806" w:rsidRPr="009053A2" w:rsidRDefault="00A21806" w:rsidP="009053A2">
      <w:pPr>
        <w:pStyle w:val="Prrafodelista"/>
        <w:numPr>
          <w:ilvl w:val="0"/>
          <w:numId w:val="1"/>
        </w:numPr>
        <w:tabs>
          <w:tab w:val="left" w:pos="3686"/>
        </w:tabs>
        <w:spacing w:line="276" w:lineRule="auto"/>
        <w:jc w:val="both"/>
        <w:rPr>
          <w:rFonts w:cstheme="minorHAnsi"/>
          <w:color w:val="000000" w:themeColor="text1"/>
          <w:lang w:val="es-ES_tradnl"/>
        </w:rPr>
      </w:pPr>
      <w:r w:rsidRPr="009053A2">
        <w:rPr>
          <w:rFonts w:cstheme="minorHAnsi"/>
          <w:b/>
          <w:bCs/>
          <w:color w:val="000000" w:themeColor="text1"/>
          <w:u w:val="single"/>
          <w:lang w:val="es-ES_tradnl"/>
        </w:rPr>
        <w:t>ANÁLISIS FRENTE A LA PÓLIZA</w:t>
      </w:r>
    </w:p>
    <w:p w14:paraId="4481422E" w14:textId="77777777" w:rsidR="00A21806" w:rsidRPr="009053A2" w:rsidRDefault="00A21806" w:rsidP="009053A2">
      <w:pPr>
        <w:tabs>
          <w:tab w:val="left" w:pos="3686"/>
        </w:tabs>
        <w:spacing w:line="276" w:lineRule="auto"/>
        <w:ind w:left="360"/>
        <w:jc w:val="both"/>
        <w:rPr>
          <w:rFonts w:cstheme="minorHAnsi"/>
          <w:color w:val="000000" w:themeColor="text1"/>
          <w:sz w:val="24"/>
          <w:szCs w:val="24"/>
          <w:lang w:val="es-ES_tradnl"/>
        </w:rPr>
      </w:pPr>
    </w:p>
    <w:p w14:paraId="2DD4B4E1" w14:textId="4FC1D4C0" w:rsidR="00A21806" w:rsidRPr="009053A2" w:rsidRDefault="00A21806" w:rsidP="009053A2">
      <w:pPr>
        <w:tabs>
          <w:tab w:val="left" w:pos="3686"/>
        </w:tabs>
        <w:spacing w:line="276" w:lineRule="auto"/>
        <w:jc w:val="both"/>
        <w:rPr>
          <w:rFonts w:cstheme="minorHAnsi"/>
          <w:color w:val="000000" w:themeColor="text1"/>
          <w:sz w:val="24"/>
          <w:szCs w:val="24"/>
          <w:lang w:val="es-ES_tradnl"/>
        </w:rPr>
      </w:pPr>
      <w:r w:rsidRPr="009053A2">
        <w:rPr>
          <w:rFonts w:cstheme="minorHAnsi"/>
          <w:color w:val="000000" w:themeColor="text1"/>
          <w:sz w:val="24"/>
          <w:szCs w:val="24"/>
          <w:lang w:val="es-ES_tradnl"/>
        </w:rPr>
        <w:t xml:space="preserve">La compañía en este caso funge como llamada en garantía, con fundamento en la Póliza de Seguro </w:t>
      </w:r>
      <w:r w:rsidR="009053A2">
        <w:rPr>
          <w:rFonts w:cstheme="minorHAnsi"/>
          <w:color w:val="000000" w:themeColor="text1"/>
          <w:sz w:val="24"/>
          <w:szCs w:val="24"/>
          <w:lang w:val="es-ES_tradnl"/>
        </w:rPr>
        <w:t>tipo</w:t>
      </w:r>
      <w:r w:rsidRPr="009053A2">
        <w:rPr>
          <w:rFonts w:cstheme="minorHAnsi"/>
          <w:color w:val="000000" w:themeColor="text1"/>
          <w:sz w:val="24"/>
          <w:szCs w:val="24"/>
          <w:lang w:val="es-ES_tradnl"/>
        </w:rPr>
        <w:t xml:space="preserve"> </w:t>
      </w:r>
      <w:r w:rsidR="009053A2">
        <w:rPr>
          <w:rFonts w:cstheme="minorHAnsi"/>
          <w:color w:val="000000" w:themeColor="text1"/>
          <w:sz w:val="24"/>
          <w:szCs w:val="24"/>
          <w:lang w:val="es-ES_tradnl"/>
        </w:rPr>
        <w:t>SOAT.</w:t>
      </w:r>
      <w:r w:rsidR="00386144" w:rsidRPr="009053A2">
        <w:rPr>
          <w:rFonts w:cstheme="minorHAnsi"/>
          <w:color w:val="000000" w:themeColor="text1"/>
          <w:sz w:val="24"/>
          <w:szCs w:val="24"/>
          <w:lang w:val="es-ES_tradnl"/>
        </w:rPr>
        <w:t xml:space="preserve"> </w:t>
      </w:r>
    </w:p>
    <w:p w14:paraId="34D247F0" w14:textId="04C121FF" w:rsidR="00A21806" w:rsidRPr="009053A2" w:rsidRDefault="00A21806" w:rsidP="009053A2">
      <w:pPr>
        <w:spacing w:line="276" w:lineRule="auto"/>
        <w:jc w:val="both"/>
        <w:rPr>
          <w:rFonts w:cstheme="minorHAnsi"/>
          <w:color w:val="000000" w:themeColor="text1"/>
          <w:sz w:val="24"/>
          <w:szCs w:val="24"/>
          <w:lang w:val="es-ES_tradnl"/>
        </w:rPr>
      </w:pPr>
      <w:r w:rsidRPr="009053A2">
        <w:rPr>
          <w:rFonts w:eastAsia="Arial" w:cstheme="minorHAnsi"/>
          <w:b/>
          <w:color w:val="000000" w:themeColor="text1"/>
          <w:sz w:val="24"/>
          <w:szCs w:val="24"/>
          <w:lang w:val="es-ES_tradnl"/>
        </w:rPr>
        <w:t>Tomador / Asegurado</w:t>
      </w:r>
      <w:r w:rsidRPr="009053A2">
        <w:rPr>
          <w:rFonts w:eastAsia="Arial" w:cstheme="minorHAnsi"/>
          <w:color w:val="000000" w:themeColor="text1"/>
          <w:sz w:val="24"/>
          <w:szCs w:val="24"/>
          <w:lang w:val="es-ES_tradnl"/>
        </w:rPr>
        <w:t xml:space="preserve">: </w:t>
      </w:r>
      <w:r w:rsidR="009053A2">
        <w:rPr>
          <w:rFonts w:cstheme="minorHAnsi"/>
          <w:color w:val="000000" w:themeColor="text1"/>
          <w:sz w:val="24"/>
          <w:szCs w:val="24"/>
          <w:lang w:val="es-ES_tradnl"/>
        </w:rPr>
        <w:t>María Nancy Gonzáles</w:t>
      </w:r>
    </w:p>
    <w:p w14:paraId="50E0F47B" w14:textId="1CC9DAE8" w:rsidR="006C73B9" w:rsidRPr="009053A2" w:rsidRDefault="009053A2" w:rsidP="009053A2">
      <w:pPr>
        <w:spacing w:line="276" w:lineRule="auto"/>
        <w:jc w:val="both"/>
        <w:rPr>
          <w:rFonts w:eastAsia="Arial" w:cstheme="minorHAnsi"/>
          <w:color w:val="000000" w:themeColor="text1"/>
          <w:sz w:val="24"/>
          <w:szCs w:val="24"/>
          <w:lang w:val="es-ES_tradnl"/>
        </w:rPr>
      </w:pPr>
      <w:r>
        <w:rPr>
          <w:rFonts w:cstheme="minorHAnsi"/>
          <w:b/>
          <w:bCs/>
          <w:color w:val="000000" w:themeColor="text1"/>
          <w:sz w:val="24"/>
          <w:szCs w:val="24"/>
          <w:lang w:val="es-ES_tradnl"/>
        </w:rPr>
        <w:t>Vehículo asegurado</w:t>
      </w:r>
      <w:r w:rsidR="006C73B9" w:rsidRPr="009053A2">
        <w:rPr>
          <w:rFonts w:cstheme="minorHAnsi"/>
          <w:b/>
          <w:bCs/>
          <w:color w:val="000000" w:themeColor="text1"/>
          <w:sz w:val="24"/>
          <w:szCs w:val="24"/>
          <w:lang w:val="es-ES_tradnl"/>
        </w:rPr>
        <w:t xml:space="preserve">: </w:t>
      </w:r>
      <w:r>
        <w:rPr>
          <w:rFonts w:cstheme="minorHAnsi"/>
          <w:color w:val="000000" w:themeColor="text1"/>
          <w:sz w:val="24"/>
          <w:szCs w:val="24"/>
          <w:lang w:val="es-ES_tradnl"/>
        </w:rPr>
        <w:t>Motocicleta particular de placas PBD15C</w:t>
      </w:r>
    </w:p>
    <w:p w14:paraId="6C967BBA" w14:textId="0B3E93B2" w:rsidR="00A21806" w:rsidRPr="009053A2" w:rsidRDefault="00A21806" w:rsidP="009053A2">
      <w:pPr>
        <w:spacing w:line="276" w:lineRule="auto"/>
        <w:jc w:val="both"/>
        <w:rPr>
          <w:rFonts w:eastAsia="Arial" w:cstheme="minorHAnsi"/>
          <w:color w:val="000000" w:themeColor="text1"/>
          <w:sz w:val="24"/>
          <w:szCs w:val="24"/>
          <w:lang w:val="es-ES_tradnl"/>
        </w:rPr>
      </w:pPr>
      <w:r w:rsidRPr="009053A2">
        <w:rPr>
          <w:rFonts w:eastAsia="Arial" w:cstheme="minorHAnsi"/>
          <w:b/>
          <w:color w:val="000000" w:themeColor="text1"/>
          <w:sz w:val="24"/>
          <w:szCs w:val="24"/>
          <w:lang w:val="es-ES_tradnl"/>
        </w:rPr>
        <w:lastRenderedPageBreak/>
        <w:t>Vigencia</w:t>
      </w:r>
      <w:r w:rsidRPr="009053A2">
        <w:rPr>
          <w:rFonts w:eastAsia="Arial" w:cstheme="minorHAnsi"/>
          <w:color w:val="000000" w:themeColor="text1"/>
          <w:sz w:val="24"/>
          <w:szCs w:val="24"/>
          <w:lang w:val="es-ES_tradnl"/>
        </w:rPr>
        <w:t xml:space="preserve">: </w:t>
      </w:r>
      <w:r w:rsidR="009053A2">
        <w:rPr>
          <w:rFonts w:eastAsia="Arial" w:cstheme="minorHAnsi"/>
          <w:color w:val="000000" w:themeColor="text1"/>
          <w:sz w:val="24"/>
          <w:szCs w:val="24"/>
          <w:lang w:val="es-ES_tradnl"/>
        </w:rPr>
        <w:t xml:space="preserve">24 de </w:t>
      </w:r>
      <w:r w:rsidR="00681526">
        <w:rPr>
          <w:rFonts w:eastAsia="Arial" w:cstheme="minorHAnsi"/>
          <w:color w:val="000000" w:themeColor="text1"/>
          <w:sz w:val="24"/>
          <w:szCs w:val="24"/>
          <w:lang w:val="es-ES_tradnl"/>
        </w:rPr>
        <w:t>e</w:t>
      </w:r>
      <w:r w:rsidR="009053A2">
        <w:rPr>
          <w:rFonts w:eastAsia="Arial" w:cstheme="minorHAnsi"/>
          <w:color w:val="000000" w:themeColor="text1"/>
          <w:sz w:val="24"/>
          <w:szCs w:val="24"/>
          <w:lang w:val="es-ES_tradnl"/>
        </w:rPr>
        <w:t>nero de 2015, hasta el 23 de enero de 2016</w:t>
      </w:r>
      <w:r w:rsidRPr="009053A2">
        <w:rPr>
          <w:rFonts w:eastAsia="Arial" w:cstheme="minorHAnsi"/>
          <w:color w:val="000000" w:themeColor="text1"/>
          <w:sz w:val="24"/>
          <w:szCs w:val="24"/>
          <w:lang w:val="es-ES_tradnl"/>
        </w:rPr>
        <w:t xml:space="preserve">. </w:t>
      </w:r>
    </w:p>
    <w:p w14:paraId="64158D20" w14:textId="413CA0FF" w:rsidR="00A21806" w:rsidRDefault="00A21806" w:rsidP="009053A2">
      <w:pPr>
        <w:spacing w:line="276" w:lineRule="auto"/>
        <w:jc w:val="both"/>
        <w:rPr>
          <w:rFonts w:eastAsia="Arial" w:cstheme="minorHAnsi"/>
          <w:color w:val="000000" w:themeColor="text1"/>
          <w:sz w:val="24"/>
          <w:szCs w:val="24"/>
          <w:lang w:val="es-ES_tradnl"/>
        </w:rPr>
      </w:pPr>
      <w:r w:rsidRPr="009053A2">
        <w:rPr>
          <w:rFonts w:eastAsia="Arial" w:cstheme="minorHAnsi"/>
          <w:b/>
          <w:color w:val="000000" w:themeColor="text1"/>
          <w:sz w:val="24"/>
          <w:szCs w:val="24"/>
          <w:lang w:val="es-ES_tradnl"/>
        </w:rPr>
        <w:t xml:space="preserve">Amparos </w:t>
      </w:r>
      <w:r w:rsidR="009053A2">
        <w:rPr>
          <w:rFonts w:eastAsia="Arial" w:cstheme="minorHAnsi"/>
          <w:b/>
          <w:color w:val="000000" w:themeColor="text1"/>
          <w:sz w:val="24"/>
          <w:szCs w:val="24"/>
          <w:lang w:val="es-ES_tradnl"/>
        </w:rPr>
        <w:t>por víctima</w:t>
      </w:r>
      <w:r w:rsidRPr="009053A2">
        <w:rPr>
          <w:rFonts w:eastAsia="Arial" w:cstheme="minorHAnsi"/>
          <w:b/>
          <w:color w:val="000000" w:themeColor="text1"/>
          <w:sz w:val="24"/>
          <w:szCs w:val="24"/>
          <w:lang w:val="es-ES_tradnl"/>
        </w:rPr>
        <w:t xml:space="preserve">: </w:t>
      </w:r>
      <w:r w:rsidR="009053A2">
        <w:rPr>
          <w:rFonts w:eastAsia="Arial" w:cstheme="minorHAnsi"/>
          <w:color w:val="000000" w:themeColor="text1"/>
          <w:sz w:val="24"/>
          <w:szCs w:val="24"/>
          <w:lang w:val="es-ES_tradnl"/>
        </w:rPr>
        <w:t>Incapacidad permanente por 150 SMLDV</w:t>
      </w:r>
      <w:r w:rsidR="00E7458E" w:rsidRPr="009053A2">
        <w:rPr>
          <w:rFonts w:eastAsia="Arial" w:cstheme="minorHAnsi"/>
          <w:color w:val="000000" w:themeColor="text1"/>
          <w:sz w:val="24"/>
          <w:szCs w:val="24"/>
          <w:lang w:val="es-ES_tradnl"/>
        </w:rPr>
        <w:t>.</w:t>
      </w:r>
    </w:p>
    <w:p w14:paraId="4DF93DF6" w14:textId="077E9CC4" w:rsidR="007A0ABE" w:rsidRDefault="007A0ABE" w:rsidP="009053A2">
      <w:pPr>
        <w:spacing w:line="276" w:lineRule="auto"/>
        <w:jc w:val="both"/>
        <w:rPr>
          <w:rFonts w:eastAsia="Arial" w:cstheme="minorHAnsi"/>
          <w:color w:val="000000" w:themeColor="text1"/>
          <w:sz w:val="24"/>
          <w:szCs w:val="24"/>
          <w:lang w:val="es-ES_tradnl"/>
        </w:rPr>
      </w:pPr>
      <w:r>
        <w:rPr>
          <w:rFonts w:eastAsia="Arial" w:cstheme="minorHAnsi"/>
          <w:color w:val="000000" w:themeColor="text1"/>
          <w:sz w:val="24"/>
          <w:szCs w:val="24"/>
          <w:lang w:val="es-ES_tradnl"/>
        </w:rPr>
        <w:t>Es importante indicar que al tratarse de un SOAT, no existe cobertura por Responsabilidad Civil Extracontractual, más aún, teniendo en cuenta que, el SOAT corresponde a la motocicleta y no a</w:t>
      </w:r>
      <w:r w:rsidR="00681526">
        <w:rPr>
          <w:rFonts w:eastAsia="Arial" w:cstheme="minorHAnsi"/>
          <w:color w:val="000000" w:themeColor="text1"/>
          <w:sz w:val="24"/>
          <w:szCs w:val="24"/>
          <w:lang w:val="es-ES_tradnl"/>
        </w:rPr>
        <w:t>l</w:t>
      </w:r>
      <w:r>
        <w:rPr>
          <w:rFonts w:eastAsia="Arial" w:cstheme="minorHAnsi"/>
          <w:color w:val="000000" w:themeColor="text1"/>
          <w:sz w:val="24"/>
          <w:szCs w:val="24"/>
          <w:lang w:val="es-ES_tradnl"/>
        </w:rPr>
        <w:t xml:space="preserve"> vehículo que iba siendo conducido por la responsable de la conducta punible.</w:t>
      </w:r>
    </w:p>
    <w:p w14:paraId="2CA0719E" w14:textId="19650CC3" w:rsidR="007A0ABE" w:rsidRDefault="007A0ABE" w:rsidP="009053A2">
      <w:pPr>
        <w:spacing w:line="276" w:lineRule="auto"/>
        <w:jc w:val="both"/>
        <w:rPr>
          <w:rFonts w:eastAsia="Arial" w:cstheme="minorHAnsi"/>
          <w:color w:val="000000" w:themeColor="text1"/>
          <w:sz w:val="24"/>
          <w:szCs w:val="24"/>
          <w:lang w:val="es-ES_tradnl"/>
        </w:rPr>
      </w:pPr>
      <w:r>
        <w:rPr>
          <w:rFonts w:eastAsia="Arial" w:cstheme="minorHAnsi"/>
          <w:color w:val="000000" w:themeColor="text1"/>
          <w:sz w:val="24"/>
          <w:szCs w:val="24"/>
          <w:lang w:val="es-ES_tradnl"/>
        </w:rPr>
        <w:t xml:space="preserve">Por otro lado, dentro de la documentación aportada, existe un documento expedido por Seguros Mundial en el que se observa la liquidación de siniestros SOAT, por el valor de $3.866.100. </w:t>
      </w:r>
    </w:p>
    <w:p w14:paraId="45135BE2" w14:textId="77777777" w:rsidR="007A0ABE" w:rsidRDefault="007A0ABE" w:rsidP="009053A2">
      <w:pPr>
        <w:spacing w:line="276" w:lineRule="auto"/>
        <w:jc w:val="both"/>
        <w:rPr>
          <w:rFonts w:eastAsia="Arial" w:cstheme="minorHAnsi"/>
          <w:color w:val="000000" w:themeColor="text1"/>
          <w:sz w:val="24"/>
          <w:szCs w:val="24"/>
          <w:lang w:val="es-ES_tradnl"/>
        </w:rPr>
      </w:pPr>
      <w:r>
        <w:rPr>
          <w:rFonts w:eastAsia="Arial" w:cstheme="minorHAnsi"/>
          <w:color w:val="000000" w:themeColor="text1"/>
          <w:sz w:val="24"/>
          <w:szCs w:val="24"/>
          <w:lang w:val="es-ES_tradnl"/>
        </w:rPr>
        <w:br/>
        <w:t xml:space="preserve">Es por todo lo anterior que, desde el inicio del proceso, se ha solicitado al despacho la desvinculación de la aseguradora, pues no existe vinculo contractual que permita inferir grado de solidaridad o de compromiso contractual con la víctima o victimario. </w:t>
      </w:r>
    </w:p>
    <w:p w14:paraId="53C95356" w14:textId="77777777" w:rsidR="007A0ABE" w:rsidRDefault="007A0ABE" w:rsidP="009053A2">
      <w:pPr>
        <w:spacing w:line="276" w:lineRule="auto"/>
        <w:jc w:val="both"/>
        <w:rPr>
          <w:rFonts w:eastAsia="Arial" w:cstheme="minorHAnsi"/>
          <w:b/>
          <w:bCs/>
          <w:color w:val="000000" w:themeColor="text1"/>
          <w:sz w:val="24"/>
          <w:szCs w:val="24"/>
          <w:lang w:val="es-ES_tradnl"/>
        </w:rPr>
      </w:pPr>
    </w:p>
    <w:p w14:paraId="1DC34BD9" w14:textId="12B8BA22" w:rsidR="003B2E18" w:rsidRPr="009053A2" w:rsidRDefault="00A21806" w:rsidP="009053A2">
      <w:pPr>
        <w:spacing w:line="276" w:lineRule="auto"/>
        <w:jc w:val="both"/>
        <w:rPr>
          <w:rFonts w:eastAsia="Arial" w:cstheme="minorHAnsi"/>
          <w:b/>
          <w:bCs/>
          <w:color w:val="000000" w:themeColor="text1"/>
          <w:sz w:val="24"/>
          <w:szCs w:val="24"/>
          <w:lang w:val="es-ES_tradnl"/>
        </w:rPr>
      </w:pPr>
      <w:r w:rsidRPr="009053A2">
        <w:rPr>
          <w:rFonts w:eastAsia="Arial" w:cstheme="minorHAnsi"/>
          <w:b/>
          <w:bCs/>
          <w:color w:val="000000" w:themeColor="text1"/>
          <w:sz w:val="24"/>
          <w:szCs w:val="24"/>
          <w:lang w:val="es-ES_tradnl"/>
        </w:rPr>
        <w:t xml:space="preserve">Prescripción: </w:t>
      </w:r>
      <w:r w:rsidR="003B2E18" w:rsidRPr="009053A2">
        <w:rPr>
          <w:rFonts w:eastAsia="Arial" w:cstheme="minorHAnsi"/>
          <w:color w:val="000000" w:themeColor="text1"/>
          <w:sz w:val="24"/>
          <w:szCs w:val="24"/>
          <w:lang w:val="es-ES_tradnl"/>
        </w:rPr>
        <w:t xml:space="preserve">Es importante analizar si existe la posibilidad que se haya configurado la prescripción extraordinaria de las acciones derivadas del contrato de seguros, de conformidad con </w:t>
      </w:r>
      <w:r w:rsidR="002124EB" w:rsidRPr="009053A2">
        <w:rPr>
          <w:rFonts w:eastAsia="Arial" w:cstheme="minorHAnsi"/>
          <w:color w:val="000000" w:themeColor="text1"/>
          <w:sz w:val="24"/>
          <w:szCs w:val="24"/>
          <w:lang w:val="es-ES_tradnl"/>
        </w:rPr>
        <w:t>el</w:t>
      </w:r>
      <w:r w:rsidR="003B2E18" w:rsidRPr="009053A2">
        <w:rPr>
          <w:rFonts w:eastAsia="Arial" w:cstheme="minorHAnsi"/>
          <w:color w:val="000000" w:themeColor="text1"/>
          <w:sz w:val="24"/>
          <w:szCs w:val="24"/>
          <w:lang w:val="es-ES_tradnl"/>
        </w:rPr>
        <w:t xml:space="preserve"> artículo</w:t>
      </w:r>
      <w:r w:rsidR="002124EB" w:rsidRPr="009053A2">
        <w:rPr>
          <w:rFonts w:eastAsia="Arial" w:cstheme="minorHAnsi"/>
          <w:color w:val="000000" w:themeColor="text1"/>
          <w:sz w:val="24"/>
          <w:szCs w:val="24"/>
          <w:lang w:val="es-ES_tradnl"/>
        </w:rPr>
        <w:t xml:space="preserve"> </w:t>
      </w:r>
      <w:r w:rsidR="003B2E18" w:rsidRPr="009053A2">
        <w:rPr>
          <w:rFonts w:eastAsia="Arial" w:cstheme="minorHAnsi"/>
          <w:color w:val="000000" w:themeColor="text1"/>
          <w:sz w:val="24"/>
          <w:szCs w:val="24"/>
          <w:lang w:val="es-ES_tradnl"/>
        </w:rPr>
        <w:t>1081 del Código de Comercio, que a su tenor literal reza:</w:t>
      </w:r>
    </w:p>
    <w:p w14:paraId="1FDED3A3" w14:textId="77777777" w:rsidR="007A0ABE" w:rsidRDefault="007A0ABE" w:rsidP="009053A2">
      <w:pPr>
        <w:spacing w:line="276" w:lineRule="auto"/>
        <w:ind w:left="708"/>
        <w:jc w:val="both"/>
        <w:rPr>
          <w:rFonts w:eastAsia="Arial" w:cstheme="minorHAnsi"/>
          <w:i/>
          <w:iCs/>
          <w:color w:val="000000" w:themeColor="text1"/>
          <w:sz w:val="24"/>
          <w:szCs w:val="24"/>
          <w:lang w:val="es-ES_tradnl"/>
        </w:rPr>
      </w:pPr>
    </w:p>
    <w:p w14:paraId="68418278" w14:textId="6D8EF1CA" w:rsidR="003B2E18" w:rsidRPr="009053A2" w:rsidRDefault="003B2E18" w:rsidP="009053A2">
      <w:pPr>
        <w:spacing w:line="276" w:lineRule="auto"/>
        <w:ind w:left="708"/>
        <w:jc w:val="both"/>
        <w:rPr>
          <w:rFonts w:eastAsia="Arial" w:cstheme="minorHAnsi"/>
          <w:i/>
          <w:iCs/>
          <w:color w:val="000000" w:themeColor="text1"/>
          <w:sz w:val="24"/>
          <w:szCs w:val="24"/>
          <w:lang w:val="es-ES_tradnl"/>
        </w:rPr>
      </w:pPr>
      <w:r w:rsidRPr="009053A2">
        <w:rPr>
          <w:rFonts w:eastAsia="Arial" w:cstheme="minorHAnsi"/>
          <w:i/>
          <w:iCs/>
          <w:color w:val="000000" w:themeColor="text1"/>
          <w:sz w:val="24"/>
          <w:szCs w:val="24"/>
          <w:lang w:val="es-ES_tradnl"/>
        </w:rPr>
        <w:t>“ARTÍCULO 1081. PRESCRIPCIÓN DE ACCIONES. La prescripción de las acciones que se derivan del contrato de seguro o de las disposiciones que lo rigen podrá ser ordinaria o extraordinaria.</w:t>
      </w:r>
    </w:p>
    <w:p w14:paraId="3437301A" w14:textId="77777777" w:rsidR="003B2E18" w:rsidRPr="009053A2" w:rsidRDefault="003B2E18" w:rsidP="009053A2">
      <w:pPr>
        <w:spacing w:line="276" w:lineRule="auto"/>
        <w:ind w:left="708"/>
        <w:jc w:val="both"/>
        <w:rPr>
          <w:rFonts w:eastAsia="Arial" w:cstheme="minorHAnsi"/>
          <w:i/>
          <w:iCs/>
          <w:color w:val="000000" w:themeColor="text1"/>
          <w:sz w:val="24"/>
          <w:szCs w:val="24"/>
          <w:lang w:val="es-ES_tradnl"/>
        </w:rPr>
      </w:pPr>
      <w:r w:rsidRPr="009053A2">
        <w:rPr>
          <w:rFonts w:eastAsia="Arial" w:cstheme="minorHAnsi"/>
          <w:i/>
          <w:iCs/>
          <w:color w:val="000000" w:themeColor="text1"/>
          <w:sz w:val="24"/>
          <w:szCs w:val="24"/>
          <w:lang w:val="es-ES_tradnl"/>
        </w:rPr>
        <w:t>La prescripción ordinaria será de dos años y empezará a correr desde el momento en que el interesado haya tenido o debido tener conocimiento del hecho que da base a la acción.</w:t>
      </w:r>
    </w:p>
    <w:p w14:paraId="443D2E9C" w14:textId="77777777" w:rsidR="003B2E18" w:rsidRPr="009053A2" w:rsidRDefault="003B2E18" w:rsidP="009053A2">
      <w:pPr>
        <w:spacing w:line="276" w:lineRule="auto"/>
        <w:ind w:left="708"/>
        <w:jc w:val="both"/>
        <w:rPr>
          <w:rFonts w:eastAsia="Arial" w:cstheme="minorHAnsi"/>
          <w:i/>
          <w:iCs/>
          <w:color w:val="000000" w:themeColor="text1"/>
          <w:sz w:val="24"/>
          <w:szCs w:val="24"/>
          <w:lang w:val="es-ES_tradnl"/>
        </w:rPr>
      </w:pPr>
      <w:r w:rsidRPr="009053A2">
        <w:rPr>
          <w:rFonts w:eastAsia="Arial" w:cstheme="minorHAnsi"/>
          <w:i/>
          <w:iCs/>
          <w:color w:val="000000" w:themeColor="text1"/>
          <w:sz w:val="24"/>
          <w:szCs w:val="24"/>
          <w:lang w:val="es-ES_tradnl"/>
        </w:rPr>
        <w:t>La prescripción extraordinaria será de cinco años, correrá contra toda clase de personas y empezará a contarse desde el momento en que nace el respectivo derecho.</w:t>
      </w:r>
    </w:p>
    <w:p w14:paraId="7A31F65A" w14:textId="77777777" w:rsidR="003B2E18" w:rsidRPr="009053A2" w:rsidRDefault="003B2E18" w:rsidP="009053A2">
      <w:pPr>
        <w:spacing w:line="276" w:lineRule="auto"/>
        <w:ind w:firstLine="708"/>
        <w:jc w:val="both"/>
        <w:rPr>
          <w:rFonts w:eastAsia="Arial" w:cstheme="minorHAnsi"/>
          <w:i/>
          <w:iCs/>
          <w:color w:val="000000" w:themeColor="text1"/>
          <w:sz w:val="24"/>
          <w:szCs w:val="24"/>
          <w:lang w:val="es-ES_tradnl"/>
        </w:rPr>
      </w:pPr>
      <w:r w:rsidRPr="009053A2">
        <w:rPr>
          <w:rFonts w:eastAsia="Arial" w:cstheme="minorHAnsi"/>
          <w:i/>
          <w:iCs/>
          <w:color w:val="000000" w:themeColor="text1"/>
          <w:sz w:val="24"/>
          <w:szCs w:val="24"/>
          <w:lang w:val="es-ES_tradnl"/>
        </w:rPr>
        <w:t>Estos términos no pueden ser modificados por las partes”.</w:t>
      </w:r>
    </w:p>
    <w:p w14:paraId="69C4D92C" w14:textId="77777777" w:rsidR="003B2E18" w:rsidRPr="009053A2" w:rsidRDefault="003B2E18" w:rsidP="009053A2">
      <w:pPr>
        <w:spacing w:line="276" w:lineRule="auto"/>
        <w:jc w:val="both"/>
        <w:rPr>
          <w:rFonts w:eastAsia="Arial" w:cstheme="minorHAnsi"/>
          <w:color w:val="000000" w:themeColor="text1"/>
          <w:sz w:val="24"/>
          <w:szCs w:val="24"/>
          <w:lang w:val="es-ES_tradnl"/>
        </w:rPr>
      </w:pPr>
    </w:p>
    <w:p w14:paraId="799935F7" w14:textId="5CDBC3EE" w:rsidR="005669FE" w:rsidRPr="009053A2" w:rsidRDefault="005669FE" w:rsidP="009053A2">
      <w:pPr>
        <w:spacing w:line="276" w:lineRule="auto"/>
        <w:jc w:val="both"/>
        <w:rPr>
          <w:rFonts w:cstheme="minorHAnsi"/>
          <w:b/>
          <w:bCs/>
          <w:color w:val="000000" w:themeColor="text1"/>
          <w:sz w:val="24"/>
          <w:szCs w:val="24"/>
          <w:lang w:val="es-ES_tradnl"/>
        </w:rPr>
      </w:pPr>
      <w:r w:rsidRPr="009053A2">
        <w:rPr>
          <w:rFonts w:cstheme="minorHAnsi"/>
          <w:color w:val="000000" w:themeColor="text1"/>
          <w:sz w:val="24"/>
          <w:szCs w:val="24"/>
          <w:lang w:val="es-ES_tradnl"/>
        </w:rPr>
        <w:t>Al señalar la disposición transcrita</w:t>
      </w:r>
      <w:r w:rsidR="00A84DBE" w:rsidRPr="009053A2">
        <w:rPr>
          <w:rFonts w:cstheme="minorHAnsi"/>
          <w:color w:val="000000" w:themeColor="text1"/>
          <w:sz w:val="24"/>
          <w:szCs w:val="24"/>
          <w:lang w:val="es-ES_tradnl"/>
        </w:rPr>
        <w:t>,</w:t>
      </w:r>
      <w:r w:rsidRPr="009053A2">
        <w:rPr>
          <w:rFonts w:cstheme="minorHAnsi"/>
          <w:color w:val="000000" w:themeColor="text1"/>
          <w:sz w:val="24"/>
          <w:szCs w:val="24"/>
          <w:lang w:val="es-ES_tradnl"/>
        </w:rPr>
        <w:t xml:space="preserve"> los parámetros para la determinación del momento a partir del cual empiezan a correr los términos de prescripción, distingue entre el momento </w:t>
      </w:r>
      <w:r w:rsidRPr="009053A2">
        <w:rPr>
          <w:rFonts w:cstheme="minorHAnsi"/>
          <w:color w:val="000000" w:themeColor="text1"/>
          <w:sz w:val="24"/>
          <w:szCs w:val="24"/>
          <w:lang w:val="es-ES_tradnl"/>
        </w:rPr>
        <w:lastRenderedPageBreak/>
        <w:t xml:space="preserve">en que el interesado, ha tenido o debido tener conocimiento del hecho que da base a la acción, en la prescripción ordinaria y, el momento del nacimiento del derecho, independientemente de cualquier circunstancia y aún cuando no se pueda establecer si el interesado tuvo o no conocimiento de tal hecho, en la extraordinaria.  Se destaca entonces, el conocimiento real o presunto del hecho que da base a la acción, como rasgo que diferencia la prescripción ordinaria de la extraordinaria, pues en tanto en la primera </w:t>
      </w:r>
      <w:r w:rsidRPr="009053A2">
        <w:rPr>
          <w:rFonts w:cstheme="minorHAnsi"/>
          <w:b/>
          <w:bCs/>
          <w:color w:val="000000" w:themeColor="text1"/>
          <w:sz w:val="24"/>
          <w:szCs w:val="24"/>
          <w:lang w:val="es-ES_tradnl"/>
        </w:rPr>
        <w:t>exige la presencia de este elemento subjetivo, en la segunda no.</w:t>
      </w:r>
    </w:p>
    <w:p w14:paraId="756A34FB" w14:textId="77777777" w:rsidR="003B2E18" w:rsidRPr="009053A2" w:rsidRDefault="003B2E18" w:rsidP="009053A2">
      <w:pPr>
        <w:spacing w:line="276" w:lineRule="auto"/>
        <w:jc w:val="both"/>
        <w:rPr>
          <w:rFonts w:cstheme="minorHAnsi"/>
          <w:b/>
          <w:bCs/>
          <w:color w:val="000000" w:themeColor="text1"/>
          <w:sz w:val="24"/>
          <w:szCs w:val="24"/>
          <w:lang w:val="es-ES_tradnl"/>
        </w:rPr>
      </w:pPr>
    </w:p>
    <w:p w14:paraId="05B8465C" w14:textId="77777777" w:rsidR="005669FE" w:rsidRPr="009053A2" w:rsidRDefault="005669FE" w:rsidP="009053A2">
      <w:pPr>
        <w:spacing w:line="276" w:lineRule="auto"/>
        <w:jc w:val="both"/>
        <w:rPr>
          <w:rFonts w:cstheme="minorHAnsi"/>
          <w:i/>
          <w:iCs/>
          <w:color w:val="000000" w:themeColor="text1"/>
          <w:sz w:val="24"/>
          <w:szCs w:val="24"/>
          <w:lang w:val="es-ES_tradnl"/>
        </w:rPr>
      </w:pPr>
      <w:r w:rsidRPr="009053A2">
        <w:rPr>
          <w:rFonts w:cstheme="minorHAnsi"/>
          <w:color w:val="000000" w:themeColor="text1"/>
          <w:sz w:val="24"/>
          <w:szCs w:val="24"/>
          <w:lang w:val="es-ES_tradnl"/>
        </w:rPr>
        <w:t>Sobre estos tipos de prescripción en sentencia T-662 de 2013 se estableció que </w:t>
      </w:r>
      <w:r w:rsidRPr="009053A2">
        <w:rPr>
          <w:rFonts w:cstheme="minorHAnsi"/>
          <w:i/>
          <w:iCs/>
          <w:color w:val="000000" w:themeColor="text1"/>
          <w:sz w:val="24"/>
          <w:szCs w:val="24"/>
          <w:lang w:val="es-ES_tradnl"/>
        </w:rPr>
        <w:t>“los dos tipos de prescripción son aplicables. La prescripción ordinaria comienza a correr desde el momento en que la persona razonablemente haya tenido o podido tener conocimiento de los hechos que dan base a la acción. La extraordinaria comienza a contar desde el momento en que ocurre el siniestro. Así, cuando el legitimado para reclamar el cumplimiento del contrato de seguro es incapaz o no puede conocer los hechos que dan base a la acción, el término de prescripción que comenzará a correr será el de la extraordinaria (desde que ocurre el siniestro) hasta tanto cese su incapacidad o tenga conocimiento de los hechos. Desde ese momento, comenzará a correr la ordinaria paralelamente y surtirá efectos la primera que opere”. (SENTENCIA T/272 – 15, M.P. JORGE IVÁN PALACIO)</w:t>
      </w:r>
    </w:p>
    <w:p w14:paraId="096FF431" w14:textId="77777777" w:rsidR="005669FE" w:rsidRPr="009053A2" w:rsidRDefault="005669FE" w:rsidP="009053A2">
      <w:pPr>
        <w:spacing w:line="276" w:lineRule="auto"/>
        <w:jc w:val="both"/>
        <w:rPr>
          <w:rFonts w:cstheme="minorHAnsi"/>
          <w:i/>
          <w:iCs/>
          <w:color w:val="000000" w:themeColor="text1"/>
          <w:sz w:val="24"/>
          <w:szCs w:val="24"/>
          <w:lang w:val="es-ES_tradnl"/>
        </w:rPr>
      </w:pPr>
    </w:p>
    <w:p w14:paraId="26F7BB31" w14:textId="77777777" w:rsidR="005669FE" w:rsidRPr="009053A2" w:rsidRDefault="005669FE" w:rsidP="009053A2">
      <w:pPr>
        <w:spacing w:line="276" w:lineRule="auto"/>
        <w:jc w:val="both"/>
        <w:rPr>
          <w:rFonts w:cstheme="minorHAnsi"/>
          <w:color w:val="000000" w:themeColor="text1"/>
          <w:sz w:val="24"/>
          <w:szCs w:val="24"/>
          <w:lang w:val="es-ES_tradnl"/>
        </w:rPr>
      </w:pPr>
      <w:r w:rsidRPr="009053A2">
        <w:rPr>
          <w:rFonts w:cstheme="minorHAnsi"/>
          <w:color w:val="000000" w:themeColor="text1"/>
          <w:sz w:val="24"/>
          <w:szCs w:val="24"/>
          <w:lang w:val="es-ES_tradnl"/>
        </w:rPr>
        <w:t>A su vez, en sentencia del 4 de abril de 2013, la Sala de Casación Civil (Expediente 00457-01) al referirse a las dos clases de prescripción –ordinaria y extraordinaria- adujo que </w:t>
      </w:r>
      <w:r w:rsidRPr="009053A2">
        <w:rPr>
          <w:rFonts w:cstheme="minorHAnsi"/>
          <w:i/>
          <w:iCs/>
          <w:color w:val="000000" w:themeColor="text1"/>
          <w:sz w:val="24"/>
          <w:szCs w:val="24"/>
          <w:lang w:val="es-ES_tradnl"/>
        </w:rPr>
        <w:t>“ambas se pueden presentar en cualquier clase de discusión originada en un contrato de seguro y corren frente a todos los titulares del derecho respectivo, ya se trate del tomador, el beneficiario, la aseguradora o el asegurado. Lo que las diferencia, en esencia, son dos aspectos puntuales, uno subjetivo, relacionado con el conocimiento, real o presunto, que se tenga de la ocurrencia del siniestro, y el otro objetivo, que tiene que ver con la capacidad para hacer efectivo el reconocimiento del siniestro y el pago de la indemnización pretendida, sin que ello impida que corran de modo simultáneo, como en efecto puede suceder”.</w:t>
      </w:r>
    </w:p>
    <w:p w14:paraId="08D513E8" w14:textId="77777777" w:rsidR="005669FE" w:rsidRPr="009053A2" w:rsidRDefault="005669FE" w:rsidP="009053A2">
      <w:pPr>
        <w:spacing w:line="276" w:lineRule="auto"/>
        <w:ind w:left="1776"/>
        <w:jc w:val="both"/>
        <w:rPr>
          <w:rFonts w:cstheme="minorHAnsi"/>
          <w:color w:val="000000" w:themeColor="text1"/>
          <w:sz w:val="24"/>
          <w:szCs w:val="24"/>
          <w:lang w:val="es-ES_tradnl"/>
        </w:rPr>
      </w:pPr>
    </w:p>
    <w:p w14:paraId="71695B3C" w14:textId="6AF76665" w:rsidR="005669FE" w:rsidRPr="009053A2" w:rsidRDefault="005669FE" w:rsidP="009053A2">
      <w:pPr>
        <w:spacing w:line="276" w:lineRule="auto"/>
        <w:contextualSpacing/>
        <w:jc w:val="both"/>
        <w:rPr>
          <w:rFonts w:cstheme="minorHAnsi"/>
          <w:bCs/>
          <w:color w:val="000000" w:themeColor="text1"/>
          <w:sz w:val="24"/>
          <w:szCs w:val="24"/>
          <w:lang w:val="es-ES_tradnl"/>
        </w:rPr>
      </w:pPr>
      <w:r w:rsidRPr="009053A2">
        <w:rPr>
          <w:rFonts w:cstheme="minorHAnsi"/>
          <w:color w:val="000000" w:themeColor="text1"/>
          <w:sz w:val="24"/>
          <w:szCs w:val="24"/>
          <w:shd w:val="clear" w:color="auto" w:fill="FFFFFF"/>
          <w:lang w:val="es-ES_tradnl"/>
        </w:rPr>
        <w:t xml:space="preserve">Ajustando la norma transcrita y los argumentos de la jurisprudencia traídos a colación, encontramos que </w:t>
      </w:r>
      <w:r w:rsidRPr="009053A2">
        <w:rPr>
          <w:rFonts w:cstheme="minorHAnsi"/>
          <w:b/>
          <w:bCs/>
          <w:color w:val="000000" w:themeColor="text1"/>
          <w:sz w:val="24"/>
          <w:szCs w:val="24"/>
          <w:u w:val="single"/>
          <w:shd w:val="clear" w:color="auto" w:fill="FFFFFF"/>
          <w:lang w:val="es-ES_tradnl"/>
        </w:rPr>
        <w:t>en el caso de marras, se encuentra acreditada la prescripción de las acciones derivadas del contrato de segur</w:t>
      </w:r>
      <w:r w:rsidR="00D84B22" w:rsidRPr="009053A2">
        <w:rPr>
          <w:rFonts w:cstheme="minorHAnsi"/>
          <w:b/>
          <w:bCs/>
          <w:color w:val="000000" w:themeColor="text1"/>
          <w:sz w:val="24"/>
          <w:szCs w:val="24"/>
          <w:u w:val="single"/>
          <w:shd w:val="clear" w:color="auto" w:fill="FFFFFF"/>
          <w:lang w:val="es-ES_tradnl"/>
        </w:rPr>
        <w:t>o</w:t>
      </w:r>
      <w:r w:rsidRPr="009053A2">
        <w:rPr>
          <w:rFonts w:cstheme="minorHAnsi"/>
          <w:b/>
          <w:bCs/>
          <w:color w:val="000000" w:themeColor="text1"/>
          <w:sz w:val="24"/>
          <w:szCs w:val="24"/>
          <w:u w:val="single"/>
          <w:shd w:val="clear" w:color="auto" w:fill="FFFFFF"/>
          <w:lang w:val="es-ES_tradnl"/>
        </w:rPr>
        <w:t xml:space="preserve"> por la senda </w:t>
      </w:r>
      <w:r w:rsidR="009053A2">
        <w:rPr>
          <w:rFonts w:cstheme="minorHAnsi"/>
          <w:b/>
          <w:bCs/>
          <w:color w:val="000000" w:themeColor="text1"/>
          <w:sz w:val="24"/>
          <w:szCs w:val="24"/>
          <w:u w:val="single"/>
          <w:shd w:val="clear" w:color="auto" w:fill="FFFFFF"/>
          <w:lang w:val="es-ES_tradnl"/>
        </w:rPr>
        <w:t xml:space="preserve">ordinaria y </w:t>
      </w:r>
      <w:r w:rsidRPr="009053A2">
        <w:rPr>
          <w:rFonts w:cstheme="minorHAnsi"/>
          <w:b/>
          <w:bCs/>
          <w:color w:val="000000" w:themeColor="text1"/>
          <w:sz w:val="24"/>
          <w:szCs w:val="24"/>
          <w:u w:val="single"/>
          <w:shd w:val="clear" w:color="auto" w:fill="FFFFFF"/>
          <w:lang w:val="es-ES_tradnl"/>
        </w:rPr>
        <w:t>extraordinaria</w:t>
      </w:r>
      <w:r w:rsidRPr="009053A2">
        <w:rPr>
          <w:rFonts w:cstheme="minorHAnsi"/>
          <w:color w:val="000000" w:themeColor="text1"/>
          <w:sz w:val="24"/>
          <w:szCs w:val="24"/>
          <w:shd w:val="clear" w:color="auto" w:fill="FFFFFF"/>
          <w:lang w:val="es-ES_tradnl"/>
        </w:rPr>
        <w:t xml:space="preserve">, esto es, </w:t>
      </w:r>
      <w:r w:rsidRPr="009053A2">
        <w:rPr>
          <w:rFonts w:cstheme="minorHAnsi"/>
          <w:color w:val="000000" w:themeColor="text1"/>
          <w:sz w:val="24"/>
          <w:szCs w:val="24"/>
          <w:shd w:val="clear" w:color="auto" w:fill="FFFFFF"/>
          <w:lang w:val="es-ES_tradnl"/>
        </w:rPr>
        <w:lastRenderedPageBreak/>
        <w:t>desde el acaecimiento del hecho de tránsito que dio origen a este litigio</w:t>
      </w:r>
      <w:r w:rsidRPr="009053A2">
        <w:rPr>
          <w:rFonts w:cstheme="minorHAnsi"/>
          <w:color w:val="000000" w:themeColor="text1"/>
          <w:sz w:val="24"/>
          <w:szCs w:val="24"/>
          <w:lang w:val="es-ES_tradnl"/>
        </w:rPr>
        <w:t>, de acuerdo con lo que a continuación se procederá a explicar:</w:t>
      </w:r>
    </w:p>
    <w:p w14:paraId="71DDF039" w14:textId="77777777" w:rsidR="005669FE" w:rsidRPr="009053A2" w:rsidRDefault="005669FE" w:rsidP="009053A2">
      <w:pPr>
        <w:spacing w:line="276" w:lineRule="auto"/>
        <w:contextualSpacing/>
        <w:jc w:val="both"/>
        <w:rPr>
          <w:rFonts w:cstheme="minorHAnsi"/>
          <w:bCs/>
          <w:color w:val="000000" w:themeColor="text1"/>
          <w:sz w:val="24"/>
          <w:szCs w:val="24"/>
          <w:lang w:val="es-ES_tradnl"/>
        </w:rPr>
      </w:pPr>
    </w:p>
    <w:p w14:paraId="3B041FAE" w14:textId="3E98C1EB" w:rsidR="00D84B22" w:rsidRPr="009053A2" w:rsidRDefault="00D84B22" w:rsidP="009053A2">
      <w:pPr>
        <w:spacing w:line="276" w:lineRule="auto"/>
        <w:jc w:val="both"/>
        <w:rPr>
          <w:rFonts w:cstheme="minorHAnsi"/>
          <w:bCs/>
          <w:color w:val="000000" w:themeColor="text1"/>
          <w:sz w:val="24"/>
          <w:szCs w:val="24"/>
          <w:shd w:val="clear" w:color="auto" w:fill="FFFFFF"/>
          <w:lang w:val="es-ES_tradnl"/>
        </w:rPr>
      </w:pPr>
      <w:r w:rsidRPr="009053A2">
        <w:rPr>
          <w:rFonts w:cstheme="minorHAnsi"/>
          <w:bCs/>
          <w:color w:val="000000" w:themeColor="text1"/>
          <w:sz w:val="24"/>
          <w:szCs w:val="24"/>
          <w:shd w:val="clear" w:color="auto" w:fill="FFFFFF"/>
          <w:lang w:val="es-ES_tradnl"/>
        </w:rPr>
        <w:t>En cuanto a la p</w:t>
      </w:r>
      <w:r w:rsidR="005669FE" w:rsidRPr="009053A2">
        <w:rPr>
          <w:rFonts w:cstheme="minorHAnsi"/>
          <w:bCs/>
          <w:color w:val="000000" w:themeColor="text1"/>
          <w:sz w:val="24"/>
          <w:szCs w:val="24"/>
          <w:shd w:val="clear" w:color="auto" w:fill="FFFFFF"/>
          <w:lang w:val="es-ES_tradnl"/>
        </w:rPr>
        <w:t>rescripción ordinaria</w:t>
      </w:r>
      <w:r w:rsidRPr="009053A2">
        <w:rPr>
          <w:rFonts w:cstheme="minorHAnsi"/>
          <w:bCs/>
          <w:color w:val="000000" w:themeColor="text1"/>
          <w:sz w:val="24"/>
          <w:szCs w:val="24"/>
          <w:shd w:val="clear" w:color="auto" w:fill="FFFFFF"/>
          <w:lang w:val="es-ES_tradnl"/>
        </w:rPr>
        <w:t xml:space="preserve"> se toma, teniendo en cuenta que  existen elementos subjetivos para poder declarar su configuración. </w:t>
      </w:r>
      <w:r w:rsidR="009053A2">
        <w:rPr>
          <w:rFonts w:cstheme="minorHAnsi"/>
          <w:bCs/>
          <w:color w:val="000000" w:themeColor="text1"/>
          <w:sz w:val="24"/>
          <w:szCs w:val="24"/>
          <w:shd w:val="clear" w:color="auto" w:fill="FFFFFF"/>
          <w:lang w:val="es-ES_tradnl"/>
        </w:rPr>
        <w:t>S</w:t>
      </w:r>
      <w:r w:rsidRPr="009053A2">
        <w:rPr>
          <w:rFonts w:cstheme="minorHAnsi"/>
          <w:bCs/>
          <w:color w:val="000000" w:themeColor="text1"/>
          <w:sz w:val="24"/>
          <w:szCs w:val="24"/>
          <w:shd w:val="clear" w:color="auto" w:fill="FFFFFF"/>
          <w:lang w:val="es-ES_tradnl"/>
        </w:rPr>
        <w:t xml:space="preserve">e puede probar con los elementos aportados que la víctima </w:t>
      </w:r>
      <w:r w:rsidR="009053A2">
        <w:rPr>
          <w:rFonts w:cstheme="minorHAnsi"/>
          <w:bCs/>
          <w:color w:val="000000" w:themeColor="text1"/>
          <w:sz w:val="24"/>
          <w:szCs w:val="24"/>
          <w:shd w:val="clear" w:color="auto" w:fill="FFFFFF"/>
          <w:lang w:val="es-ES_tradnl"/>
        </w:rPr>
        <w:t>tuvo</w:t>
      </w:r>
      <w:r w:rsidRPr="009053A2">
        <w:rPr>
          <w:rFonts w:cstheme="minorHAnsi"/>
          <w:bCs/>
          <w:color w:val="000000" w:themeColor="text1"/>
          <w:sz w:val="24"/>
          <w:szCs w:val="24"/>
          <w:shd w:val="clear" w:color="auto" w:fill="FFFFFF"/>
          <w:lang w:val="es-ES_tradnl"/>
        </w:rPr>
        <w:t xml:space="preserve"> conocimiento de la póliza al momento del accidente, </w:t>
      </w:r>
      <w:r w:rsidR="009053A2">
        <w:rPr>
          <w:rFonts w:cstheme="minorHAnsi"/>
          <w:bCs/>
          <w:color w:val="000000" w:themeColor="text1"/>
          <w:sz w:val="24"/>
          <w:szCs w:val="24"/>
          <w:shd w:val="clear" w:color="auto" w:fill="FFFFFF"/>
          <w:lang w:val="es-ES_tradnl"/>
        </w:rPr>
        <w:t>y se observa que realizó la reclamación de forma extemporánea, situación que llevó a que dicha reclamación fuera objetada.</w:t>
      </w:r>
      <w:r w:rsidRPr="009053A2">
        <w:rPr>
          <w:rFonts w:cstheme="minorHAnsi"/>
          <w:bCs/>
          <w:color w:val="000000" w:themeColor="text1"/>
          <w:sz w:val="24"/>
          <w:szCs w:val="24"/>
          <w:shd w:val="clear" w:color="auto" w:fill="FFFFFF"/>
          <w:lang w:val="es-ES_tradnl"/>
        </w:rPr>
        <w:t xml:space="preserve"> </w:t>
      </w:r>
    </w:p>
    <w:p w14:paraId="64009CE5" w14:textId="6C649D8B" w:rsidR="005669FE" w:rsidRPr="009053A2" w:rsidRDefault="00D84B22" w:rsidP="009053A2">
      <w:pPr>
        <w:spacing w:line="276" w:lineRule="auto"/>
        <w:jc w:val="both"/>
        <w:rPr>
          <w:rFonts w:cstheme="minorHAnsi"/>
          <w:color w:val="000000" w:themeColor="text1"/>
          <w:sz w:val="24"/>
          <w:szCs w:val="24"/>
          <w:lang w:val="es-ES_tradnl"/>
        </w:rPr>
      </w:pPr>
      <w:r w:rsidRPr="009053A2">
        <w:rPr>
          <w:rFonts w:cstheme="minorHAnsi"/>
          <w:bCs/>
          <w:color w:val="000000" w:themeColor="text1"/>
          <w:sz w:val="24"/>
          <w:szCs w:val="24"/>
          <w:shd w:val="clear" w:color="auto" w:fill="FFFFFF"/>
          <w:lang w:val="es-ES_tradnl"/>
        </w:rPr>
        <w:t xml:space="preserve">Por otro lado tenemos que, en cuanto a la prescripción extraordinaria podemos </w:t>
      </w:r>
      <w:r w:rsidR="006C71F9" w:rsidRPr="009053A2">
        <w:rPr>
          <w:rFonts w:cstheme="minorHAnsi"/>
          <w:bCs/>
          <w:color w:val="000000" w:themeColor="text1"/>
          <w:sz w:val="24"/>
          <w:szCs w:val="24"/>
          <w:shd w:val="clear" w:color="auto" w:fill="FFFFFF"/>
          <w:lang w:val="es-ES_tradnl"/>
        </w:rPr>
        <w:t>manifestar</w:t>
      </w:r>
      <w:r w:rsidRPr="009053A2">
        <w:rPr>
          <w:rFonts w:cstheme="minorHAnsi"/>
          <w:bCs/>
          <w:color w:val="000000" w:themeColor="text1"/>
          <w:sz w:val="24"/>
          <w:szCs w:val="24"/>
          <w:shd w:val="clear" w:color="auto" w:fill="FFFFFF"/>
          <w:lang w:val="es-ES_tradnl"/>
        </w:rPr>
        <w:t xml:space="preserve"> los siguiente:</w:t>
      </w:r>
    </w:p>
    <w:p w14:paraId="589D8F8A" w14:textId="6F3D8D2C" w:rsidR="005669FE" w:rsidRPr="009053A2" w:rsidRDefault="005669FE" w:rsidP="009053A2">
      <w:pPr>
        <w:spacing w:line="276" w:lineRule="auto"/>
        <w:jc w:val="both"/>
        <w:rPr>
          <w:rFonts w:cstheme="minorHAnsi"/>
          <w:color w:val="000000" w:themeColor="text1"/>
          <w:sz w:val="24"/>
          <w:szCs w:val="24"/>
          <w:lang w:val="es-ES_tradnl"/>
        </w:rPr>
      </w:pPr>
      <w:r w:rsidRPr="009053A2">
        <w:rPr>
          <w:rFonts w:cstheme="minorHAnsi"/>
          <w:color w:val="000000" w:themeColor="text1"/>
          <w:sz w:val="24"/>
          <w:szCs w:val="24"/>
          <w:lang w:val="es-ES_tradnl"/>
        </w:rPr>
        <w:t xml:space="preserve">Sin perjuicio de los argumentos expuestos en precedencia respecto a la prescripción ordinaria, debe indicarse que  se encuentra acreditada la prescripción extraordinaria </w:t>
      </w:r>
      <w:r w:rsidRPr="009053A2">
        <w:rPr>
          <w:rFonts w:cstheme="minorHAnsi"/>
          <w:color w:val="000000" w:themeColor="text1"/>
          <w:sz w:val="24"/>
          <w:szCs w:val="24"/>
          <w:shd w:val="clear" w:color="auto" w:fill="FFFFFF"/>
          <w:lang w:val="es-ES_tradnl"/>
        </w:rPr>
        <w:t xml:space="preserve">de que trata el inciso tercero del Artículo 1081 del Código de Comercio, puesto </w:t>
      </w:r>
      <w:r w:rsidR="00E7458E" w:rsidRPr="009053A2">
        <w:rPr>
          <w:rFonts w:cstheme="minorHAnsi"/>
          <w:color w:val="000000" w:themeColor="text1"/>
          <w:sz w:val="24"/>
          <w:szCs w:val="24"/>
          <w:shd w:val="clear" w:color="auto" w:fill="FFFFFF"/>
          <w:lang w:val="es-ES_tradnl"/>
        </w:rPr>
        <w:t xml:space="preserve">a la fecha de vinculación de la aseguradora, al incidente de reparación integral, </w:t>
      </w:r>
      <w:r w:rsidR="009053A2">
        <w:rPr>
          <w:rFonts w:cstheme="minorHAnsi"/>
          <w:color w:val="000000" w:themeColor="text1"/>
          <w:sz w:val="24"/>
          <w:szCs w:val="24"/>
          <w:shd w:val="clear" w:color="auto" w:fill="FFFFFF"/>
          <w:lang w:val="es-ES_tradnl"/>
        </w:rPr>
        <w:t>ya</w:t>
      </w:r>
      <w:r w:rsidR="00E7458E" w:rsidRPr="009053A2">
        <w:rPr>
          <w:rFonts w:cstheme="minorHAnsi"/>
          <w:color w:val="000000" w:themeColor="text1"/>
          <w:sz w:val="24"/>
          <w:szCs w:val="24"/>
          <w:shd w:val="clear" w:color="auto" w:fill="FFFFFF"/>
          <w:lang w:val="es-ES_tradnl"/>
        </w:rPr>
        <w:t xml:space="preserve"> habían transcurrido los 5 años</w:t>
      </w:r>
      <w:r w:rsidRPr="009053A2">
        <w:rPr>
          <w:rFonts w:cstheme="minorHAnsi"/>
          <w:color w:val="000000" w:themeColor="text1"/>
          <w:sz w:val="24"/>
          <w:szCs w:val="24"/>
          <w:shd w:val="clear" w:color="auto" w:fill="FFFFFF"/>
          <w:lang w:val="es-ES_tradnl"/>
        </w:rPr>
        <w:t xml:space="preserve"> desde el momento que nació el derecho a favor de la demandante, es decir, desde la fecha de ocurrencia del accidente de tránsito, el día </w:t>
      </w:r>
      <w:r w:rsidR="009053A2">
        <w:rPr>
          <w:rFonts w:cstheme="minorHAnsi"/>
          <w:color w:val="000000" w:themeColor="text1"/>
          <w:sz w:val="24"/>
          <w:szCs w:val="24"/>
          <w:shd w:val="clear" w:color="auto" w:fill="FFFFFF"/>
          <w:lang w:val="es-ES_tradnl"/>
        </w:rPr>
        <w:t>5</w:t>
      </w:r>
      <w:r w:rsidRPr="009053A2">
        <w:rPr>
          <w:rFonts w:cstheme="minorHAnsi"/>
          <w:color w:val="000000" w:themeColor="text1"/>
          <w:sz w:val="24"/>
          <w:szCs w:val="24"/>
          <w:shd w:val="clear" w:color="auto" w:fill="FFFFFF"/>
          <w:lang w:val="es-ES_tradnl"/>
        </w:rPr>
        <w:t xml:space="preserve"> de </w:t>
      </w:r>
      <w:r w:rsidR="009053A2">
        <w:rPr>
          <w:rFonts w:cstheme="minorHAnsi"/>
          <w:color w:val="000000" w:themeColor="text1"/>
          <w:sz w:val="24"/>
          <w:szCs w:val="24"/>
          <w:shd w:val="clear" w:color="auto" w:fill="FFFFFF"/>
          <w:lang w:val="es-ES_tradnl"/>
        </w:rPr>
        <w:t>mayo</w:t>
      </w:r>
      <w:r w:rsidR="00E7458E" w:rsidRPr="009053A2">
        <w:rPr>
          <w:rFonts w:cstheme="minorHAnsi"/>
          <w:color w:val="000000" w:themeColor="text1"/>
          <w:sz w:val="24"/>
          <w:szCs w:val="24"/>
          <w:shd w:val="clear" w:color="auto" w:fill="FFFFFF"/>
          <w:lang w:val="es-ES_tradnl"/>
        </w:rPr>
        <w:t xml:space="preserve"> </w:t>
      </w:r>
      <w:r w:rsidR="00A05E53" w:rsidRPr="009053A2">
        <w:rPr>
          <w:rFonts w:cstheme="minorHAnsi"/>
          <w:color w:val="000000" w:themeColor="text1"/>
          <w:sz w:val="24"/>
          <w:szCs w:val="24"/>
          <w:shd w:val="clear" w:color="auto" w:fill="FFFFFF"/>
          <w:lang w:val="es-ES_tradnl"/>
        </w:rPr>
        <w:t>de 201</w:t>
      </w:r>
      <w:r w:rsidR="009053A2">
        <w:rPr>
          <w:rFonts w:cstheme="minorHAnsi"/>
          <w:color w:val="000000" w:themeColor="text1"/>
          <w:sz w:val="24"/>
          <w:szCs w:val="24"/>
          <w:shd w:val="clear" w:color="auto" w:fill="FFFFFF"/>
          <w:lang w:val="es-ES_tradnl"/>
        </w:rPr>
        <w:t>5</w:t>
      </w:r>
      <w:r w:rsidRPr="009053A2">
        <w:rPr>
          <w:rFonts w:cstheme="minorHAnsi"/>
          <w:color w:val="000000" w:themeColor="text1"/>
          <w:sz w:val="24"/>
          <w:szCs w:val="24"/>
          <w:shd w:val="clear" w:color="auto" w:fill="FFFFFF"/>
          <w:lang w:val="es-ES_tradnl"/>
        </w:rPr>
        <w:t xml:space="preserve">.  </w:t>
      </w:r>
    </w:p>
    <w:p w14:paraId="0141D403" w14:textId="74345348" w:rsidR="003F32EF" w:rsidRPr="009053A2" w:rsidRDefault="003F32EF" w:rsidP="009053A2">
      <w:pPr>
        <w:pStyle w:val="Prrafodelista"/>
        <w:numPr>
          <w:ilvl w:val="0"/>
          <w:numId w:val="11"/>
        </w:numPr>
        <w:spacing w:line="276" w:lineRule="auto"/>
        <w:jc w:val="both"/>
        <w:rPr>
          <w:rFonts w:cstheme="minorHAnsi"/>
          <w:iCs/>
          <w:color w:val="000000" w:themeColor="text1"/>
          <w:bdr w:val="none" w:sz="0" w:space="0" w:color="auto" w:frame="1"/>
          <w:shd w:val="clear" w:color="auto" w:fill="FFFFFF"/>
          <w:lang w:val="es-ES_tradnl"/>
        </w:rPr>
      </w:pPr>
      <w:r w:rsidRPr="009053A2">
        <w:rPr>
          <w:rFonts w:cstheme="minorHAnsi"/>
          <w:b/>
          <w:bCs/>
          <w:iCs/>
          <w:color w:val="000000" w:themeColor="text1"/>
          <w:bdr w:val="none" w:sz="0" w:space="0" w:color="auto" w:frame="1"/>
          <w:shd w:val="clear" w:color="auto" w:fill="FFFFFF"/>
          <w:lang w:val="es-ES_tradnl"/>
        </w:rPr>
        <w:t xml:space="preserve">Fecha del accidente: </w:t>
      </w:r>
      <w:r w:rsidR="007A0ABE">
        <w:rPr>
          <w:rFonts w:cstheme="minorHAnsi"/>
          <w:b/>
          <w:bCs/>
          <w:iCs/>
          <w:color w:val="000000" w:themeColor="text1"/>
          <w:bdr w:val="none" w:sz="0" w:space="0" w:color="auto" w:frame="1"/>
          <w:shd w:val="clear" w:color="auto" w:fill="FFFFFF"/>
          <w:lang w:val="es-ES_tradnl"/>
        </w:rPr>
        <w:t>5</w:t>
      </w:r>
      <w:r w:rsidRPr="009053A2">
        <w:rPr>
          <w:rFonts w:cstheme="minorHAnsi"/>
          <w:b/>
          <w:bCs/>
          <w:iCs/>
          <w:color w:val="000000" w:themeColor="text1"/>
          <w:bdr w:val="none" w:sz="0" w:space="0" w:color="auto" w:frame="1"/>
          <w:shd w:val="clear" w:color="auto" w:fill="FFFFFF"/>
          <w:lang w:val="es-ES_tradnl"/>
        </w:rPr>
        <w:t xml:space="preserve"> de </w:t>
      </w:r>
      <w:r w:rsidR="007A0ABE">
        <w:rPr>
          <w:rFonts w:cstheme="minorHAnsi"/>
          <w:b/>
          <w:bCs/>
          <w:iCs/>
          <w:color w:val="000000" w:themeColor="text1"/>
          <w:bdr w:val="none" w:sz="0" w:space="0" w:color="auto" w:frame="1"/>
          <w:shd w:val="clear" w:color="auto" w:fill="FFFFFF"/>
          <w:lang w:val="es-ES_tradnl"/>
        </w:rPr>
        <w:t>mayo</w:t>
      </w:r>
      <w:r w:rsidRPr="009053A2">
        <w:rPr>
          <w:rFonts w:cstheme="minorHAnsi"/>
          <w:b/>
          <w:bCs/>
          <w:iCs/>
          <w:color w:val="000000" w:themeColor="text1"/>
          <w:bdr w:val="none" w:sz="0" w:space="0" w:color="auto" w:frame="1"/>
          <w:shd w:val="clear" w:color="auto" w:fill="FFFFFF"/>
          <w:lang w:val="es-ES_tradnl"/>
        </w:rPr>
        <w:t xml:space="preserve"> de 201</w:t>
      </w:r>
      <w:r w:rsidR="007A0ABE">
        <w:rPr>
          <w:rFonts w:cstheme="minorHAnsi"/>
          <w:b/>
          <w:bCs/>
          <w:iCs/>
          <w:color w:val="000000" w:themeColor="text1"/>
          <w:bdr w:val="none" w:sz="0" w:space="0" w:color="auto" w:frame="1"/>
          <w:shd w:val="clear" w:color="auto" w:fill="FFFFFF"/>
          <w:lang w:val="es-ES_tradnl"/>
        </w:rPr>
        <w:t>5</w:t>
      </w:r>
      <w:r w:rsidRPr="009053A2">
        <w:rPr>
          <w:rFonts w:cstheme="minorHAnsi"/>
          <w:b/>
          <w:bCs/>
          <w:iCs/>
          <w:color w:val="000000" w:themeColor="text1"/>
          <w:bdr w:val="none" w:sz="0" w:space="0" w:color="auto" w:frame="1"/>
          <w:shd w:val="clear" w:color="auto" w:fill="FFFFFF"/>
          <w:lang w:val="es-ES_tradnl"/>
        </w:rPr>
        <w:t>.</w:t>
      </w:r>
    </w:p>
    <w:p w14:paraId="556F34C1" w14:textId="52F76109" w:rsidR="003F32EF" w:rsidRPr="009053A2" w:rsidRDefault="003F32EF" w:rsidP="009053A2">
      <w:pPr>
        <w:pStyle w:val="Prrafodelista"/>
        <w:numPr>
          <w:ilvl w:val="0"/>
          <w:numId w:val="11"/>
        </w:numPr>
        <w:spacing w:line="276" w:lineRule="auto"/>
        <w:jc w:val="both"/>
        <w:rPr>
          <w:rFonts w:cstheme="minorHAnsi"/>
          <w:iCs/>
          <w:color w:val="000000" w:themeColor="text1"/>
          <w:bdr w:val="none" w:sz="0" w:space="0" w:color="auto" w:frame="1"/>
          <w:shd w:val="clear" w:color="auto" w:fill="FFFFFF"/>
          <w:lang w:val="es-ES_tradnl"/>
        </w:rPr>
      </w:pPr>
      <w:r w:rsidRPr="009053A2">
        <w:rPr>
          <w:rFonts w:cstheme="minorHAnsi"/>
          <w:b/>
          <w:bCs/>
          <w:iCs/>
          <w:color w:val="000000" w:themeColor="text1"/>
          <w:bdr w:val="none" w:sz="0" w:space="0" w:color="auto" w:frame="1"/>
          <w:shd w:val="clear" w:color="auto" w:fill="FFFFFF"/>
          <w:lang w:val="es-ES_tradnl"/>
        </w:rPr>
        <w:t xml:space="preserve">Fecha de la sentencia de condenatoria: </w:t>
      </w:r>
      <w:r w:rsidR="007A0ABE">
        <w:rPr>
          <w:rFonts w:cstheme="minorHAnsi"/>
          <w:b/>
          <w:bCs/>
          <w:iCs/>
          <w:color w:val="000000" w:themeColor="text1"/>
          <w:bdr w:val="none" w:sz="0" w:space="0" w:color="auto" w:frame="1"/>
          <w:shd w:val="clear" w:color="auto" w:fill="FFFFFF"/>
          <w:lang w:val="es-ES_tradnl"/>
        </w:rPr>
        <w:t>21</w:t>
      </w:r>
      <w:r w:rsidR="00E7458E" w:rsidRPr="009053A2">
        <w:rPr>
          <w:rFonts w:cstheme="minorHAnsi"/>
          <w:b/>
          <w:bCs/>
          <w:iCs/>
          <w:color w:val="000000" w:themeColor="text1"/>
          <w:bdr w:val="none" w:sz="0" w:space="0" w:color="auto" w:frame="1"/>
          <w:shd w:val="clear" w:color="auto" w:fill="FFFFFF"/>
          <w:lang w:val="es-ES_tradnl"/>
        </w:rPr>
        <w:t xml:space="preserve"> de </w:t>
      </w:r>
      <w:r w:rsidR="007A0ABE">
        <w:rPr>
          <w:rFonts w:cstheme="minorHAnsi"/>
          <w:b/>
          <w:bCs/>
          <w:iCs/>
          <w:color w:val="000000" w:themeColor="text1"/>
          <w:bdr w:val="none" w:sz="0" w:space="0" w:color="auto" w:frame="1"/>
          <w:shd w:val="clear" w:color="auto" w:fill="FFFFFF"/>
          <w:lang w:val="es-ES_tradnl"/>
        </w:rPr>
        <w:t>diciembre</w:t>
      </w:r>
      <w:r w:rsidRPr="009053A2">
        <w:rPr>
          <w:rFonts w:cstheme="minorHAnsi"/>
          <w:b/>
          <w:bCs/>
          <w:iCs/>
          <w:color w:val="000000" w:themeColor="text1"/>
          <w:bdr w:val="none" w:sz="0" w:space="0" w:color="auto" w:frame="1"/>
          <w:shd w:val="clear" w:color="auto" w:fill="FFFFFF"/>
          <w:lang w:val="es-ES_tradnl"/>
        </w:rPr>
        <w:t xml:space="preserve"> de 202</w:t>
      </w:r>
      <w:r w:rsidR="00E7458E" w:rsidRPr="009053A2">
        <w:rPr>
          <w:rFonts w:cstheme="minorHAnsi"/>
          <w:b/>
          <w:bCs/>
          <w:iCs/>
          <w:color w:val="000000" w:themeColor="text1"/>
          <w:bdr w:val="none" w:sz="0" w:space="0" w:color="auto" w:frame="1"/>
          <w:shd w:val="clear" w:color="auto" w:fill="FFFFFF"/>
          <w:lang w:val="es-ES_tradnl"/>
        </w:rPr>
        <w:t>1</w:t>
      </w:r>
      <w:r w:rsidRPr="009053A2">
        <w:rPr>
          <w:rFonts w:cstheme="minorHAnsi"/>
          <w:b/>
          <w:bCs/>
          <w:iCs/>
          <w:color w:val="000000" w:themeColor="text1"/>
          <w:bdr w:val="none" w:sz="0" w:space="0" w:color="auto" w:frame="1"/>
          <w:shd w:val="clear" w:color="auto" w:fill="FFFFFF"/>
          <w:lang w:val="es-ES_tradnl"/>
        </w:rPr>
        <w:t>.</w:t>
      </w:r>
    </w:p>
    <w:p w14:paraId="2D311597" w14:textId="284F1E2E" w:rsidR="00D226DD" w:rsidRPr="007A0ABE" w:rsidRDefault="003F32EF" w:rsidP="009053A2">
      <w:pPr>
        <w:pStyle w:val="Prrafodelista"/>
        <w:numPr>
          <w:ilvl w:val="0"/>
          <w:numId w:val="11"/>
        </w:numPr>
        <w:spacing w:line="276" w:lineRule="auto"/>
        <w:jc w:val="both"/>
        <w:rPr>
          <w:rFonts w:cstheme="minorHAnsi"/>
          <w:iCs/>
          <w:color w:val="000000" w:themeColor="text1"/>
          <w:bdr w:val="none" w:sz="0" w:space="0" w:color="auto" w:frame="1"/>
          <w:shd w:val="clear" w:color="auto" w:fill="FFFFFF"/>
          <w:lang w:val="es-ES_tradnl"/>
        </w:rPr>
      </w:pPr>
      <w:r w:rsidRPr="009053A2">
        <w:rPr>
          <w:rFonts w:cstheme="minorHAnsi"/>
          <w:b/>
          <w:bCs/>
          <w:iCs/>
          <w:color w:val="000000" w:themeColor="text1"/>
          <w:bdr w:val="none" w:sz="0" w:space="0" w:color="auto" w:frame="1"/>
          <w:shd w:val="clear" w:color="auto" w:fill="FFFFFF"/>
          <w:lang w:val="es-ES_tradnl"/>
        </w:rPr>
        <w:t>Fecha en la cual se verbalizaron las pretensiones</w:t>
      </w:r>
      <w:r w:rsidR="00D84B22" w:rsidRPr="009053A2">
        <w:rPr>
          <w:rFonts w:cstheme="minorHAnsi"/>
          <w:b/>
          <w:bCs/>
          <w:iCs/>
          <w:color w:val="000000" w:themeColor="text1"/>
          <w:bdr w:val="none" w:sz="0" w:space="0" w:color="auto" w:frame="1"/>
          <w:shd w:val="clear" w:color="auto" w:fill="FFFFFF"/>
          <w:lang w:val="es-ES_tradnl"/>
        </w:rPr>
        <w:t xml:space="preserve"> y se vinculó a la compañía aseguradora al proceso</w:t>
      </w:r>
      <w:r w:rsidRPr="009053A2">
        <w:rPr>
          <w:rFonts w:cstheme="minorHAnsi"/>
          <w:b/>
          <w:bCs/>
          <w:iCs/>
          <w:color w:val="000000" w:themeColor="text1"/>
          <w:bdr w:val="none" w:sz="0" w:space="0" w:color="auto" w:frame="1"/>
          <w:shd w:val="clear" w:color="auto" w:fill="FFFFFF"/>
          <w:lang w:val="es-ES_tradnl"/>
        </w:rPr>
        <w:t xml:space="preserve">: </w:t>
      </w:r>
      <w:r w:rsidR="007A0ABE">
        <w:rPr>
          <w:rFonts w:cstheme="minorHAnsi"/>
          <w:b/>
          <w:bCs/>
          <w:iCs/>
          <w:color w:val="000000" w:themeColor="text1"/>
          <w:bdr w:val="none" w:sz="0" w:space="0" w:color="auto" w:frame="1"/>
          <w:shd w:val="clear" w:color="auto" w:fill="FFFFFF"/>
          <w:lang w:val="es-ES_tradnl"/>
        </w:rPr>
        <w:t>1</w:t>
      </w:r>
      <w:r w:rsidR="00E7458E" w:rsidRPr="009053A2">
        <w:rPr>
          <w:rFonts w:cstheme="minorHAnsi"/>
          <w:b/>
          <w:bCs/>
          <w:iCs/>
          <w:color w:val="000000" w:themeColor="text1"/>
          <w:bdr w:val="none" w:sz="0" w:space="0" w:color="auto" w:frame="1"/>
          <w:shd w:val="clear" w:color="auto" w:fill="FFFFFF"/>
          <w:lang w:val="es-ES_tradnl"/>
        </w:rPr>
        <w:t xml:space="preserve"> de </w:t>
      </w:r>
      <w:r w:rsidR="007A0ABE">
        <w:rPr>
          <w:rFonts w:cstheme="minorHAnsi"/>
          <w:b/>
          <w:bCs/>
          <w:iCs/>
          <w:color w:val="000000" w:themeColor="text1"/>
          <w:bdr w:val="none" w:sz="0" w:space="0" w:color="auto" w:frame="1"/>
          <w:shd w:val="clear" w:color="auto" w:fill="FFFFFF"/>
          <w:lang w:val="es-ES_tradnl"/>
        </w:rPr>
        <w:t>agosto</w:t>
      </w:r>
      <w:r w:rsidR="00E7458E" w:rsidRPr="009053A2">
        <w:rPr>
          <w:rFonts w:cstheme="minorHAnsi"/>
          <w:b/>
          <w:bCs/>
          <w:iCs/>
          <w:color w:val="000000" w:themeColor="text1"/>
          <w:bdr w:val="none" w:sz="0" w:space="0" w:color="auto" w:frame="1"/>
          <w:shd w:val="clear" w:color="auto" w:fill="FFFFFF"/>
          <w:lang w:val="es-ES_tradnl"/>
        </w:rPr>
        <w:t xml:space="preserve"> de 2022</w:t>
      </w:r>
      <w:r w:rsidRPr="009053A2">
        <w:rPr>
          <w:rFonts w:cstheme="minorHAnsi"/>
          <w:b/>
          <w:bCs/>
          <w:iCs/>
          <w:color w:val="000000" w:themeColor="text1"/>
          <w:bdr w:val="none" w:sz="0" w:space="0" w:color="auto" w:frame="1"/>
          <w:shd w:val="clear" w:color="auto" w:fill="FFFFFF"/>
          <w:lang w:val="es-ES_tradnl"/>
        </w:rPr>
        <w:t>.</w:t>
      </w:r>
    </w:p>
    <w:p w14:paraId="7E459B41" w14:textId="77777777" w:rsidR="007A0ABE" w:rsidRPr="007A0ABE" w:rsidRDefault="007A0ABE" w:rsidP="007A0ABE">
      <w:pPr>
        <w:pStyle w:val="Prrafodelista"/>
        <w:spacing w:line="276" w:lineRule="auto"/>
        <w:jc w:val="both"/>
        <w:rPr>
          <w:rFonts w:cstheme="minorHAnsi"/>
          <w:iCs/>
          <w:color w:val="000000" w:themeColor="text1"/>
          <w:bdr w:val="none" w:sz="0" w:space="0" w:color="auto" w:frame="1"/>
          <w:shd w:val="clear" w:color="auto" w:fill="FFFFFF"/>
          <w:lang w:val="es-ES_tradnl"/>
        </w:rPr>
      </w:pPr>
    </w:p>
    <w:p w14:paraId="7E5FC038" w14:textId="757BB649" w:rsidR="003F32EF" w:rsidRDefault="003F32EF" w:rsidP="009053A2">
      <w:pPr>
        <w:spacing w:line="276" w:lineRule="auto"/>
        <w:contextualSpacing/>
        <w:jc w:val="both"/>
        <w:rPr>
          <w:rFonts w:cstheme="minorHAnsi"/>
          <w:b/>
          <w:bCs/>
          <w:iCs/>
          <w:color w:val="000000" w:themeColor="text1"/>
          <w:sz w:val="24"/>
          <w:szCs w:val="24"/>
          <w:bdr w:val="none" w:sz="0" w:space="0" w:color="auto" w:frame="1"/>
          <w:shd w:val="clear" w:color="auto" w:fill="FFFFFF"/>
          <w:lang w:val="es-ES_tradnl"/>
        </w:rPr>
      </w:pPr>
      <w:r w:rsidRPr="009053A2">
        <w:rPr>
          <w:rFonts w:cstheme="minorHAnsi"/>
          <w:b/>
          <w:bCs/>
          <w:iCs/>
          <w:color w:val="000000" w:themeColor="text1"/>
          <w:sz w:val="24"/>
          <w:szCs w:val="24"/>
          <w:bdr w:val="none" w:sz="0" w:space="0" w:color="auto" w:frame="1"/>
          <w:shd w:val="clear" w:color="auto" w:fill="FFFFFF"/>
          <w:lang w:val="es-ES_tradnl"/>
        </w:rPr>
        <w:t xml:space="preserve">Podemos concluir que </w:t>
      </w:r>
      <w:r w:rsidR="00E7458E" w:rsidRPr="009053A2">
        <w:rPr>
          <w:rFonts w:cstheme="minorHAnsi"/>
          <w:b/>
          <w:bCs/>
          <w:iCs/>
          <w:color w:val="000000" w:themeColor="text1"/>
          <w:sz w:val="24"/>
          <w:szCs w:val="24"/>
          <w:bdr w:val="none" w:sz="0" w:space="0" w:color="auto" w:frame="1"/>
          <w:shd w:val="clear" w:color="auto" w:fill="FFFFFF"/>
          <w:lang w:val="es-ES_tradnl"/>
        </w:rPr>
        <w:t xml:space="preserve">el incidente se presentó </w:t>
      </w:r>
      <w:r w:rsidR="007A0ABE">
        <w:rPr>
          <w:rFonts w:cstheme="minorHAnsi"/>
          <w:b/>
          <w:bCs/>
          <w:iCs/>
          <w:color w:val="000000" w:themeColor="text1"/>
          <w:sz w:val="24"/>
          <w:szCs w:val="24"/>
          <w:bdr w:val="none" w:sz="0" w:space="0" w:color="auto" w:frame="1"/>
          <w:shd w:val="clear" w:color="auto" w:fill="FFFFFF"/>
          <w:lang w:val="es-ES_tradnl"/>
        </w:rPr>
        <w:t>por fuera</w:t>
      </w:r>
      <w:r w:rsidR="00E7458E" w:rsidRPr="009053A2">
        <w:rPr>
          <w:rFonts w:cstheme="minorHAnsi"/>
          <w:b/>
          <w:bCs/>
          <w:iCs/>
          <w:color w:val="000000" w:themeColor="text1"/>
          <w:sz w:val="24"/>
          <w:szCs w:val="24"/>
          <w:bdr w:val="none" w:sz="0" w:space="0" w:color="auto" w:frame="1"/>
          <w:shd w:val="clear" w:color="auto" w:fill="FFFFFF"/>
          <w:lang w:val="es-ES_tradnl"/>
        </w:rPr>
        <w:t xml:space="preserve"> de</w:t>
      </w:r>
      <w:r w:rsidR="0097157B" w:rsidRPr="009053A2">
        <w:rPr>
          <w:rFonts w:cstheme="minorHAnsi"/>
          <w:b/>
          <w:bCs/>
          <w:iCs/>
          <w:color w:val="000000" w:themeColor="text1"/>
          <w:sz w:val="24"/>
          <w:szCs w:val="24"/>
          <w:bdr w:val="none" w:sz="0" w:space="0" w:color="auto" w:frame="1"/>
          <w:shd w:val="clear" w:color="auto" w:fill="FFFFFF"/>
          <w:lang w:val="es-ES_tradnl"/>
        </w:rPr>
        <w:t xml:space="preserve"> los términos establecidos.</w:t>
      </w:r>
    </w:p>
    <w:p w14:paraId="260D17F1" w14:textId="5F5C311F" w:rsidR="00B20AC0" w:rsidRDefault="00B20AC0" w:rsidP="009053A2">
      <w:pPr>
        <w:spacing w:line="276" w:lineRule="auto"/>
        <w:contextualSpacing/>
        <w:jc w:val="both"/>
        <w:rPr>
          <w:rFonts w:cstheme="minorHAnsi"/>
          <w:iCs/>
          <w:color w:val="000000" w:themeColor="text1"/>
          <w:sz w:val="24"/>
          <w:szCs w:val="24"/>
          <w:bdr w:val="none" w:sz="0" w:space="0" w:color="auto" w:frame="1"/>
          <w:shd w:val="clear" w:color="auto" w:fill="FFFFFF"/>
          <w:lang w:val="es-ES_tradnl"/>
        </w:rPr>
      </w:pPr>
    </w:p>
    <w:p w14:paraId="6ED5516B" w14:textId="453F2A7A" w:rsidR="00B20AC0" w:rsidRPr="009053A2" w:rsidRDefault="00B20AC0" w:rsidP="009053A2">
      <w:pPr>
        <w:spacing w:line="276" w:lineRule="auto"/>
        <w:contextualSpacing/>
        <w:jc w:val="both"/>
        <w:rPr>
          <w:rFonts w:cstheme="minorHAnsi"/>
          <w:iCs/>
          <w:color w:val="000000" w:themeColor="text1"/>
          <w:sz w:val="24"/>
          <w:szCs w:val="24"/>
          <w:bdr w:val="none" w:sz="0" w:space="0" w:color="auto" w:frame="1"/>
          <w:shd w:val="clear" w:color="auto" w:fill="FFFFFF"/>
          <w:lang w:val="es-ES_tradnl"/>
        </w:rPr>
      </w:pPr>
      <w:r>
        <w:rPr>
          <w:rFonts w:cstheme="minorHAnsi"/>
          <w:iCs/>
          <w:color w:val="000000" w:themeColor="text1"/>
          <w:sz w:val="24"/>
          <w:szCs w:val="24"/>
          <w:bdr w:val="none" w:sz="0" w:space="0" w:color="auto" w:frame="1"/>
          <w:shd w:val="clear" w:color="auto" w:fill="FFFFFF"/>
          <w:lang w:val="es-ES_tradnl"/>
        </w:rPr>
        <w:t>Pese a lo anterior, es necesario advertir que los jueces penales, en sus decisiones, toman como fecha de inicio del términos de prescripción, la fecha en que la sentencia penal quedó en firme y ejecutoriada.</w:t>
      </w:r>
    </w:p>
    <w:p w14:paraId="7F6DEE69" w14:textId="77777777" w:rsidR="00D84B22" w:rsidRPr="009053A2" w:rsidRDefault="00D84B22" w:rsidP="009053A2">
      <w:pPr>
        <w:tabs>
          <w:tab w:val="left" w:pos="3686"/>
        </w:tabs>
        <w:spacing w:line="276" w:lineRule="auto"/>
        <w:jc w:val="both"/>
        <w:rPr>
          <w:rFonts w:cstheme="minorHAnsi"/>
          <w:color w:val="000000" w:themeColor="text1"/>
          <w:sz w:val="24"/>
          <w:szCs w:val="24"/>
          <w:lang w:val="es-ES_tradnl"/>
        </w:rPr>
      </w:pPr>
    </w:p>
    <w:p w14:paraId="18E7C1F9" w14:textId="3F56919D" w:rsidR="00A21806" w:rsidRPr="009053A2" w:rsidRDefault="001362EC" w:rsidP="009053A2">
      <w:pPr>
        <w:tabs>
          <w:tab w:val="left" w:pos="3686"/>
        </w:tabs>
        <w:spacing w:line="276" w:lineRule="auto"/>
        <w:jc w:val="both"/>
        <w:rPr>
          <w:rFonts w:cstheme="minorHAnsi"/>
          <w:b/>
          <w:bCs/>
          <w:color w:val="000000" w:themeColor="text1"/>
          <w:sz w:val="24"/>
          <w:szCs w:val="24"/>
          <w:u w:val="single"/>
          <w:lang w:val="es-ES_tradnl"/>
        </w:rPr>
      </w:pPr>
      <w:r>
        <w:rPr>
          <w:rFonts w:cstheme="minorHAnsi"/>
          <w:b/>
          <w:bCs/>
          <w:color w:val="000000" w:themeColor="text1"/>
          <w:sz w:val="24"/>
          <w:szCs w:val="24"/>
          <w:u w:val="single"/>
          <w:lang w:val="es-ES_tradnl"/>
        </w:rPr>
        <w:t>CALIFICACIÓN DE CONTINGENCIA</w:t>
      </w:r>
      <w:r w:rsidR="00A21806" w:rsidRPr="009053A2">
        <w:rPr>
          <w:rFonts w:cstheme="minorHAnsi"/>
          <w:b/>
          <w:bCs/>
          <w:color w:val="000000" w:themeColor="text1"/>
          <w:sz w:val="24"/>
          <w:szCs w:val="24"/>
          <w:u w:val="single"/>
          <w:lang w:val="es-ES_tradnl"/>
        </w:rPr>
        <w:t xml:space="preserve"> Y SUGERENCIAS </w:t>
      </w:r>
    </w:p>
    <w:p w14:paraId="25EB5D09" w14:textId="77777777" w:rsidR="00D226DD" w:rsidRPr="009053A2" w:rsidRDefault="00D226DD" w:rsidP="009053A2">
      <w:pPr>
        <w:pStyle w:val="Default"/>
        <w:spacing w:line="276" w:lineRule="auto"/>
        <w:jc w:val="both"/>
        <w:rPr>
          <w:rFonts w:asciiTheme="minorHAnsi" w:hAnsiTheme="minorHAnsi" w:cstheme="minorHAnsi"/>
          <w:color w:val="000000" w:themeColor="text1"/>
          <w:lang w:val="es-ES_tradnl"/>
        </w:rPr>
      </w:pPr>
    </w:p>
    <w:p w14:paraId="29FEBE02" w14:textId="44424135" w:rsidR="0097157B" w:rsidRPr="009053A2" w:rsidRDefault="00B20AC0" w:rsidP="009053A2">
      <w:pPr>
        <w:pStyle w:val="Default"/>
        <w:spacing w:line="276" w:lineRule="auto"/>
        <w:jc w:val="both"/>
        <w:rPr>
          <w:rFonts w:asciiTheme="minorHAnsi" w:hAnsiTheme="minorHAnsi" w:cstheme="minorHAnsi"/>
          <w:color w:val="000000" w:themeColor="text1"/>
          <w:lang w:val="es-ES_tradnl"/>
        </w:rPr>
      </w:pPr>
      <w:r>
        <w:rPr>
          <w:rFonts w:asciiTheme="minorHAnsi" w:hAnsiTheme="minorHAnsi" w:cstheme="minorHAnsi"/>
          <w:color w:val="000000" w:themeColor="text1"/>
          <w:lang w:val="es-ES_tradnl"/>
        </w:rPr>
        <w:t>Pese a que n</w:t>
      </w:r>
      <w:r w:rsidR="007A0ABE">
        <w:rPr>
          <w:rFonts w:asciiTheme="minorHAnsi" w:hAnsiTheme="minorHAnsi" w:cstheme="minorHAnsi"/>
          <w:color w:val="000000" w:themeColor="text1"/>
          <w:lang w:val="es-ES_tradnl"/>
        </w:rPr>
        <w:t>o e</w:t>
      </w:r>
      <w:r w:rsidR="00A21806" w:rsidRPr="009053A2">
        <w:rPr>
          <w:rFonts w:asciiTheme="minorHAnsi" w:hAnsiTheme="minorHAnsi" w:cstheme="minorHAnsi"/>
          <w:color w:val="000000" w:themeColor="text1"/>
          <w:lang w:val="es-ES_tradnl"/>
        </w:rPr>
        <w:t xml:space="preserve">stá probado el contenido obligacional que el incidentante reclama </w:t>
      </w:r>
      <w:r w:rsidR="007A0ABE">
        <w:rPr>
          <w:rFonts w:asciiTheme="minorHAnsi" w:hAnsiTheme="minorHAnsi" w:cstheme="minorHAnsi"/>
          <w:color w:val="000000" w:themeColor="text1"/>
          <w:lang w:val="es-ES_tradnl"/>
        </w:rPr>
        <w:t>a la aseguradora</w:t>
      </w:r>
      <w:r w:rsidR="00A21806" w:rsidRPr="009053A2">
        <w:rPr>
          <w:rFonts w:asciiTheme="minorHAnsi" w:hAnsiTheme="minorHAnsi" w:cstheme="minorHAnsi"/>
          <w:color w:val="000000" w:themeColor="text1"/>
          <w:lang w:val="es-ES_tradnl"/>
        </w:rPr>
        <w:t xml:space="preserve">, se considera como </w:t>
      </w:r>
      <w:r>
        <w:rPr>
          <w:rFonts w:asciiTheme="minorHAnsi" w:hAnsiTheme="minorHAnsi" w:cstheme="minorHAnsi"/>
          <w:b/>
          <w:color w:val="000000" w:themeColor="text1"/>
          <w:lang w:val="es-ES_tradnl"/>
        </w:rPr>
        <w:t>PROBABLE</w:t>
      </w:r>
      <w:r w:rsidR="00A21806" w:rsidRPr="009053A2">
        <w:rPr>
          <w:rFonts w:asciiTheme="minorHAnsi" w:hAnsiTheme="minorHAnsi" w:cstheme="minorHAnsi"/>
          <w:color w:val="000000" w:themeColor="text1"/>
          <w:lang w:val="es-ES_tradnl"/>
        </w:rPr>
        <w:t xml:space="preserve"> una condena en contra de l</w:t>
      </w:r>
      <w:r w:rsidR="007A0ABE">
        <w:rPr>
          <w:rFonts w:asciiTheme="minorHAnsi" w:hAnsiTheme="minorHAnsi" w:cstheme="minorHAnsi"/>
          <w:color w:val="000000" w:themeColor="text1"/>
          <w:lang w:val="es-ES_tradnl"/>
        </w:rPr>
        <w:t>a</w:t>
      </w:r>
      <w:r w:rsidR="00A21806" w:rsidRPr="009053A2">
        <w:rPr>
          <w:rFonts w:asciiTheme="minorHAnsi" w:hAnsiTheme="minorHAnsi" w:cstheme="minorHAnsi"/>
          <w:color w:val="000000" w:themeColor="text1"/>
          <w:lang w:val="es-ES_tradnl"/>
        </w:rPr>
        <w:t xml:space="preserve"> </w:t>
      </w:r>
      <w:r w:rsidR="007A0ABE">
        <w:rPr>
          <w:rFonts w:asciiTheme="minorHAnsi" w:hAnsiTheme="minorHAnsi" w:cstheme="minorHAnsi"/>
          <w:color w:val="000000" w:themeColor="text1"/>
          <w:lang w:val="es-ES_tradnl"/>
        </w:rPr>
        <w:t>compañía</w:t>
      </w:r>
      <w:r w:rsidR="00A21806" w:rsidRPr="009053A2">
        <w:rPr>
          <w:rFonts w:asciiTheme="minorHAnsi" w:hAnsiTheme="minorHAnsi" w:cstheme="minorHAnsi"/>
          <w:color w:val="000000" w:themeColor="text1"/>
          <w:lang w:val="es-ES_tradnl"/>
        </w:rPr>
        <w:t>.</w:t>
      </w:r>
    </w:p>
    <w:p w14:paraId="6BAACB74" w14:textId="77777777" w:rsidR="00B20AC0" w:rsidRDefault="00A21806" w:rsidP="009053A2">
      <w:pPr>
        <w:pStyle w:val="Default"/>
        <w:spacing w:line="276" w:lineRule="auto"/>
        <w:jc w:val="both"/>
        <w:rPr>
          <w:rFonts w:asciiTheme="minorHAnsi" w:hAnsiTheme="minorHAnsi" w:cstheme="minorHAnsi"/>
          <w:color w:val="000000" w:themeColor="text1"/>
          <w:lang w:val="es-ES_tradnl"/>
        </w:rPr>
      </w:pPr>
      <w:r w:rsidRPr="009053A2">
        <w:rPr>
          <w:rFonts w:asciiTheme="minorHAnsi" w:hAnsiTheme="minorHAnsi" w:cstheme="minorHAnsi"/>
          <w:color w:val="000000" w:themeColor="text1"/>
          <w:lang w:val="es-ES_tradnl"/>
        </w:rPr>
        <w:t xml:space="preserve"> </w:t>
      </w:r>
    </w:p>
    <w:p w14:paraId="08A3DE32" w14:textId="24A90206" w:rsidR="00A21806" w:rsidRPr="009053A2" w:rsidRDefault="00771985" w:rsidP="009053A2">
      <w:pPr>
        <w:pStyle w:val="Default"/>
        <w:spacing w:line="276" w:lineRule="auto"/>
        <w:jc w:val="both"/>
        <w:rPr>
          <w:rFonts w:asciiTheme="minorHAnsi" w:hAnsiTheme="minorHAnsi" w:cstheme="minorHAnsi"/>
          <w:color w:val="000000" w:themeColor="text1"/>
          <w:lang w:val="es-ES_tradnl"/>
        </w:rPr>
      </w:pPr>
      <w:r>
        <w:rPr>
          <w:rFonts w:asciiTheme="minorHAnsi" w:hAnsiTheme="minorHAnsi" w:cstheme="minorHAnsi"/>
          <w:color w:val="000000" w:themeColor="text1"/>
          <w:lang w:val="es-ES_tradnl"/>
        </w:rPr>
        <w:t>L</w:t>
      </w:r>
      <w:r w:rsidR="00A21806" w:rsidRPr="009053A2">
        <w:rPr>
          <w:rFonts w:asciiTheme="minorHAnsi" w:hAnsiTheme="minorHAnsi" w:cstheme="minorHAnsi"/>
          <w:color w:val="000000" w:themeColor="text1"/>
          <w:lang w:val="es-ES_tradnl"/>
        </w:rPr>
        <w:t>a gravedad y entidad del daño se encuentran debidamente acreditadas y decantadas</w:t>
      </w:r>
      <w:r w:rsidR="007A0ABE">
        <w:rPr>
          <w:rFonts w:asciiTheme="minorHAnsi" w:hAnsiTheme="minorHAnsi" w:cstheme="minorHAnsi"/>
          <w:color w:val="000000" w:themeColor="text1"/>
          <w:lang w:val="es-ES_tradnl"/>
        </w:rPr>
        <w:t>,</w:t>
      </w:r>
      <w:r w:rsidR="00A21806" w:rsidRPr="009053A2">
        <w:rPr>
          <w:rFonts w:asciiTheme="minorHAnsi" w:hAnsiTheme="minorHAnsi" w:cstheme="minorHAnsi"/>
          <w:color w:val="000000" w:themeColor="text1"/>
          <w:lang w:val="es-ES_tradnl"/>
        </w:rPr>
        <w:t xml:space="preserve"> toda vez que se trata de un incidente de reparación integral, el cual parte de una sentencia </w:t>
      </w:r>
      <w:r w:rsidR="00A21806" w:rsidRPr="009053A2">
        <w:rPr>
          <w:rFonts w:asciiTheme="minorHAnsi" w:hAnsiTheme="minorHAnsi" w:cstheme="minorHAnsi"/>
          <w:color w:val="000000" w:themeColor="text1"/>
          <w:lang w:val="es-ES_tradnl"/>
        </w:rPr>
        <w:lastRenderedPageBreak/>
        <w:t>condenatoria ejecutoriada y en firme</w:t>
      </w:r>
      <w:r w:rsidR="007A0ABE">
        <w:rPr>
          <w:rFonts w:asciiTheme="minorHAnsi" w:hAnsiTheme="minorHAnsi" w:cstheme="minorHAnsi"/>
          <w:color w:val="000000" w:themeColor="text1"/>
          <w:lang w:val="es-ES_tradnl"/>
        </w:rPr>
        <w:t xml:space="preserve">, </w:t>
      </w:r>
      <w:r>
        <w:rPr>
          <w:rFonts w:asciiTheme="minorHAnsi" w:hAnsiTheme="minorHAnsi" w:cstheme="minorHAnsi"/>
          <w:color w:val="000000" w:themeColor="text1"/>
          <w:lang w:val="es-ES_tradnl"/>
        </w:rPr>
        <w:t xml:space="preserve">y aunque se considere que </w:t>
      </w:r>
      <w:r w:rsidR="007A0ABE">
        <w:rPr>
          <w:rFonts w:asciiTheme="minorHAnsi" w:hAnsiTheme="minorHAnsi" w:cstheme="minorHAnsi"/>
          <w:color w:val="000000" w:themeColor="text1"/>
          <w:lang w:val="es-ES_tradnl"/>
        </w:rPr>
        <w:t>no hay ningún elemento que permita vincular a la aseguradora con el pago de indemnización alguna, en caso de una eventual condena</w:t>
      </w:r>
      <w:r>
        <w:rPr>
          <w:rFonts w:asciiTheme="minorHAnsi" w:hAnsiTheme="minorHAnsi" w:cstheme="minorHAnsi"/>
          <w:color w:val="000000" w:themeColor="text1"/>
          <w:lang w:val="es-ES_tradnl"/>
        </w:rPr>
        <w:t>, la jueza penal, decidió que era procedente el pago de indemnización hasta por el monto pactado en el SOAT.</w:t>
      </w:r>
      <w:r w:rsidR="00A21806" w:rsidRPr="009053A2">
        <w:rPr>
          <w:rFonts w:asciiTheme="minorHAnsi" w:hAnsiTheme="minorHAnsi" w:cstheme="minorHAnsi"/>
          <w:color w:val="000000" w:themeColor="text1"/>
          <w:lang w:val="es-ES_tradnl"/>
        </w:rPr>
        <w:t xml:space="preserve"> </w:t>
      </w:r>
    </w:p>
    <w:p w14:paraId="0AAD6BA0" w14:textId="77777777" w:rsidR="00D226DD" w:rsidRPr="009053A2" w:rsidRDefault="00D226DD" w:rsidP="009053A2">
      <w:pPr>
        <w:pStyle w:val="Default"/>
        <w:spacing w:line="276" w:lineRule="auto"/>
        <w:jc w:val="both"/>
        <w:rPr>
          <w:rFonts w:asciiTheme="minorHAnsi" w:hAnsiTheme="minorHAnsi" w:cstheme="minorHAnsi"/>
          <w:color w:val="000000" w:themeColor="text1"/>
          <w:lang w:val="es-ES_tradnl"/>
        </w:rPr>
      </w:pPr>
    </w:p>
    <w:p w14:paraId="2D08DF7E" w14:textId="2D676BDC" w:rsidR="00A21806" w:rsidRDefault="00771985" w:rsidP="007A0ABE">
      <w:pPr>
        <w:pStyle w:val="Default"/>
        <w:spacing w:line="276" w:lineRule="auto"/>
        <w:jc w:val="both"/>
        <w:rPr>
          <w:rFonts w:asciiTheme="minorHAnsi" w:hAnsiTheme="minorHAnsi" w:cstheme="minorHAnsi"/>
          <w:color w:val="000000" w:themeColor="text1"/>
          <w:lang w:val="es-ES_tradnl"/>
        </w:rPr>
      </w:pPr>
      <w:r>
        <w:rPr>
          <w:rFonts w:asciiTheme="minorHAnsi" w:hAnsiTheme="minorHAnsi" w:cstheme="minorHAnsi"/>
          <w:color w:val="000000" w:themeColor="text1"/>
          <w:lang w:val="es-ES_tradnl"/>
        </w:rPr>
        <w:t>Por otro lado, no se tuvo en cuenta los argumentos referentes a la prescripción derivada del contrato de seguros, por cuanto se tomó como inicio para contabilizar los términos de prescripción, la fecha en la cual la sentencia penal cobró firmeza.</w:t>
      </w:r>
    </w:p>
    <w:p w14:paraId="73A1AAC4" w14:textId="1C2104DC" w:rsidR="00771985" w:rsidRDefault="00771985" w:rsidP="007A0ABE">
      <w:pPr>
        <w:pStyle w:val="Default"/>
        <w:spacing w:line="276" w:lineRule="auto"/>
        <w:jc w:val="both"/>
        <w:rPr>
          <w:rFonts w:asciiTheme="minorHAnsi" w:hAnsiTheme="minorHAnsi" w:cstheme="minorHAnsi"/>
          <w:color w:val="000000" w:themeColor="text1"/>
          <w:lang w:val="es-ES_tradnl"/>
        </w:rPr>
      </w:pPr>
    </w:p>
    <w:p w14:paraId="39C435E0" w14:textId="77777777" w:rsidR="00771985" w:rsidRPr="009053A2" w:rsidRDefault="00771985" w:rsidP="007A0ABE">
      <w:pPr>
        <w:pStyle w:val="Default"/>
        <w:spacing w:line="276" w:lineRule="auto"/>
        <w:jc w:val="both"/>
        <w:rPr>
          <w:rFonts w:asciiTheme="minorHAnsi" w:hAnsiTheme="minorHAnsi" w:cstheme="minorHAnsi"/>
          <w:color w:val="000000" w:themeColor="text1"/>
          <w:lang w:val="es-ES_tradnl"/>
        </w:rPr>
      </w:pPr>
      <w:bookmarkStart w:id="1" w:name="_GoBack"/>
      <w:bookmarkEnd w:id="1"/>
    </w:p>
    <w:p w14:paraId="4872C0B6" w14:textId="77777777" w:rsidR="00A21806" w:rsidRPr="009053A2" w:rsidRDefault="00A21806" w:rsidP="009053A2">
      <w:pPr>
        <w:tabs>
          <w:tab w:val="left" w:pos="3686"/>
        </w:tabs>
        <w:spacing w:line="276" w:lineRule="auto"/>
        <w:jc w:val="both"/>
        <w:rPr>
          <w:rFonts w:cstheme="minorHAnsi"/>
          <w:color w:val="000000" w:themeColor="text1"/>
          <w:sz w:val="24"/>
          <w:szCs w:val="24"/>
          <w:lang w:val="es-ES_tradnl"/>
        </w:rPr>
      </w:pPr>
      <w:r w:rsidRPr="009053A2">
        <w:rPr>
          <w:rFonts w:cstheme="minorHAnsi"/>
          <w:color w:val="000000" w:themeColor="text1"/>
          <w:sz w:val="24"/>
          <w:szCs w:val="24"/>
          <w:lang w:val="es-ES_tradnl"/>
        </w:rPr>
        <w:t xml:space="preserve">Quedamos atentos a sus valiosas consideraciones. </w:t>
      </w:r>
    </w:p>
    <w:p w14:paraId="64CD4C4C" w14:textId="77777777" w:rsidR="0077404D" w:rsidRPr="009053A2" w:rsidRDefault="0077404D" w:rsidP="009053A2">
      <w:pPr>
        <w:tabs>
          <w:tab w:val="left" w:pos="3686"/>
        </w:tabs>
        <w:spacing w:line="276" w:lineRule="auto"/>
        <w:jc w:val="both"/>
        <w:rPr>
          <w:rFonts w:cstheme="minorHAnsi"/>
          <w:b/>
          <w:bCs/>
          <w:color w:val="000000" w:themeColor="text1"/>
          <w:sz w:val="24"/>
          <w:szCs w:val="24"/>
          <w:lang w:val="es-ES_tradnl"/>
        </w:rPr>
      </w:pPr>
    </w:p>
    <w:p w14:paraId="3915626B" w14:textId="17F31DDC" w:rsidR="00A21806" w:rsidRPr="009053A2" w:rsidRDefault="00A21806" w:rsidP="009053A2">
      <w:pPr>
        <w:tabs>
          <w:tab w:val="left" w:pos="3686"/>
        </w:tabs>
        <w:spacing w:line="276" w:lineRule="auto"/>
        <w:jc w:val="both"/>
        <w:rPr>
          <w:rFonts w:cstheme="minorHAnsi"/>
          <w:b/>
          <w:bCs/>
          <w:color w:val="000000" w:themeColor="text1"/>
          <w:sz w:val="24"/>
          <w:szCs w:val="24"/>
          <w:lang w:val="es-ES_tradnl"/>
        </w:rPr>
      </w:pPr>
      <w:r w:rsidRPr="009053A2">
        <w:rPr>
          <w:rFonts w:cstheme="minorHAnsi"/>
          <w:b/>
          <w:bCs/>
          <w:color w:val="000000" w:themeColor="text1"/>
          <w:sz w:val="24"/>
          <w:szCs w:val="24"/>
          <w:lang w:val="es-ES_tradnl"/>
        </w:rPr>
        <w:t>GUSTAVO ALBERTO HERRERA ÁVILA</w:t>
      </w:r>
    </w:p>
    <w:p w14:paraId="046D8615" w14:textId="42323FD2" w:rsidR="00A21806" w:rsidRPr="009053A2" w:rsidRDefault="00A21806" w:rsidP="009053A2">
      <w:pPr>
        <w:tabs>
          <w:tab w:val="left" w:pos="3686"/>
        </w:tabs>
        <w:spacing w:line="276" w:lineRule="auto"/>
        <w:jc w:val="both"/>
        <w:rPr>
          <w:rFonts w:cstheme="minorHAnsi"/>
          <w:b/>
          <w:color w:val="000000" w:themeColor="text1"/>
          <w:sz w:val="24"/>
          <w:szCs w:val="24"/>
          <w:lang w:val="es-ES_tradnl"/>
        </w:rPr>
      </w:pPr>
      <w:r w:rsidRPr="009053A2">
        <w:rPr>
          <w:rFonts w:cstheme="minorHAnsi"/>
          <w:b/>
          <w:color w:val="000000" w:themeColor="text1"/>
          <w:sz w:val="24"/>
          <w:szCs w:val="24"/>
          <w:lang w:val="es-ES_tradnl"/>
        </w:rPr>
        <w:t xml:space="preserve">Apoderado </w:t>
      </w:r>
      <w:r w:rsidR="0097157B" w:rsidRPr="009053A2">
        <w:rPr>
          <w:rFonts w:cstheme="minorHAnsi"/>
          <w:b/>
          <w:color w:val="000000" w:themeColor="text1"/>
          <w:sz w:val="24"/>
          <w:szCs w:val="24"/>
          <w:lang w:val="es-ES_tradnl"/>
        </w:rPr>
        <w:t>de SEGUROS MUNDIAL S.A.</w:t>
      </w:r>
    </w:p>
    <w:p w14:paraId="78BD739F" w14:textId="77777777" w:rsidR="00A21806" w:rsidRPr="009053A2" w:rsidRDefault="00A21806" w:rsidP="009053A2">
      <w:pPr>
        <w:tabs>
          <w:tab w:val="left" w:pos="3686"/>
        </w:tabs>
        <w:spacing w:line="276" w:lineRule="auto"/>
        <w:jc w:val="both"/>
        <w:rPr>
          <w:rFonts w:cstheme="minorHAnsi"/>
          <w:b/>
          <w:color w:val="000000" w:themeColor="text1"/>
          <w:sz w:val="24"/>
          <w:szCs w:val="24"/>
          <w:lang w:val="es-ES_tradnl"/>
        </w:rPr>
      </w:pPr>
      <w:r w:rsidRPr="009053A2">
        <w:rPr>
          <w:rFonts w:cstheme="minorHAnsi"/>
          <w:b/>
          <w:color w:val="000000" w:themeColor="text1"/>
          <w:sz w:val="24"/>
          <w:szCs w:val="24"/>
          <w:lang w:val="es-ES_tradnl"/>
        </w:rPr>
        <w:t>Gerente G. HERRERA &amp; ASOCIADOS ABOGADOS S.A.S.</w:t>
      </w:r>
      <w:bookmarkEnd w:id="0"/>
    </w:p>
    <w:p w14:paraId="7A18AE8F" w14:textId="77777777" w:rsidR="00A6145A" w:rsidRPr="009053A2" w:rsidRDefault="00A6145A" w:rsidP="009053A2">
      <w:pPr>
        <w:spacing w:line="276" w:lineRule="auto"/>
        <w:jc w:val="both"/>
        <w:rPr>
          <w:rFonts w:cstheme="minorHAnsi"/>
          <w:color w:val="000000" w:themeColor="text1"/>
          <w:sz w:val="24"/>
          <w:szCs w:val="24"/>
          <w:lang w:val="es-ES_tradnl"/>
        </w:rPr>
      </w:pPr>
    </w:p>
    <w:sectPr w:rsidR="00A6145A" w:rsidRPr="009053A2" w:rsidSect="00DB2683">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101D8" w14:textId="77777777" w:rsidR="00257DCB" w:rsidRDefault="00257DCB" w:rsidP="00A21806">
      <w:pPr>
        <w:spacing w:after="0" w:line="240" w:lineRule="auto"/>
      </w:pPr>
      <w:r>
        <w:separator/>
      </w:r>
    </w:p>
  </w:endnote>
  <w:endnote w:type="continuationSeparator" w:id="0">
    <w:p w14:paraId="3D97F1E9" w14:textId="77777777" w:rsidR="00257DCB" w:rsidRDefault="00257DCB" w:rsidP="00A2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D352" w14:textId="77777777" w:rsidR="00EF155F" w:rsidRPr="00266D9F" w:rsidRDefault="00F77DB0" w:rsidP="00AE0E55">
    <w:pPr>
      <w:spacing w:line="0" w:lineRule="atLeast"/>
      <w:ind w:left="400"/>
      <w:rPr>
        <w:rFonts w:ascii="Arial" w:eastAsia="Arial" w:hAnsi="Arial"/>
        <w:b/>
        <w:color w:val="12213B"/>
        <w:sz w:val="12"/>
        <w:lang w:val="en-US"/>
      </w:rPr>
    </w:pPr>
    <w:r>
      <w:rPr>
        <w:rFonts w:ascii="Arial" w:eastAsia="Arial" w:hAnsi="Arial"/>
        <w:b/>
        <w:noProof/>
        <w:color w:val="12213B"/>
        <w:sz w:val="12"/>
        <w:lang w:eastAsia="es-CO"/>
      </w:rPr>
      <w:drawing>
        <wp:anchor distT="0" distB="0" distL="114300" distR="114300" simplePos="0" relativeHeight="251660288" behindDoc="1" locked="0" layoutInCell="1" allowOverlap="1" wp14:anchorId="7821B6BC" wp14:editId="406C35AB">
          <wp:simplePos x="0" y="0"/>
          <wp:positionH relativeFrom="column">
            <wp:posOffset>-468630</wp:posOffset>
          </wp:positionH>
          <wp:positionV relativeFrom="paragraph">
            <wp:posOffset>-77470</wp:posOffset>
          </wp:positionV>
          <wp:extent cx="637540" cy="333375"/>
          <wp:effectExtent l="0" t="0" r="0" b="0"/>
          <wp:wrapNone/>
          <wp:docPr id="7" name="Imagen 4"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14:sizeRelH relativeFrom="page">
            <wp14:pctWidth>0</wp14:pctWidth>
          </wp14:sizeRelH>
          <wp14:sizeRelV relativeFrom="page">
            <wp14:pctHeight>0</wp14:pctHeight>
          </wp14:sizeRelV>
        </wp:anchor>
      </w:drawing>
    </w:r>
    <w:r w:rsidRPr="00266D9F">
      <w:rPr>
        <w:rFonts w:ascii="Arial" w:eastAsia="Arial" w:hAnsi="Arial"/>
        <w:color w:val="12213B"/>
        <w:sz w:val="11"/>
        <w:lang w:val="en-US"/>
      </w:rPr>
      <w:t xml:space="preserve">AV 6ª A # 35N100 </w:t>
    </w:r>
    <w:r>
      <w:rPr>
        <w:rFonts w:ascii="Arial" w:eastAsia="Arial" w:hAnsi="Arial"/>
        <w:color w:val="12213B"/>
        <w:sz w:val="11"/>
        <w:lang w:val="en-US"/>
      </w:rPr>
      <w:t>of</w:t>
    </w:r>
    <w:r w:rsidRPr="00266D9F">
      <w:rPr>
        <w:rFonts w:ascii="Arial" w:eastAsia="Arial" w:hAnsi="Arial"/>
        <w:color w:val="12213B"/>
        <w:sz w:val="11"/>
        <w:lang w:val="en-US"/>
      </w:rPr>
      <w:t xml:space="preserve">. </w:t>
    </w:r>
    <w:r>
      <w:rPr>
        <w:rFonts w:ascii="Arial" w:eastAsia="Arial" w:hAnsi="Arial"/>
        <w:color w:val="12213B"/>
        <w:sz w:val="11"/>
        <w:lang w:val="en-US"/>
      </w:rPr>
      <w:t>212</w:t>
    </w:r>
    <w:r w:rsidRPr="00266D9F">
      <w:rPr>
        <w:rFonts w:ascii="Arial" w:eastAsia="Arial" w:hAnsi="Arial"/>
        <w:color w:val="12213B"/>
        <w:sz w:val="11"/>
        <w:lang w:val="en-US"/>
      </w:rPr>
      <w:t xml:space="preserve"> (Cali)</w:t>
    </w:r>
    <w:r>
      <w:rPr>
        <w:rFonts w:ascii="Arial" w:eastAsia="Arial" w:hAnsi="Arial"/>
        <w:color w:val="12213B"/>
        <w:sz w:val="11"/>
        <w:lang w:val="en-US"/>
      </w:rPr>
      <w:t xml:space="preserve"> – (+57)(2) 659 40 75</w:t>
    </w:r>
  </w:p>
  <w:p w14:paraId="1A85A911" w14:textId="77777777" w:rsidR="00EF155F" w:rsidRPr="00266D9F" w:rsidRDefault="00F77DB0" w:rsidP="00AE0E55">
    <w:pPr>
      <w:spacing w:line="0" w:lineRule="atLeast"/>
      <w:ind w:left="400"/>
      <w:rPr>
        <w:rFonts w:ascii="Arial" w:eastAsia="Arial" w:hAnsi="Arial"/>
        <w:color w:val="12213B"/>
        <w:sz w:val="11"/>
        <w:lang w:val="en-US"/>
      </w:rPr>
    </w:pPr>
    <w:r w:rsidRPr="00266D9F">
      <w:rPr>
        <w:rFonts w:ascii="Arial" w:eastAsia="Arial" w:hAnsi="Arial"/>
        <w:color w:val="12213B"/>
        <w:sz w:val="11"/>
        <w:lang w:val="en-US"/>
      </w:rPr>
      <w:t>Carrera 11a No 94a - 56 of. 402 (Bogotá)</w:t>
    </w:r>
    <w:r>
      <w:rPr>
        <w:rFonts w:ascii="Arial" w:eastAsia="Arial" w:hAnsi="Arial"/>
        <w:color w:val="12213B"/>
        <w:sz w:val="11"/>
        <w:lang w:val="en-US"/>
      </w:rPr>
      <w:t xml:space="preserve"> - </w:t>
    </w:r>
    <w:r w:rsidRPr="00266D9F">
      <w:rPr>
        <w:rFonts w:ascii="Arial" w:eastAsia="Arial" w:hAnsi="Arial"/>
        <w:color w:val="12213B"/>
        <w:sz w:val="12"/>
        <w:lang w:val="en-US"/>
      </w:rPr>
      <w:t>(+57)(1) 743 65 92</w:t>
    </w:r>
  </w:p>
  <w:p w14:paraId="14B3A518" w14:textId="77777777" w:rsidR="00EF155F" w:rsidRPr="00266D9F" w:rsidRDefault="00F77DB0" w:rsidP="00AE0E55">
    <w:pPr>
      <w:spacing w:line="0" w:lineRule="atLeast"/>
      <w:ind w:left="400"/>
      <w:rPr>
        <w:rFonts w:ascii="Arial" w:eastAsia="Arial" w:hAnsi="Arial"/>
        <w:b/>
        <w:color w:val="12213B"/>
        <w:sz w:val="12"/>
        <w:lang w:val="en-US"/>
      </w:rPr>
    </w:pPr>
    <w:r w:rsidRPr="00266D9F">
      <w:rPr>
        <w:rFonts w:ascii="Arial" w:eastAsia="Arial" w:hAnsi="Arial"/>
        <w:b/>
        <w:color w:val="12213B"/>
        <w:sz w:val="12"/>
        <w:lang w:val="en-US"/>
      </w:rPr>
      <w:t>www.</w:t>
    </w:r>
    <w:r w:rsidRPr="00266D9F">
      <w:rPr>
        <w:rFonts w:ascii="Arial" w:eastAsia="Arial" w:hAnsi="Arial"/>
        <w:b/>
        <w:color w:val="B20029"/>
        <w:sz w:val="12"/>
        <w:lang w:val="en-US"/>
      </w:rPr>
      <w:t>gha</w:t>
    </w:r>
    <w:r w:rsidRPr="00266D9F">
      <w:rPr>
        <w:rFonts w:ascii="Arial" w:eastAsia="Arial" w:hAnsi="Arial"/>
        <w:b/>
        <w:color w:val="12213B"/>
        <w:sz w:val="12"/>
        <w:lang w:val="en-US"/>
      </w:rPr>
      <w:t>.com.co</w:t>
    </w:r>
  </w:p>
  <w:p w14:paraId="4AD14F97" w14:textId="77777777" w:rsidR="00EF155F" w:rsidRDefault="00257DCB" w:rsidP="00AE0E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5DFC8" w14:textId="77777777" w:rsidR="00257DCB" w:rsidRDefault="00257DCB" w:rsidP="00A21806">
      <w:pPr>
        <w:spacing w:after="0" w:line="240" w:lineRule="auto"/>
      </w:pPr>
      <w:r>
        <w:separator/>
      </w:r>
    </w:p>
  </w:footnote>
  <w:footnote w:type="continuationSeparator" w:id="0">
    <w:p w14:paraId="654521DD" w14:textId="77777777" w:rsidR="00257DCB" w:rsidRDefault="00257DCB" w:rsidP="00A21806">
      <w:pPr>
        <w:spacing w:after="0" w:line="240" w:lineRule="auto"/>
      </w:pPr>
      <w:r>
        <w:continuationSeparator/>
      </w:r>
    </w:p>
  </w:footnote>
  <w:footnote w:id="1">
    <w:p w14:paraId="17098A1C" w14:textId="77777777" w:rsidR="00A21806" w:rsidRPr="004300CB" w:rsidRDefault="00A21806" w:rsidP="00A21806">
      <w:pPr>
        <w:rPr>
          <w:rFonts w:eastAsia="Calibri" w:cstheme="minorHAnsi"/>
          <w:color w:val="000000"/>
          <w:sz w:val="20"/>
          <w:szCs w:val="20"/>
        </w:rPr>
      </w:pPr>
      <w:r w:rsidRPr="004300CB">
        <w:rPr>
          <w:rFonts w:cstheme="minorHAnsi"/>
          <w:sz w:val="20"/>
          <w:szCs w:val="20"/>
          <w:vertAlign w:val="superscript"/>
        </w:rPr>
        <w:footnoteRef/>
      </w:r>
      <w:r w:rsidRPr="004300CB">
        <w:rPr>
          <w:rFonts w:cstheme="minorHAnsi"/>
          <w:color w:val="000000"/>
          <w:sz w:val="20"/>
          <w:szCs w:val="20"/>
        </w:rPr>
        <w:t xml:space="preserve"> SC 18 Sep. 2009. Rad 2005-0046-01).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7B8F" w14:textId="77777777" w:rsidR="00EF155F" w:rsidRDefault="00F77DB0">
    <w:pPr>
      <w:pStyle w:val="Encabezado"/>
    </w:pPr>
    <w:r>
      <w:rPr>
        <w:noProof/>
        <w:lang w:val="es-CO" w:eastAsia="es-CO"/>
      </w:rPr>
      <w:drawing>
        <wp:anchor distT="0" distB="0" distL="114300" distR="114300" simplePos="0" relativeHeight="251659264" behindDoc="1" locked="0" layoutInCell="1" allowOverlap="1" wp14:anchorId="71200F40" wp14:editId="75F5F76B">
          <wp:simplePos x="0" y="0"/>
          <wp:positionH relativeFrom="page">
            <wp:posOffset>5726276</wp:posOffset>
          </wp:positionH>
          <wp:positionV relativeFrom="page">
            <wp:posOffset>317139</wp:posOffset>
          </wp:positionV>
          <wp:extent cx="1395095" cy="327025"/>
          <wp:effectExtent l="0" t="0" r="0" b="0"/>
          <wp:wrapNone/>
          <wp:docPr id="15" name="Imagen 1"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02B"/>
    <w:multiLevelType w:val="hybridMultilevel"/>
    <w:tmpl w:val="A0B83AF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 w15:restartNumberingAfterBreak="0">
    <w:nsid w:val="0264647A"/>
    <w:multiLevelType w:val="hybridMultilevel"/>
    <w:tmpl w:val="EEF0FCA6"/>
    <w:lvl w:ilvl="0" w:tplc="9FA61D8C">
      <w:start w:val="1"/>
      <w:numFmt w:val="decimal"/>
      <w:lvlText w:val="%1)"/>
      <w:lvlJc w:val="left"/>
      <w:pPr>
        <w:ind w:left="1493" w:hanging="360"/>
      </w:pPr>
      <w:rPr>
        <w:rFonts w:hint="default"/>
        <w:b/>
      </w:rPr>
    </w:lvl>
    <w:lvl w:ilvl="1" w:tplc="240A0019" w:tentative="1">
      <w:start w:val="1"/>
      <w:numFmt w:val="lowerLetter"/>
      <w:lvlText w:val="%2."/>
      <w:lvlJc w:val="left"/>
      <w:pPr>
        <w:ind w:left="2213" w:hanging="360"/>
      </w:pPr>
    </w:lvl>
    <w:lvl w:ilvl="2" w:tplc="240A001B" w:tentative="1">
      <w:start w:val="1"/>
      <w:numFmt w:val="lowerRoman"/>
      <w:lvlText w:val="%3."/>
      <w:lvlJc w:val="right"/>
      <w:pPr>
        <w:ind w:left="2933" w:hanging="180"/>
      </w:pPr>
    </w:lvl>
    <w:lvl w:ilvl="3" w:tplc="240A000F" w:tentative="1">
      <w:start w:val="1"/>
      <w:numFmt w:val="decimal"/>
      <w:lvlText w:val="%4."/>
      <w:lvlJc w:val="left"/>
      <w:pPr>
        <w:ind w:left="3653" w:hanging="360"/>
      </w:pPr>
    </w:lvl>
    <w:lvl w:ilvl="4" w:tplc="240A0019" w:tentative="1">
      <w:start w:val="1"/>
      <w:numFmt w:val="lowerLetter"/>
      <w:lvlText w:val="%5."/>
      <w:lvlJc w:val="left"/>
      <w:pPr>
        <w:ind w:left="4373" w:hanging="360"/>
      </w:pPr>
    </w:lvl>
    <w:lvl w:ilvl="5" w:tplc="240A001B" w:tentative="1">
      <w:start w:val="1"/>
      <w:numFmt w:val="lowerRoman"/>
      <w:lvlText w:val="%6."/>
      <w:lvlJc w:val="right"/>
      <w:pPr>
        <w:ind w:left="5093" w:hanging="180"/>
      </w:pPr>
    </w:lvl>
    <w:lvl w:ilvl="6" w:tplc="240A000F" w:tentative="1">
      <w:start w:val="1"/>
      <w:numFmt w:val="decimal"/>
      <w:lvlText w:val="%7."/>
      <w:lvlJc w:val="left"/>
      <w:pPr>
        <w:ind w:left="5813" w:hanging="360"/>
      </w:pPr>
    </w:lvl>
    <w:lvl w:ilvl="7" w:tplc="240A0019" w:tentative="1">
      <w:start w:val="1"/>
      <w:numFmt w:val="lowerLetter"/>
      <w:lvlText w:val="%8."/>
      <w:lvlJc w:val="left"/>
      <w:pPr>
        <w:ind w:left="6533" w:hanging="360"/>
      </w:pPr>
    </w:lvl>
    <w:lvl w:ilvl="8" w:tplc="240A001B" w:tentative="1">
      <w:start w:val="1"/>
      <w:numFmt w:val="lowerRoman"/>
      <w:lvlText w:val="%9."/>
      <w:lvlJc w:val="right"/>
      <w:pPr>
        <w:ind w:left="7253" w:hanging="180"/>
      </w:pPr>
    </w:lvl>
  </w:abstractNum>
  <w:abstractNum w:abstractNumId="2" w15:restartNumberingAfterBreak="0">
    <w:nsid w:val="08CF1520"/>
    <w:multiLevelType w:val="multilevel"/>
    <w:tmpl w:val="570030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40C4EFE"/>
    <w:multiLevelType w:val="hybridMultilevel"/>
    <w:tmpl w:val="F5902E72"/>
    <w:lvl w:ilvl="0" w:tplc="AFB8C5EE">
      <w:start w:val="3"/>
      <w:numFmt w:val="bullet"/>
      <w:lvlText w:val="-"/>
      <w:lvlJc w:val="left"/>
      <w:pPr>
        <w:ind w:left="720" w:hanging="360"/>
      </w:pPr>
      <w:rPr>
        <w:rFonts w:ascii="Calibri" w:eastAsia="Arial"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86466B3"/>
    <w:multiLevelType w:val="hybridMultilevel"/>
    <w:tmpl w:val="1F5EB91A"/>
    <w:lvl w:ilvl="0" w:tplc="D0165BE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7897E82"/>
    <w:multiLevelType w:val="multilevel"/>
    <w:tmpl w:val="29145F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4F1647EE"/>
    <w:multiLevelType w:val="hybridMultilevel"/>
    <w:tmpl w:val="FB7C7E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B535B7E"/>
    <w:multiLevelType w:val="hybridMultilevel"/>
    <w:tmpl w:val="3FCCD66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CA458F8"/>
    <w:multiLevelType w:val="hybridMultilevel"/>
    <w:tmpl w:val="EE1A1F56"/>
    <w:lvl w:ilvl="0" w:tplc="8FDC7744">
      <w:start w:val="1"/>
      <w:numFmt w:val="bullet"/>
      <w:lvlText w:val="-"/>
      <w:lvlJc w:val="left"/>
      <w:pPr>
        <w:ind w:left="1080" w:hanging="360"/>
      </w:pPr>
      <w:rPr>
        <w:rFonts w:ascii="Arial" w:eastAsia="Times New Roman"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65CE57BC"/>
    <w:multiLevelType w:val="hybridMultilevel"/>
    <w:tmpl w:val="292A9C1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8500BB6"/>
    <w:multiLevelType w:val="hybridMultilevel"/>
    <w:tmpl w:val="EE2E1662"/>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84B15BA"/>
    <w:multiLevelType w:val="hybridMultilevel"/>
    <w:tmpl w:val="ED6246FA"/>
    <w:lvl w:ilvl="0" w:tplc="8FDC774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85952E2"/>
    <w:multiLevelType w:val="hybridMultilevel"/>
    <w:tmpl w:val="DEC49C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FEA1407"/>
    <w:multiLevelType w:val="multilevel"/>
    <w:tmpl w:val="0BB68F08"/>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num w:numId="1">
    <w:abstractNumId w:val="4"/>
  </w:num>
  <w:num w:numId="2">
    <w:abstractNumId w:val="0"/>
  </w:num>
  <w:num w:numId="3">
    <w:abstractNumId w:val="1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6"/>
  </w:num>
  <w:num w:numId="9">
    <w:abstractNumId w:val="12"/>
  </w:num>
  <w:num w:numId="10">
    <w:abstractNumId w:val="9"/>
  </w:num>
  <w:num w:numId="11">
    <w:abstractNumId w:val="10"/>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06"/>
    <w:rsid w:val="00004121"/>
    <w:rsid w:val="000A2044"/>
    <w:rsid w:val="000B0004"/>
    <w:rsid w:val="000B4BD7"/>
    <w:rsid w:val="000C23C8"/>
    <w:rsid w:val="000C7241"/>
    <w:rsid w:val="000D70C6"/>
    <w:rsid w:val="000E5D77"/>
    <w:rsid w:val="001304B0"/>
    <w:rsid w:val="001362EC"/>
    <w:rsid w:val="00137279"/>
    <w:rsid w:val="00137890"/>
    <w:rsid w:val="00170FB7"/>
    <w:rsid w:val="001D56A6"/>
    <w:rsid w:val="002124EB"/>
    <w:rsid w:val="00257DCB"/>
    <w:rsid w:val="002E4879"/>
    <w:rsid w:val="002E7AF2"/>
    <w:rsid w:val="00301F4C"/>
    <w:rsid w:val="00346344"/>
    <w:rsid w:val="00384513"/>
    <w:rsid w:val="00386144"/>
    <w:rsid w:val="00386D3F"/>
    <w:rsid w:val="003872FB"/>
    <w:rsid w:val="003B2E18"/>
    <w:rsid w:val="003E1979"/>
    <w:rsid w:val="003F32EF"/>
    <w:rsid w:val="00411BB5"/>
    <w:rsid w:val="00411DBD"/>
    <w:rsid w:val="00413B16"/>
    <w:rsid w:val="00424A7D"/>
    <w:rsid w:val="00433350"/>
    <w:rsid w:val="004A19F0"/>
    <w:rsid w:val="0052576A"/>
    <w:rsid w:val="005669FE"/>
    <w:rsid w:val="00606FEF"/>
    <w:rsid w:val="00631B4C"/>
    <w:rsid w:val="006406C1"/>
    <w:rsid w:val="00681526"/>
    <w:rsid w:val="006C71F9"/>
    <w:rsid w:val="006C73B9"/>
    <w:rsid w:val="00751037"/>
    <w:rsid w:val="00771985"/>
    <w:rsid w:val="0077404D"/>
    <w:rsid w:val="007A0ABE"/>
    <w:rsid w:val="007B53C6"/>
    <w:rsid w:val="007F1007"/>
    <w:rsid w:val="007F5585"/>
    <w:rsid w:val="00836710"/>
    <w:rsid w:val="00855AA6"/>
    <w:rsid w:val="008760EF"/>
    <w:rsid w:val="008B665C"/>
    <w:rsid w:val="008E6E3F"/>
    <w:rsid w:val="009053A2"/>
    <w:rsid w:val="00940C8F"/>
    <w:rsid w:val="0097157B"/>
    <w:rsid w:val="009961AC"/>
    <w:rsid w:val="009B0D98"/>
    <w:rsid w:val="00A05E53"/>
    <w:rsid w:val="00A07A11"/>
    <w:rsid w:val="00A21806"/>
    <w:rsid w:val="00A6145A"/>
    <w:rsid w:val="00A7079B"/>
    <w:rsid w:val="00A84DBE"/>
    <w:rsid w:val="00B06649"/>
    <w:rsid w:val="00B20AC0"/>
    <w:rsid w:val="00B46432"/>
    <w:rsid w:val="00BE6E16"/>
    <w:rsid w:val="00BF3AC0"/>
    <w:rsid w:val="00D019F5"/>
    <w:rsid w:val="00D226DD"/>
    <w:rsid w:val="00D540AC"/>
    <w:rsid w:val="00D84B22"/>
    <w:rsid w:val="00D9502C"/>
    <w:rsid w:val="00E7458E"/>
    <w:rsid w:val="00EA6339"/>
    <w:rsid w:val="00EF0FC6"/>
    <w:rsid w:val="00F50E27"/>
    <w:rsid w:val="00F77DB0"/>
    <w:rsid w:val="00FD7C69"/>
    <w:rsid w:val="00FE510D"/>
    <w:rsid w:val="00FF70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0A16"/>
  <w15:chartTrackingRefBased/>
  <w15:docId w15:val="{46E1D17A-F169-4301-9936-A0DF1F96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180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806"/>
    <w:rPr>
      <w:rFonts w:asciiTheme="majorHAnsi" w:eastAsiaTheme="majorEastAsia" w:hAnsiTheme="majorHAnsi" w:cstheme="majorBidi"/>
      <w:color w:val="2F5496" w:themeColor="accent1" w:themeShade="BF"/>
      <w:sz w:val="32"/>
      <w:szCs w:val="32"/>
      <w:lang w:val="es-ES"/>
    </w:rPr>
  </w:style>
  <w:style w:type="paragraph" w:styleId="Encabezado">
    <w:name w:val="header"/>
    <w:basedOn w:val="Normal"/>
    <w:link w:val="EncabezadoCar"/>
    <w:uiPriority w:val="99"/>
    <w:unhideWhenUsed/>
    <w:rsid w:val="00A21806"/>
    <w:pPr>
      <w:tabs>
        <w:tab w:val="center" w:pos="4419"/>
        <w:tab w:val="right" w:pos="8838"/>
      </w:tabs>
      <w:spacing w:after="0" w:line="240" w:lineRule="auto"/>
    </w:pPr>
    <w:rPr>
      <w:sz w:val="24"/>
      <w:szCs w:val="24"/>
      <w:lang w:val="es-ES"/>
    </w:rPr>
  </w:style>
  <w:style w:type="character" w:customStyle="1" w:styleId="EncabezadoCar">
    <w:name w:val="Encabezado Car"/>
    <w:basedOn w:val="Fuentedeprrafopredeter"/>
    <w:link w:val="Encabezado"/>
    <w:uiPriority w:val="99"/>
    <w:rsid w:val="00A21806"/>
    <w:rPr>
      <w:sz w:val="24"/>
      <w:szCs w:val="24"/>
      <w:lang w:val="es-ES"/>
    </w:rPr>
  </w:style>
  <w:style w:type="paragraph" w:styleId="Piedepgina">
    <w:name w:val="footer"/>
    <w:basedOn w:val="Normal"/>
    <w:link w:val="PiedepginaCar"/>
    <w:uiPriority w:val="99"/>
    <w:unhideWhenUsed/>
    <w:rsid w:val="00A21806"/>
    <w:pPr>
      <w:tabs>
        <w:tab w:val="center" w:pos="4419"/>
        <w:tab w:val="right" w:pos="8838"/>
      </w:tabs>
      <w:spacing w:after="0" w:line="240" w:lineRule="auto"/>
    </w:pPr>
    <w:rPr>
      <w:sz w:val="24"/>
      <w:szCs w:val="24"/>
      <w:lang w:val="es-ES"/>
    </w:rPr>
  </w:style>
  <w:style w:type="character" w:customStyle="1" w:styleId="PiedepginaCar">
    <w:name w:val="Pie de página Car"/>
    <w:basedOn w:val="Fuentedeprrafopredeter"/>
    <w:link w:val="Piedepgina"/>
    <w:uiPriority w:val="99"/>
    <w:rsid w:val="00A21806"/>
    <w:rPr>
      <w:sz w:val="24"/>
      <w:szCs w:val="24"/>
      <w:lang w:val="es-ES"/>
    </w:rPr>
  </w:style>
  <w:style w:type="paragraph" w:styleId="Prrafodelista">
    <w:name w:val="List Paragraph"/>
    <w:basedOn w:val="Normal"/>
    <w:uiPriority w:val="34"/>
    <w:qFormat/>
    <w:rsid w:val="00A21806"/>
    <w:pPr>
      <w:spacing w:after="0" w:line="240" w:lineRule="auto"/>
      <w:ind w:left="720"/>
      <w:contextualSpacing/>
    </w:pPr>
    <w:rPr>
      <w:sz w:val="24"/>
      <w:szCs w:val="24"/>
      <w:lang w:val="es-ES"/>
    </w:rPr>
  </w:style>
  <w:style w:type="paragraph" w:styleId="NormalWeb">
    <w:name w:val="Normal (Web)"/>
    <w:basedOn w:val="Normal"/>
    <w:uiPriority w:val="99"/>
    <w:unhideWhenUsed/>
    <w:rsid w:val="00A218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semiHidden/>
    <w:locked/>
    <w:rsid w:val="00A21806"/>
    <w:rPr>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semiHidden/>
    <w:unhideWhenUsed/>
    <w:rsid w:val="00A21806"/>
    <w:pPr>
      <w:spacing w:after="0" w:line="240" w:lineRule="auto"/>
    </w:pPr>
    <w:rPr>
      <w:lang w:eastAsia="es-ES"/>
    </w:rPr>
  </w:style>
  <w:style w:type="character" w:customStyle="1" w:styleId="TextonotapieCar1">
    <w:name w:val="Texto nota pie Car1"/>
    <w:basedOn w:val="Fuentedeprrafopredeter"/>
    <w:uiPriority w:val="99"/>
    <w:semiHidden/>
    <w:rsid w:val="00A21806"/>
    <w:rPr>
      <w:sz w:val="20"/>
      <w:szCs w:val="20"/>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
    <w:basedOn w:val="Fuentedeprrafopredeter"/>
    <w:link w:val="4GChar"/>
    <w:unhideWhenUsed/>
    <w:rsid w:val="00A2180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A21806"/>
    <w:pPr>
      <w:spacing w:after="0" w:line="240" w:lineRule="auto"/>
      <w:jc w:val="both"/>
    </w:pPr>
    <w:rPr>
      <w:vertAlign w:val="superscript"/>
    </w:rPr>
  </w:style>
  <w:style w:type="character" w:styleId="Hipervnculo">
    <w:name w:val="Hyperlink"/>
    <w:basedOn w:val="Fuentedeprrafopredeter"/>
    <w:uiPriority w:val="99"/>
    <w:semiHidden/>
    <w:unhideWhenUsed/>
    <w:rsid w:val="00A21806"/>
    <w:rPr>
      <w:color w:val="0000FF"/>
      <w:u w:val="single"/>
    </w:rPr>
  </w:style>
  <w:style w:type="paragraph" w:customStyle="1" w:styleId="Default">
    <w:name w:val="Default"/>
    <w:rsid w:val="00A21806"/>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A21806"/>
    <w:rPr>
      <w:sz w:val="16"/>
      <w:szCs w:val="16"/>
    </w:rPr>
  </w:style>
  <w:style w:type="paragraph" w:styleId="Textocomentario">
    <w:name w:val="annotation text"/>
    <w:basedOn w:val="Normal"/>
    <w:link w:val="TextocomentarioCar"/>
    <w:uiPriority w:val="99"/>
    <w:semiHidden/>
    <w:unhideWhenUsed/>
    <w:rsid w:val="00A21806"/>
    <w:pPr>
      <w:spacing w:after="0" w:line="240" w:lineRule="auto"/>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semiHidden/>
    <w:rsid w:val="00A21806"/>
    <w:rPr>
      <w:rFonts w:ascii="Times New Roman" w:eastAsia="Times New Roman" w:hAnsi="Times New Roman" w:cs="Times New Roman"/>
      <w:sz w:val="20"/>
      <w:szCs w:val="20"/>
      <w:lang w:eastAsia="es-ES_tradnl"/>
    </w:rPr>
  </w:style>
  <w:style w:type="paragraph" w:styleId="Textodeglobo">
    <w:name w:val="Balloon Text"/>
    <w:basedOn w:val="Normal"/>
    <w:link w:val="TextodegloboCar"/>
    <w:uiPriority w:val="99"/>
    <w:semiHidden/>
    <w:unhideWhenUsed/>
    <w:rsid w:val="00A218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806"/>
    <w:rPr>
      <w:rFonts w:ascii="Segoe UI" w:hAnsi="Segoe UI" w:cs="Segoe UI"/>
      <w:sz w:val="18"/>
      <w:szCs w:val="18"/>
    </w:rPr>
  </w:style>
  <w:style w:type="paragraph" w:styleId="Revisin">
    <w:name w:val="Revision"/>
    <w:hidden/>
    <w:uiPriority w:val="99"/>
    <w:semiHidden/>
    <w:rsid w:val="00A218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81589">
      <w:bodyDiv w:val="1"/>
      <w:marLeft w:val="0"/>
      <w:marRight w:val="0"/>
      <w:marTop w:val="0"/>
      <w:marBottom w:val="0"/>
      <w:divBdr>
        <w:top w:val="none" w:sz="0" w:space="0" w:color="auto"/>
        <w:left w:val="none" w:sz="0" w:space="0" w:color="auto"/>
        <w:bottom w:val="none" w:sz="0" w:space="0" w:color="auto"/>
        <w:right w:val="none" w:sz="0" w:space="0" w:color="auto"/>
      </w:divBdr>
      <w:divsChild>
        <w:div w:id="727532873">
          <w:marLeft w:val="0"/>
          <w:marRight w:val="0"/>
          <w:marTop w:val="0"/>
          <w:marBottom w:val="0"/>
          <w:divBdr>
            <w:top w:val="none" w:sz="0" w:space="0" w:color="auto"/>
            <w:left w:val="none" w:sz="0" w:space="0" w:color="auto"/>
            <w:bottom w:val="none" w:sz="0" w:space="0" w:color="auto"/>
            <w:right w:val="none" w:sz="0" w:space="0" w:color="auto"/>
          </w:divBdr>
          <w:divsChild>
            <w:div w:id="917666589">
              <w:marLeft w:val="0"/>
              <w:marRight w:val="0"/>
              <w:marTop w:val="0"/>
              <w:marBottom w:val="0"/>
              <w:divBdr>
                <w:top w:val="none" w:sz="0" w:space="0" w:color="auto"/>
                <w:left w:val="none" w:sz="0" w:space="0" w:color="auto"/>
                <w:bottom w:val="none" w:sz="0" w:space="0" w:color="auto"/>
                <w:right w:val="none" w:sz="0" w:space="0" w:color="auto"/>
              </w:divBdr>
              <w:divsChild>
                <w:div w:id="1659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1569">
      <w:bodyDiv w:val="1"/>
      <w:marLeft w:val="0"/>
      <w:marRight w:val="0"/>
      <w:marTop w:val="0"/>
      <w:marBottom w:val="0"/>
      <w:divBdr>
        <w:top w:val="none" w:sz="0" w:space="0" w:color="auto"/>
        <w:left w:val="none" w:sz="0" w:space="0" w:color="auto"/>
        <w:bottom w:val="none" w:sz="0" w:space="0" w:color="auto"/>
        <w:right w:val="none" w:sz="0" w:space="0" w:color="auto"/>
      </w:divBdr>
      <w:divsChild>
        <w:div w:id="1594588633">
          <w:marLeft w:val="0"/>
          <w:marRight w:val="0"/>
          <w:marTop w:val="0"/>
          <w:marBottom w:val="0"/>
          <w:divBdr>
            <w:top w:val="none" w:sz="0" w:space="0" w:color="auto"/>
            <w:left w:val="none" w:sz="0" w:space="0" w:color="auto"/>
            <w:bottom w:val="none" w:sz="0" w:space="0" w:color="auto"/>
            <w:right w:val="none" w:sz="0" w:space="0" w:color="auto"/>
          </w:divBdr>
          <w:divsChild>
            <w:div w:id="458955600">
              <w:marLeft w:val="0"/>
              <w:marRight w:val="0"/>
              <w:marTop w:val="0"/>
              <w:marBottom w:val="0"/>
              <w:divBdr>
                <w:top w:val="none" w:sz="0" w:space="0" w:color="auto"/>
                <w:left w:val="none" w:sz="0" w:space="0" w:color="auto"/>
                <w:bottom w:val="none" w:sz="0" w:space="0" w:color="auto"/>
                <w:right w:val="none" w:sz="0" w:space="0" w:color="auto"/>
              </w:divBdr>
              <w:divsChild>
                <w:div w:id="8680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7623">
      <w:bodyDiv w:val="1"/>
      <w:marLeft w:val="0"/>
      <w:marRight w:val="0"/>
      <w:marTop w:val="0"/>
      <w:marBottom w:val="0"/>
      <w:divBdr>
        <w:top w:val="none" w:sz="0" w:space="0" w:color="auto"/>
        <w:left w:val="none" w:sz="0" w:space="0" w:color="auto"/>
        <w:bottom w:val="none" w:sz="0" w:space="0" w:color="auto"/>
        <w:right w:val="none" w:sz="0" w:space="0" w:color="auto"/>
      </w:divBdr>
      <w:divsChild>
        <w:div w:id="1405832040">
          <w:marLeft w:val="0"/>
          <w:marRight w:val="0"/>
          <w:marTop w:val="0"/>
          <w:marBottom w:val="0"/>
          <w:divBdr>
            <w:top w:val="none" w:sz="0" w:space="0" w:color="auto"/>
            <w:left w:val="none" w:sz="0" w:space="0" w:color="auto"/>
            <w:bottom w:val="none" w:sz="0" w:space="0" w:color="auto"/>
            <w:right w:val="none" w:sz="0" w:space="0" w:color="auto"/>
          </w:divBdr>
          <w:divsChild>
            <w:div w:id="363217293">
              <w:marLeft w:val="0"/>
              <w:marRight w:val="0"/>
              <w:marTop w:val="0"/>
              <w:marBottom w:val="0"/>
              <w:divBdr>
                <w:top w:val="none" w:sz="0" w:space="0" w:color="auto"/>
                <w:left w:val="none" w:sz="0" w:space="0" w:color="auto"/>
                <w:bottom w:val="none" w:sz="0" w:space="0" w:color="auto"/>
                <w:right w:val="none" w:sz="0" w:space="0" w:color="auto"/>
              </w:divBdr>
              <w:divsChild>
                <w:div w:id="7322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906_2004_pr00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cretariasenado.gov.co/senado/basedoc/ley_1395_2010_pr00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c-425_2006.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cretariasenado.gov.co/senado/basedoc/c-423_2006.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_0906_2004_pr002.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11</Pages>
  <Words>3322</Words>
  <Characters>18275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ramos castro</dc:creator>
  <cp:keywords/>
  <dc:description/>
  <cp:lastModifiedBy>nestor.gil.90@gmail.com</cp:lastModifiedBy>
  <cp:revision>10</cp:revision>
  <dcterms:created xsi:type="dcterms:W3CDTF">2022-08-02T13:42:00Z</dcterms:created>
  <dcterms:modified xsi:type="dcterms:W3CDTF">2024-01-09T19:42:00Z</dcterms:modified>
</cp:coreProperties>
</file>