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7E2A" w14:textId="2FC275C2" w:rsidR="00D8326D" w:rsidRPr="009B7552" w:rsidRDefault="00D8326D" w:rsidP="009B7552">
      <w:p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t>Estimados,</w:t>
      </w:r>
    </w:p>
    <w:p w14:paraId="522C64C6" w14:textId="0C22DCD8" w:rsidR="00D8326D" w:rsidRPr="009B7552" w:rsidRDefault="00D8326D" w:rsidP="009B7552">
      <w:p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p>
    <w:p w14:paraId="56E3A967" w14:textId="493B70E9" w:rsidR="00AD6227" w:rsidRPr="009B7552" w:rsidRDefault="009B7552" w:rsidP="009B7552">
      <w:pPr>
        <w:spacing w:after="0" w:line="360" w:lineRule="auto"/>
        <w:jc w:val="both"/>
        <w:textAlignment w:val="baseline"/>
        <w:rPr>
          <w:rFonts w:ascii="Arial" w:eastAsia="Times New Roman" w:hAnsi="Arial" w:cs="Arial"/>
          <w:kern w:val="0"/>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t xml:space="preserve">La liquidación actual se encuentra cuantificada por un valor de </w:t>
      </w:r>
      <w:r w:rsidRPr="00AB2AD8">
        <w:rPr>
          <w:rFonts w:ascii="Arial" w:eastAsia="Times New Roman" w:hAnsi="Arial" w:cs="Arial"/>
          <w:b/>
          <w:bCs/>
          <w:spacing w:val="2"/>
          <w:kern w:val="0"/>
          <w:bdr w:val="none" w:sz="0" w:space="0" w:color="auto" w:frame="1"/>
          <w:shd w:val="clear" w:color="auto" w:fill="FFFFFF"/>
          <w:lang w:eastAsia="es-CO"/>
          <w14:ligatures w14:val="none"/>
        </w:rPr>
        <w:t>$373.500.000</w:t>
      </w:r>
      <w:r w:rsidRPr="009B7552">
        <w:rPr>
          <w:rFonts w:ascii="Arial" w:eastAsia="Times New Roman" w:hAnsi="Arial" w:cs="Arial"/>
          <w:spacing w:val="2"/>
          <w:kern w:val="0"/>
          <w:bdr w:val="none" w:sz="0" w:space="0" w:color="auto" w:frame="1"/>
          <w:shd w:val="clear" w:color="auto" w:fill="FFFFFF"/>
          <w:lang w:eastAsia="es-CO"/>
          <w14:ligatures w14:val="none"/>
        </w:rPr>
        <w:t xml:space="preserve">. Sin embargo, </w:t>
      </w:r>
      <w:r w:rsidRPr="009B7552">
        <w:rPr>
          <w:rFonts w:ascii="Arial" w:hAnsi="Arial" w:cs="Arial"/>
        </w:rPr>
        <w:t xml:space="preserve">la liquidación se evaluó nuevamente en atención a que con el descorre </w:t>
      </w:r>
      <w:r w:rsidR="00162AFD">
        <w:rPr>
          <w:rFonts w:ascii="Arial" w:hAnsi="Arial" w:cs="Arial"/>
        </w:rPr>
        <w:t>de la objeción al juramento estimatorio</w:t>
      </w:r>
      <w:r w:rsidRPr="009B7552">
        <w:rPr>
          <w:rFonts w:ascii="Arial" w:hAnsi="Arial" w:cs="Arial"/>
        </w:rPr>
        <w:t xml:space="preserve"> se presentaron nuevos documentos</w:t>
      </w:r>
      <w:r w:rsidRPr="009B7552">
        <w:rPr>
          <w:rFonts w:ascii="Arial" w:hAnsi="Arial" w:cs="Arial"/>
        </w:rPr>
        <w:t xml:space="preserve">, los cuales se encuentran dentro del archivo adjunto, entre los cuales se refieren recibos de grúa, parqueadero, recibos de supuestos turnos de enfermería y </w:t>
      </w:r>
      <w:r w:rsidRPr="009B7552">
        <w:rPr>
          <w:rFonts w:ascii="Arial" w:eastAsia="Times New Roman" w:hAnsi="Arial" w:cs="Arial"/>
          <w:spacing w:val="2"/>
          <w:kern w:val="0"/>
          <w:bdr w:val="none" w:sz="0" w:space="0" w:color="auto" w:frame="1"/>
          <w:shd w:val="clear" w:color="auto" w:fill="FFFFFF"/>
          <w:lang w:eastAsia="es-CO"/>
          <w14:ligatures w14:val="none"/>
        </w:rPr>
        <w:t xml:space="preserve">declaraciones </w:t>
      </w:r>
      <w:proofErr w:type="spellStart"/>
      <w:r w:rsidRPr="009B7552">
        <w:rPr>
          <w:rFonts w:ascii="Arial" w:eastAsia="Times New Roman" w:hAnsi="Arial" w:cs="Arial"/>
          <w:spacing w:val="2"/>
          <w:kern w:val="0"/>
          <w:bdr w:val="none" w:sz="0" w:space="0" w:color="auto" w:frame="1"/>
          <w:shd w:val="clear" w:color="auto" w:fill="FFFFFF"/>
          <w:lang w:eastAsia="es-CO"/>
          <w14:ligatures w14:val="none"/>
        </w:rPr>
        <w:t>extrajuicio</w:t>
      </w:r>
      <w:proofErr w:type="spellEnd"/>
      <w:r w:rsidRPr="009B7552">
        <w:rPr>
          <w:rFonts w:ascii="Arial" w:eastAsia="Times New Roman" w:hAnsi="Arial" w:cs="Arial"/>
          <w:spacing w:val="2"/>
          <w:kern w:val="0"/>
          <w:bdr w:val="none" w:sz="0" w:space="0" w:color="auto" w:frame="1"/>
          <w:shd w:val="clear" w:color="auto" w:fill="FFFFFF"/>
          <w:lang w:eastAsia="es-CO"/>
          <w14:ligatures w14:val="none"/>
        </w:rPr>
        <w:t xml:space="preserve"> de las señoras Sandra Castaño Mejía y Mónica Lucia Santacruz</w:t>
      </w:r>
      <w:r w:rsidRPr="009B7552">
        <w:rPr>
          <w:rFonts w:ascii="Arial" w:hAnsi="Arial" w:cs="Arial"/>
        </w:rPr>
        <w:t xml:space="preserve">. </w:t>
      </w:r>
      <w:r w:rsidR="00AD6227" w:rsidRPr="009B7552">
        <w:rPr>
          <w:rFonts w:ascii="Arial" w:eastAsia="Times New Roman" w:hAnsi="Arial" w:cs="Arial"/>
          <w:spacing w:val="2"/>
          <w:kern w:val="0"/>
          <w:bdr w:val="none" w:sz="0" w:space="0" w:color="auto" w:frame="1"/>
          <w:shd w:val="clear" w:color="auto" w:fill="FFFFFF"/>
          <w:lang w:eastAsia="es-CO"/>
          <w14:ligatures w14:val="none"/>
        </w:rPr>
        <w:t xml:space="preserve">La liquidación objetiva de las pretensiones </w:t>
      </w:r>
      <w:r w:rsidR="00E52213" w:rsidRPr="009B7552">
        <w:rPr>
          <w:rFonts w:ascii="Arial" w:eastAsia="Times New Roman" w:hAnsi="Arial" w:cs="Arial"/>
          <w:spacing w:val="2"/>
          <w:kern w:val="0"/>
          <w:bdr w:val="none" w:sz="0" w:space="0" w:color="auto" w:frame="1"/>
          <w:shd w:val="clear" w:color="auto" w:fill="FFFFFF"/>
          <w:lang w:eastAsia="es-CO"/>
          <w14:ligatures w14:val="none"/>
        </w:rPr>
        <w:t>se actualiza a la su</w:t>
      </w:r>
      <w:r w:rsidR="00AD6227" w:rsidRPr="009B7552">
        <w:rPr>
          <w:rFonts w:ascii="Arial" w:eastAsia="Times New Roman" w:hAnsi="Arial" w:cs="Arial"/>
          <w:spacing w:val="2"/>
          <w:kern w:val="0"/>
          <w:bdr w:val="none" w:sz="0" w:space="0" w:color="auto" w:frame="1"/>
          <w:shd w:val="clear" w:color="auto" w:fill="FFFFFF"/>
          <w:lang w:eastAsia="es-CO"/>
          <w14:ligatures w14:val="none"/>
        </w:rPr>
        <w:t xml:space="preserve">ma de </w:t>
      </w:r>
      <w:r w:rsidR="00AD6227" w:rsidRPr="009B7552">
        <w:rPr>
          <w:rFonts w:ascii="Arial" w:eastAsia="Times New Roman" w:hAnsi="Arial" w:cs="Arial"/>
          <w:b/>
          <w:spacing w:val="2"/>
          <w:kern w:val="0"/>
          <w:u w:val="single"/>
          <w:bdr w:val="none" w:sz="0" w:space="0" w:color="auto" w:frame="1"/>
          <w:shd w:val="clear" w:color="auto" w:fill="FFFFFF"/>
          <w:lang w:eastAsia="es-CO"/>
          <w14:ligatures w14:val="none"/>
        </w:rPr>
        <w:t>$</w:t>
      </w:r>
      <w:r w:rsidR="00E75D50" w:rsidRPr="009B7552">
        <w:rPr>
          <w:rFonts w:ascii="Arial" w:eastAsia="Times New Roman" w:hAnsi="Arial" w:cs="Arial"/>
          <w:b/>
          <w:spacing w:val="2"/>
          <w:kern w:val="0"/>
          <w:u w:val="single"/>
          <w:bdr w:val="none" w:sz="0" w:space="0" w:color="auto" w:frame="1"/>
          <w:shd w:val="clear" w:color="auto" w:fill="FFFFFF"/>
          <w:lang w:eastAsia="es-CO"/>
          <w14:ligatures w14:val="none"/>
        </w:rPr>
        <w:t>374’052.420</w:t>
      </w:r>
      <w:r w:rsidR="00AD6227" w:rsidRPr="009B7552">
        <w:rPr>
          <w:rFonts w:ascii="Arial" w:eastAsia="Times New Roman" w:hAnsi="Arial" w:cs="Arial"/>
          <w:spacing w:val="2"/>
          <w:kern w:val="0"/>
          <w:bdr w:val="none" w:sz="0" w:space="0" w:color="auto" w:frame="1"/>
          <w:shd w:val="clear" w:color="auto" w:fill="FFFFFF"/>
          <w:lang w:eastAsia="es-CO"/>
          <w14:ligatures w14:val="none"/>
        </w:rPr>
        <w:t>, con base en los siguientes argumentos:</w:t>
      </w:r>
    </w:p>
    <w:p w14:paraId="76E6A689" w14:textId="6FD14A2B" w:rsidR="00AD6227" w:rsidRPr="009B7552" w:rsidRDefault="00AD6227" w:rsidP="009B7552">
      <w:pPr>
        <w:spacing w:after="0" w:line="360" w:lineRule="auto"/>
        <w:jc w:val="both"/>
        <w:textAlignment w:val="baseline"/>
        <w:rPr>
          <w:rFonts w:ascii="Arial" w:eastAsia="Times New Roman" w:hAnsi="Arial" w:cs="Arial"/>
          <w:kern w:val="0"/>
          <w:lang w:eastAsia="es-CO"/>
          <w14:ligatures w14:val="none"/>
        </w:rPr>
      </w:pPr>
    </w:p>
    <w:p w14:paraId="3193630E" w14:textId="77777777" w:rsidR="00AD6227" w:rsidRPr="009B7552" w:rsidRDefault="00AD6227" w:rsidP="009B7552">
      <w:p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t>Respecto al </w:t>
      </w:r>
      <w:r w:rsidRPr="009B7552">
        <w:rPr>
          <w:rFonts w:ascii="Arial" w:eastAsia="Times New Roman" w:hAnsi="Arial" w:cs="Arial"/>
          <w:b/>
          <w:bCs/>
          <w:spacing w:val="2"/>
          <w:kern w:val="0"/>
          <w:bdr w:val="none" w:sz="0" w:space="0" w:color="auto" w:frame="1"/>
          <w:shd w:val="clear" w:color="auto" w:fill="FFFFFF"/>
          <w:lang w:eastAsia="es-CO"/>
          <w14:ligatures w14:val="none"/>
        </w:rPr>
        <w:t>daño emergente</w:t>
      </w:r>
      <w:r w:rsidRPr="009B7552">
        <w:rPr>
          <w:rFonts w:ascii="Arial" w:eastAsia="Times New Roman" w:hAnsi="Arial" w:cs="Arial"/>
          <w:spacing w:val="2"/>
          <w:kern w:val="0"/>
          <w:bdr w:val="none" w:sz="0" w:space="0" w:color="auto" w:frame="1"/>
          <w:shd w:val="clear" w:color="auto" w:fill="FFFFFF"/>
          <w:lang w:eastAsia="es-CO"/>
          <w14:ligatures w14:val="none"/>
        </w:rPr>
        <w:t>:</w:t>
      </w:r>
    </w:p>
    <w:p w14:paraId="41E114B1" w14:textId="77777777" w:rsidR="00AD6227" w:rsidRPr="009B7552" w:rsidRDefault="00AD6227" w:rsidP="009B7552">
      <w:p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p>
    <w:p w14:paraId="21C68EA2" w14:textId="587D31C3" w:rsidR="00AD6227" w:rsidRPr="009B7552" w:rsidRDefault="00AD6227" w:rsidP="009B7552">
      <w:p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t xml:space="preserve">En el descorre al juramento estimatorio el demandante presenta los siguientes conceptos con el fin de que se indemnicen los perjuicios a titulo de daño emergente: i) pagos por turnos de enfermería; ii) pagos de insumos médicos; iii) pago tratamiento psicológico; iv) avances de las tarjetas de crédito. En este sentido nos referiremos a cada uno de estos puntos anticipando desde este momento que por concepto de daño emergente se reconoce la suma de </w:t>
      </w:r>
      <w:r w:rsidR="00757355" w:rsidRPr="009B7552">
        <w:rPr>
          <w:rFonts w:ascii="Arial" w:eastAsia="Times New Roman" w:hAnsi="Arial" w:cs="Arial"/>
          <w:spacing w:val="2"/>
          <w:kern w:val="0"/>
          <w:bdr w:val="none" w:sz="0" w:space="0" w:color="auto" w:frame="1"/>
          <w:shd w:val="clear" w:color="auto" w:fill="FFFFFF"/>
          <w:lang w:eastAsia="es-CO"/>
          <w14:ligatures w14:val="none"/>
        </w:rPr>
        <w:t xml:space="preserve">$613.800. </w:t>
      </w:r>
    </w:p>
    <w:p w14:paraId="03962A39" w14:textId="77777777" w:rsidR="00AD6227" w:rsidRPr="009B7552" w:rsidRDefault="00AD6227" w:rsidP="009B7552">
      <w:p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p>
    <w:p w14:paraId="4197410F" w14:textId="2AC5C9C3" w:rsidR="00757355" w:rsidRPr="009B7552" w:rsidRDefault="00AD6227" w:rsidP="009B7552">
      <w:p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t>i)</w:t>
      </w:r>
      <w:r w:rsidR="00757355" w:rsidRPr="009B7552">
        <w:rPr>
          <w:rFonts w:ascii="Arial" w:eastAsia="Times New Roman" w:hAnsi="Arial" w:cs="Arial"/>
          <w:spacing w:val="2"/>
          <w:kern w:val="0"/>
          <w:bdr w:val="none" w:sz="0" w:space="0" w:color="auto" w:frame="1"/>
          <w:shd w:val="clear" w:color="auto" w:fill="FFFFFF"/>
          <w:lang w:eastAsia="es-CO"/>
          <w14:ligatures w14:val="none"/>
        </w:rPr>
        <w:t>En relación con el pago de los turnos por enfermería, se mantiene la postura por la cual e</w:t>
      </w:r>
      <w:r w:rsidRPr="009B7552">
        <w:rPr>
          <w:rFonts w:ascii="Arial" w:eastAsia="Times New Roman" w:hAnsi="Arial" w:cs="Arial"/>
          <w:spacing w:val="2"/>
          <w:kern w:val="0"/>
          <w:bdr w:val="none" w:sz="0" w:space="0" w:color="auto" w:frame="1"/>
          <w:shd w:val="clear" w:color="auto" w:fill="FFFFFF"/>
          <w:lang w:eastAsia="es-CO"/>
          <w14:ligatures w14:val="none"/>
        </w:rPr>
        <w:t xml:space="preserve">stando la señora Patricia Muñoz en una IPS, resulta ilógico que sus familiares supuestamente hubieren pagado una enfermera para que “cuidara” a la </w:t>
      </w:r>
      <w:r w:rsidR="00757355" w:rsidRPr="009B7552">
        <w:rPr>
          <w:rFonts w:ascii="Arial" w:eastAsia="Times New Roman" w:hAnsi="Arial" w:cs="Arial"/>
          <w:spacing w:val="2"/>
          <w:kern w:val="0"/>
          <w:bdr w:val="none" w:sz="0" w:space="0" w:color="auto" w:frame="1"/>
          <w:shd w:val="clear" w:color="auto" w:fill="FFFFFF"/>
          <w:lang w:eastAsia="es-CO"/>
          <w14:ligatures w14:val="none"/>
        </w:rPr>
        <w:t xml:space="preserve">señora Muñoz </w:t>
      </w:r>
      <w:r w:rsidRPr="009B7552">
        <w:rPr>
          <w:rFonts w:ascii="Arial" w:eastAsia="Times New Roman" w:hAnsi="Arial" w:cs="Arial"/>
          <w:spacing w:val="2"/>
          <w:kern w:val="0"/>
          <w:bdr w:val="none" w:sz="0" w:space="0" w:color="auto" w:frame="1"/>
          <w:shd w:val="clear" w:color="auto" w:fill="FFFFFF"/>
          <w:lang w:eastAsia="es-CO"/>
          <w14:ligatures w14:val="none"/>
        </w:rPr>
        <w:t xml:space="preserve">dentro de las instalaciones de dicha IPS. Por </w:t>
      </w:r>
      <w:r w:rsidR="00757355" w:rsidRPr="009B7552">
        <w:rPr>
          <w:rFonts w:ascii="Arial" w:eastAsia="Times New Roman" w:hAnsi="Arial" w:cs="Arial"/>
          <w:spacing w:val="2"/>
          <w:kern w:val="0"/>
          <w:bdr w:val="none" w:sz="0" w:space="0" w:color="auto" w:frame="1"/>
          <w:shd w:val="clear" w:color="auto" w:fill="FFFFFF"/>
          <w:lang w:eastAsia="es-CO"/>
          <w14:ligatures w14:val="none"/>
        </w:rPr>
        <w:t>esta</w:t>
      </w:r>
      <w:r w:rsidRPr="009B7552">
        <w:rPr>
          <w:rFonts w:ascii="Arial" w:eastAsia="Times New Roman" w:hAnsi="Arial" w:cs="Arial"/>
          <w:spacing w:val="2"/>
          <w:kern w:val="0"/>
          <w:bdr w:val="none" w:sz="0" w:space="0" w:color="auto" w:frame="1"/>
          <w:shd w:val="clear" w:color="auto" w:fill="FFFFFF"/>
          <w:lang w:eastAsia="es-CO"/>
          <w14:ligatures w14:val="none"/>
        </w:rPr>
        <w:t xml:space="preserve"> razón, si hipotéticamente se hubiere realizado esa presunta contratación, entonces ello fue a discreción de los demandantes, pues es inexplicable que estando al interior de una IPS la señora Muñoz Rengifo “necesite” una enfermera adicional. </w:t>
      </w:r>
      <w:r w:rsidR="00757355" w:rsidRPr="009B7552">
        <w:rPr>
          <w:rFonts w:ascii="Arial" w:eastAsia="Times New Roman" w:hAnsi="Arial" w:cs="Arial"/>
          <w:spacing w:val="2"/>
          <w:kern w:val="0"/>
          <w:bdr w:val="none" w:sz="0" w:space="0" w:color="auto" w:frame="1"/>
          <w:shd w:val="clear" w:color="auto" w:fill="FFFFFF"/>
          <w:lang w:eastAsia="es-CO"/>
          <w14:ligatures w14:val="none"/>
        </w:rPr>
        <w:t>Adicionalmente, s</w:t>
      </w:r>
      <w:r w:rsidRPr="009B7552">
        <w:rPr>
          <w:rFonts w:ascii="Arial" w:eastAsia="Times New Roman" w:hAnsi="Arial" w:cs="Arial"/>
          <w:spacing w:val="2"/>
          <w:kern w:val="0"/>
          <w:bdr w:val="none" w:sz="0" w:space="0" w:color="auto" w:frame="1"/>
          <w:shd w:val="clear" w:color="auto" w:fill="FFFFFF"/>
          <w:lang w:eastAsia="es-CO"/>
          <w14:ligatures w14:val="none"/>
        </w:rPr>
        <w:t>in perjuicio de lo anterior, aun cuando se mencionan 2 contratos de pre</w:t>
      </w:r>
      <w:r w:rsidR="00757355" w:rsidRPr="009B7552">
        <w:rPr>
          <w:rFonts w:ascii="Arial" w:eastAsia="Times New Roman" w:hAnsi="Arial" w:cs="Arial"/>
          <w:spacing w:val="2"/>
          <w:kern w:val="0"/>
          <w:bdr w:val="none" w:sz="0" w:space="0" w:color="auto" w:frame="1"/>
          <w:shd w:val="clear" w:color="auto" w:fill="FFFFFF"/>
          <w:lang w:eastAsia="es-CO"/>
          <w14:ligatures w14:val="none"/>
        </w:rPr>
        <w:t>s</w:t>
      </w:r>
      <w:r w:rsidRPr="009B7552">
        <w:rPr>
          <w:rFonts w:ascii="Arial" w:eastAsia="Times New Roman" w:hAnsi="Arial" w:cs="Arial"/>
          <w:spacing w:val="2"/>
          <w:kern w:val="0"/>
          <w:bdr w:val="none" w:sz="0" w:space="0" w:color="auto" w:frame="1"/>
          <w:shd w:val="clear" w:color="auto" w:fill="FFFFFF"/>
          <w:lang w:eastAsia="es-CO"/>
          <w14:ligatures w14:val="none"/>
        </w:rPr>
        <w:t>tación de servicios de enfermería no existen comprobantes de pago que efectivamente demuestren las erogaciones descritas</w:t>
      </w:r>
      <w:r w:rsidR="00757355" w:rsidRPr="009B7552">
        <w:rPr>
          <w:rFonts w:ascii="Arial" w:eastAsia="Times New Roman" w:hAnsi="Arial" w:cs="Arial"/>
          <w:spacing w:val="2"/>
          <w:kern w:val="0"/>
          <w:bdr w:val="none" w:sz="0" w:space="0" w:color="auto" w:frame="1"/>
          <w:shd w:val="clear" w:color="auto" w:fill="FFFFFF"/>
          <w:lang w:eastAsia="es-CO"/>
          <w14:ligatures w14:val="none"/>
        </w:rPr>
        <w:t>.</w:t>
      </w:r>
    </w:p>
    <w:p w14:paraId="6883FE75" w14:textId="77777777" w:rsidR="00757355" w:rsidRPr="009B7552" w:rsidRDefault="00757355" w:rsidP="009B7552">
      <w:p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p>
    <w:p w14:paraId="3709FFC1" w14:textId="77777777" w:rsidR="00757355" w:rsidRPr="009B7552" w:rsidRDefault="00AD6227" w:rsidP="009B7552">
      <w:p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t xml:space="preserve">ii) Se reconoce la suma de $613.800, debido a que se allegan 2 facturas de la Droguería Farmacia Buga, las cuales cumplen con los requisitos establecidos en el Código de Comercio y Estatuto Tributario. Una emitida el día 02 de marzo del 2018 por un valor de $383.000 y otra emitida el día 18 de abril del 2018 por un valor de $230.800; ambas fechas </w:t>
      </w:r>
      <w:r w:rsidRPr="009B7552">
        <w:rPr>
          <w:rFonts w:ascii="Arial" w:eastAsia="Times New Roman" w:hAnsi="Arial" w:cs="Arial"/>
          <w:spacing w:val="2"/>
          <w:kern w:val="0"/>
          <w:bdr w:val="none" w:sz="0" w:space="0" w:color="auto" w:frame="1"/>
          <w:shd w:val="clear" w:color="auto" w:fill="FFFFFF"/>
          <w:lang w:eastAsia="es-CO"/>
          <w14:ligatures w14:val="none"/>
        </w:rPr>
        <w:lastRenderedPageBreak/>
        <w:t xml:space="preserve">correspondientes a la época de los hechos descritos en la demanda. Por otro lado, no se </w:t>
      </w:r>
      <w:proofErr w:type="gramStart"/>
      <w:r w:rsidRPr="009B7552">
        <w:rPr>
          <w:rFonts w:ascii="Arial" w:eastAsia="Times New Roman" w:hAnsi="Arial" w:cs="Arial"/>
          <w:spacing w:val="2"/>
          <w:kern w:val="0"/>
          <w:bdr w:val="none" w:sz="0" w:space="0" w:color="auto" w:frame="1"/>
          <w:shd w:val="clear" w:color="auto" w:fill="FFFFFF"/>
          <w:lang w:eastAsia="es-CO"/>
          <w14:ligatures w14:val="none"/>
        </w:rPr>
        <w:t>le</w:t>
      </w:r>
      <w:proofErr w:type="gramEnd"/>
      <w:r w:rsidRPr="009B7552">
        <w:rPr>
          <w:rFonts w:ascii="Arial" w:eastAsia="Times New Roman" w:hAnsi="Arial" w:cs="Arial"/>
          <w:spacing w:val="2"/>
          <w:kern w:val="0"/>
          <w:bdr w:val="none" w:sz="0" w:space="0" w:color="auto" w:frame="1"/>
          <w:shd w:val="clear" w:color="auto" w:fill="FFFFFF"/>
          <w:lang w:eastAsia="es-CO"/>
          <w14:ligatures w14:val="none"/>
        </w:rPr>
        <w:t xml:space="preserve"> reconoce valor probatorio a las facturas allegadas junto con el descorre a la objeción al juramento estimatorio que corresponden al establecimiento de comercio </w:t>
      </w:r>
      <w:proofErr w:type="spellStart"/>
      <w:r w:rsidRPr="009B7552">
        <w:rPr>
          <w:rFonts w:ascii="Arial" w:eastAsia="Times New Roman" w:hAnsi="Arial" w:cs="Arial"/>
          <w:spacing w:val="2"/>
          <w:kern w:val="0"/>
          <w:bdr w:val="none" w:sz="0" w:space="0" w:color="auto" w:frame="1"/>
          <w:shd w:val="clear" w:color="auto" w:fill="FFFFFF"/>
          <w:lang w:eastAsia="es-CO"/>
          <w14:ligatures w14:val="none"/>
        </w:rPr>
        <w:t>Puntodrogas</w:t>
      </w:r>
      <w:proofErr w:type="spellEnd"/>
      <w:r w:rsidRPr="009B7552">
        <w:rPr>
          <w:rFonts w:ascii="Arial" w:eastAsia="Times New Roman" w:hAnsi="Arial" w:cs="Arial"/>
          <w:spacing w:val="2"/>
          <w:kern w:val="0"/>
          <w:bdr w:val="none" w:sz="0" w:space="0" w:color="auto" w:frame="1"/>
          <w:shd w:val="clear" w:color="auto" w:fill="FFFFFF"/>
          <w:lang w:eastAsia="es-CO"/>
          <w14:ligatures w14:val="none"/>
        </w:rPr>
        <w:t xml:space="preserve"> Buga debido a que no cumplen con los requisitos normados en el Código de Comercio (artículo 774), específicamente, la fecha de emisión. </w:t>
      </w:r>
    </w:p>
    <w:p w14:paraId="406A005D" w14:textId="77777777" w:rsidR="00757355" w:rsidRPr="009B7552" w:rsidRDefault="00757355" w:rsidP="009B7552">
      <w:p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p>
    <w:p w14:paraId="59CA7393" w14:textId="6381CAD5" w:rsidR="00757355" w:rsidRPr="009B7552" w:rsidRDefault="00757355" w:rsidP="009B7552">
      <w:p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t xml:space="preserve">iii) En relación con los pagos por el tratamiento psicológico, si bien se encuentran valoraciones de psicología y certificados de ingreso realizados por el Dr. Roberto Gerardo Niño Sierra, también es cierto que los daños psicológicos en la jurisdicción civil no son reconocidos dentro de la categoría de daño emergente, sino que estos están inmersos dentro de los daños morales deprecados en la demanda. </w:t>
      </w:r>
    </w:p>
    <w:p w14:paraId="795DEFB7" w14:textId="77777777" w:rsidR="00EF1A3D" w:rsidRPr="009B7552" w:rsidRDefault="00EF1A3D" w:rsidP="009B7552">
      <w:p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p>
    <w:p w14:paraId="30940DF8" w14:textId="53E1524C" w:rsidR="00EF1A3D" w:rsidRPr="009B7552" w:rsidRDefault="00EF1A3D" w:rsidP="009B7552">
      <w:pPr>
        <w:spacing w:after="0" w:line="360" w:lineRule="auto"/>
        <w:jc w:val="both"/>
        <w:textAlignment w:val="baseline"/>
        <w:rPr>
          <w:rFonts w:ascii="Arial" w:eastAsia="Times New Roman" w:hAnsi="Arial" w:cs="Arial"/>
          <w:kern w:val="0"/>
          <w:lang w:eastAsia="es-CO"/>
          <w14:ligatures w14:val="none"/>
        </w:rPr>
      </w:pPr>
      <w:proofErr w:type="spellStart"/>
      <w:r w:rsidRPr="009B7552">
        <w:rPr>
          <w:rFonts w:ascii="Arial" w:eastAsia="Times New Roman" w:hAnsi="Arial" w:cs="Arial"/>
          <w:spacing w:val="2"/>
          <w:kern w:val="0"/>
          <w:bdr w:val="none" w:sz="0" w:space="0" w:color="auto" w:frame="1"/>
          <w:shd w:val="clear" w:color="auto" w:fill="FFFFFF"/>
          <w:lang w:eastAsia="es-CO"/>
          <w14:ligatures w14:val="none"/>
        </w:rPr>
        <w:t>Iv</w:t>
      </w:r>
      <w:proofErr w:type="spellEnd"/>
      <w:r w:rsidRPr="009B7552">
        <w:rPr>
          <w:rFonts w:ascii="Arial" w:eastAsia="Times New Roman" w:hAnsi="Arial" w:cs="Arial"/>
          <w:spacing w:val="2"/>
          <w:kern w:val="0"/>
          <w:bdr w:val="none" w:sz="0" w:space="0" w:color="auto" w:frame="1"/>
          <w:shd w:val="clear" w:color="auto" w:fill="FFFFFF"/>
          <w:lang w:eastAsia="es-CO"/>
          <w14:ligatures w14:val="none"/>
        </w:rPr>
        <w:t xml:space="preserve">) Finalmente, respecto de las obligaciones crediticias se mantiene la postura de la liquidación inicial, debido ninguna de las pruebas adjuntas a la demanda se encuentra enderezada a acreditar la supuesta relación causal entre los presuntos créditos y los gastos en los que la parte actora dice que debió incurrir; </w:t>
      </w:r>
    </w:p>
    <w:p w14:paraId="6C7CA0A1" w14:textId="3AE8BE95" w:rsidR="00EF1A3D" w:rsidRPr="009B7552" w:rsidRDefault="00EF1A3D" w:rsidP="009B7552">
      <w:pPr>
        <w:spacing w:after="0" w:line="360" w:lineRule="auto"/>
        <w:jc w:val="both"/>
        <w:textAlignment w:val="baseline"/>
        <w:rPr>
          <w:rFonts w:ascii="Arial" w:hAnsi="Arial" w:cs="Arial"/>
        </w:rPr>
      </w:pPr>
    </w:p>
    <w:p w14:paraId="4296B4CE" w14:textId="22B51FF2" w:rsidR="00757355" w:rsidRPr="009B7552" w:rsidRDefault="003103BA" w:rsidP="009B7552">
      <w:pPr>
        <w:spacing w:after="0" w:line="360" w:lineRule="auto"/>
        <w:jc w:val="both"/>
        <w:textAlignment w:val="baseline"/>
        <w:rPr>
          <w:rFonts w:ascii="Arial" w:eastAsia="Times New Roman" w:hAnsi="Arial" w:cs="Arial"/>
          <w:kern w:val="0"/>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t>En este sentido l</w:t>
      </w:r>
      <w:r w:rsidR="00757355" w:rsidRPr="009B7552">
        <w:rPr>
          <w:rFonts w:ascii="Arial" w:eastAsia="Times New Roman" w:hAnsi="Arial" w:cs="Arial"/>
          <w:spacing w:val="2"/>
          <w:kern w:val="0"/>
          <w:bdr w:val="none" w:sz="0" w:space="0" w:color="auto" w:frame="1"/>
          <w:shd w:val="clear" w:color="auto" w:fill="FFFFFF"/>
          <w:lang w:eastAsia="es-CO"/>
          <w14:ligatures w14:val="none"/>
        </w:rPr>
        <w:t>os supuestos “gastos necesarios del cuidado de” la señora Patricia Muñoz, si hipotéticamente existieron, obedecieron a la discreción de los actores, pues si la entonces paciente hubiere requerido otro</w:t>
      </w:r>
      <w:r w:rsidRPr="009B7552">
        <w:rPr>
          <w:rFonts w:ascii="Arial" w:eastAsia="Times New Roman" w:hAnsi="Arial" w:cs="Arial"/>
          <w:spacing w:val="2"/>
          <w:kern w:val="0"/>
          <w:bdr w:val="none" w:sz="0" w:space="0" w:color="auto" w:frame="1"/>
          <w:shd w:val="clear" w:color="auto" w:fill="FFFFFF"/>
          <w:lang w:eastAsia="es-CO"/>
          <w14:ligatures w14:val="none"/>
        </w:rPr>
        <w:t>s</w:t>
      </w:r>
      <w:r w:rsidR="00757355" w:rsidRPr="009B7552">
        <w:rPr>
          <w:rFonts w:ascii="Arial" w:eastAsia="Times New Roman" w:hAnsi="Arial" w:cs="Arial"/>
          <w:spacing w:val="2"/>
          <w:kern w:val="0"/>
          <w:bdr w:val="none" w:sz="0" w:space="0" w:color="auto" w:frame="1"/>
          <w:shd w:val="clear" w:color="auto" w:fill="FFFFFF"/>
          <w:lang w:eastAsia="es-CO"/>
          <w14:ligatures w14:val="none"/>
        </w:rPr>
        <w:t xml:space="preserve"> servicios médicos, debieron ser ordenados por sus respectivos médicos tratantes y sufragados por la EPS, razón por la que el perjuicio que pretende acreditarse nunca se causó.</w:t>
      </w:r>
      <w:r w:rsidRPr="009B7552">
        <w:rPr>
          <w:rFonts w:ascii="Arial" w:eastAsia="Times New Roman" w:hAnsi="Arial" w:cs="Arial"/>
          <w:spacing w:val="2"/>
          <w:kern w:val="0"/>
          <w:bdr w:val="none" w:sz="0" w:space="0" w:color="auto" w:frame="1"/>
          <w:shd w:val="clear" w:color="auto" w:fill="FFFFFF"/>
          <w:lang w:eastAsia="es-CO"/>
          <w14:ligatures w14:val="none"/>
        </w:rPr>
        <w:t xml:space="preserve"> Aunado a esto los comprobantes con los que se pretende probar los pagos realizados son recibos de caja menor cuyo contenido es ilegible y no cumplen con los requisitos para que puedan valerse como tales (Artículo 774 del Código de Comercio y Articulo 617 del Estatuto Tributario).  </w:t>
      </w:r>
    </w:p>
    <w:p w14:paraId="4586CDE0" w14:textId="4B1750AD" w:rsidR="00AD6227" w:rsidRPr="009B7552" w:rsidRDefault="00AD6227" w:rsidP="009B7552">
      <w:p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br/>
        <w:t>Respecto al </w:t>
      </w:r>
      <w:r w:rsidRPr="009B7552">
        <w:rPr>
          <w:rFonts w:ascii="Arial" w:eastAsia="Times New Roman" w:hAnsi="Arial" w:cs="Arial"/>
          <w:b/>
          <w:bCs/>
          <w:spacing w:val="2"/>
          <w:kern w:val="0"/>
          <w:bdr w:val="none" w:sz="0" w:space="0" w:color="auto" w:frame="1"/>
          <w:shd w:val="clear" w:color="auto" w:fill="FFFFFF"/>
          <w:lang w:eastAsia="es-CO"/>
          <w14:ligatures w14:val="none"/>
        </w:rPr>
        <w:t>lucro cesante</w:t>
      </w:r>
      <w:r w:rsidRPr="009B7552">
        <w:rPr>
          <w:rFonts w:ascii="Arial" w:eastAsia="Times New Roman" w:hAnsi="Arial" w:cs="Arial"/>
          <w:spacing w:val="2"/>
          <w:kern w:val="0"/>
          <w:bdr w:val="none" w:sz="0" w:space="0" w:color="auto" w:frame="1"/>
          <w:shd w:val="clear" w:color="auto" w:fill="FFFFFF"/>
          <w:lang w:eastAsia="es-CO"/>
          <w14:ligatures w14:val="none"/>
        </w:rPr>
        <w:t>: no se estima lo pedido bajo este concept</w:t>
      </w:r>
      <w:r w:rsidR="003103BA" w:rsidRPr="009B7552">
        <w:rPr>
          <w:rFonts w:ascii="Arial" w:eastAsia="Times New Roman" w:hAnsi="Arial" w:cs="Arial"/>
          <w:spacing w:val="2"/>
          <w:kern w:val="0"/>
          <w:bdr w:val="none" w:sz="0" w:space="0" w:color="auto" w:frame="1"/>
          <w:shd w:val="clear" w:color="auto" w:fill="FFFFFF"/>
          <w:lang w:eastAsia="es-CO"/>
          <w14:ligatures w14:val="none"/>
        </w:rPr>
        <w:t>o pese a lo referido en el descorre a la objeción del juramento estimatorio</w:t>
      </w:r>
      <w:r w:rsidRPr="009B7552">
        <w:rPr>
          <w:rFonts w:ascii="Arial" w:eastAsia="Times New Roman" w:hAnsi="Arial" w:cs="Arial"/>
          <w:spacing w:val="2"/>
          <w:kern w:val="0"/>
          <w:bdr w:val="none" w:sz="0" w:space="0" w:color="auto" w:frame="1"/>
          <w:shd w:val="clear" w:color="auto" w:fill="FFFFFF"/>
          <w:lang w:eastAsia="es-CO"/>
          <w14:ligatures w14:val="none"/>
        </w:rPr>
        <w:t xml:space="preserve">, en razón a que: (i) de forma improcedente, la parte actora solicita el lucro cesante en razón a “lo que la presunta víctima no se ganó o que indefectiblemente no se ganará”, argumento que no tiene sustento jurídico, dado que, al tratarse de una fallecida, no existe fundamento para reconocer dicho perjuicio, que lógicamente no se causó. (ii) Si en todo caso la parte actora lo pretendiera en favor de los demandantes, como directamente perjudicados, lo cierto es que tampoco hay lugar a reconocer el perjuicio, dado que: A. Según la consulta RUAF la </w:t>
      </w:r>
      <w:r w:rsidRPr="009B7552">
        <w:rPr>
          <w:rFonts w:ascii="Arial" w:eastAsia="Times New Roman" w:hAnsi="Arial" w:cs="Arial"/>
          <w:spacing w:val="2"/>
          <w:kern w:val="0"/>
          <w:bdr w:val="none" w:sz="0" w:space="0" w:color="auto" w:frame="1"/>
          <w:shd w:val="clear" w:color="auto" w:fill="FFFFFF"/>
          <w:lang w:eastAsia="es-CO"/>
          <w14:ligatures w14:val="none"/>
        </w:rPr>
        <w:lastRenderedPageBreak/>
        <w:t>señora Muñoz no realizaba actividades lucrativas, por lo que no es posible que contribuyera económicamente al sostenimiento de los demandantes, y los actores no prueban ninguna actividad laboral por ningún medio; B. NO se acreditó la dependencia económica de ninguno de los actores respecto de la víctima; C. La única hija demandante tenía 37 años para el deceso de la nombrada, por lo que no existe ninguna presunción en su favor, al haber superado ampliamente los 25 años, conforme a las reglas jurisprudenciales.</w:t>
      </w:r>
    </w:p>
    <w:p w14:paraId="52AB5C68" w14:textId="77777777" w:rsidR="003103BA" w:rsidRPr="009B7552" w:rsidRDefault="003103BA" w:rsidP="009B7552">
      <w:p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p>
    <w:p w14:paraId="3FEB0C16" w14:textId="7861C9DF" w:rsidR="003103BA" w:rsidRPr="009B7552" w:rsidRDefault="003103BA" w:rsidP="009B7552">
      <w:pPr>
        <w:spacing w:after="0" w:line="360" w:lineRule="auto"/>
        <w:jc w:val="both"/>
        <w:textAlignment w:val="baseline"/>
        <w:rPr>
          <w:rFonts w:ascii="Arial" w:eastAsia="Times New Roman" w:hAnsi="Arial" w:cs="Arial"/>
          <w:kern w:val="0"/>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t xml:space="preserve">Así mismo si bien se adjuntan unas declaraciones </w:t>
      </w:r>
      <w:proofErr w:type="spellStart"/>
      <w:r w:rsidRPr="009B7552">
        <w:rPr>
          <w:rFonts w:ascii="Arial" w:eastAsia="Times New Roman" w:hAnsi="Arial" w:cs="Arial"/>
          <w:spacing w:val="2"/>
          <w:kern w:val="0"/>
          <w:bdr w:val="none" w:sz="0" w:space="0" w:color="auto" w:frame="1"/>
          <w:shd w:val="clear" w:color="auto" w:fill="FFFFFF"/>
          <w:lang w:eastAsia="es-CO"/>
          <w14:ligatures w14:val="none"/>
        </w:rPr>
        <w:t>extrajuicio</w:t>
      </w:r>
      <w:proofErr w:type="spellEnd"/>
      <w:r w:rsidRPr="009B7552">
        <w:rPr>
          <w:rFonts w:ascii="Arial" w:eastAsia="Times New Roman" w:hAnsi="Arial" w:cs="Arial"/>
          <w:spacing w:val="2"/>
          <w:kern w:val="0"/>
          <w:bdr w:val="none" w:sz="0" w:space="0" w:color="auto" w:frame="1"/>
          <w:shd w:val="clear" w:color="auto" w:fill="FFFFFF"/>
          <w:lang w:eastAsia="es-CO"/>
          <w14:ligatures w14:val="none"/>
        </w:rPr>
        <w:t xml:space="preserve"> de las señoras Sandra Castaño Mejía y Mónica Lucia Santacruz, estos documentos no tienen el valor probatorio para poder </w:t>
      </w:r>
      <w:r w:rsidR="00CF4A82" w:rsidRPr="009B7552">
        <w:rPr>
          <w:rFonts w:ascii="Arial" w:eastAsia="Times New Roman" w:hAnsi="Arial" w:cs="Arial"/>
          <w:spacing w:val="2"/>
          <w:kern w:val="0"/>
          <w:bdr w:val="none" w:sz="0" w:space="0" w:color="auto" w:frame="1"/>
          <w:shd w:val="clear" w:color="auto" w:fill="FFFFFF"/>
          <w:lang w:eastAsia="es-CO"/>
          <w14:ligatures w14:val="none"/>
        </w:rPr>
        <w:t xml:space="preserve">corroborar las sumas </w:t>
      </w:r>
      <w:proofErr w:type="gramStart"/>
      <w:r w:rsidR="00CF4A82" w:rsidRPr="009B7552">
        <w:rPr>
          <w:rFonts w:ascii="Arial" w:eastAsia="Times New Roman" w:hAnsi="Arial" w:cs="Arial"/>
          <w:spacing w:val="2"/>
          <w:kern w:val="0"/>
          <w:bdr w:val="none" w:sz="0" w:space="0" w:color="auto" w:frame="1"/>
          <w:shd w:val="clear" w:color="auto" w:fill="FFFFFF"/>
          <w:lang w:eastAsia="es-CO"/>
          <w14:ligatures w14:val="none"/>
        </w:rPr>
        <w:t>deprecadas .</w:t>
      </w:r>
      <w:proofErr w:type="gramEnd"/>
      <w:r w:rsidR="00CF4A82" w:rsidRPr="009B7552">
        <w:rPr>
          <w:rFonts w:ascii="Arial" w:eastAsia="Times New Roman" w:hAnsi="Arial" w:cs="Arial"/>
          <w:spacing w:val="2"/>
          <w:kern w:val="0"/>
          <w:bdr w:val="none" w:sz="0" w:space="0" w:color="auto" w:frame="1"/>
          <w:shd w:val="clear" w:color="auto" w:fill="FFFFFF"/>
          <w:lang w:eastAsia="es-CO"/>
          <w14:ligatures w14:val="none"/>
        </w:rPr>
        <w:t xml:space="preserve"> </w:t>
      </w:r>
    </w:p>
    <w:p w14:paraId="5F94E39D" w14:textId="587EDCD4" w:rsidR="00AD6227" w:rsidRPr="009B7552" w:rsidRDefault="00AD6227" w:rsidP="009B7552">
      <w:pPr>
        <w:spacing w:after="0" w:line="360" w:lineRule="auto"/>
        <w:jc w:val="both"/>
        <w:textAlignment w:val="baseline"/>
        <w:rPr>
          <w:rFonts w:ascii="Arial" w:eastAsia="Times New Roman" w:hAnsi="Arial" w:cs="Arial"/>
          <w:kern w:val="0"/>
          <w:lang w:eastAsia="es-CO"/>
          <w14:ligatures w14:val="none"/>
        </w:rPr>
      </w:pPr>
    </w:p>
    <w:p w14:paraId="00EC8000" w14:textId="77777777" w:rsidR="00CF4A82" w:rsidRPr="009B7552" w:rsidRDefault="00AD6227" w:rsidP="009B7552">
      <w:p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t>Respecto a los</w:t>
      </w:r>
      <w:r w:rsidRPr="009B7552">
        <w:rPr>
          <w:rFonts w:ascii="Arial" w:eastAsia="Times New Roman" w:hAnsi="Arial" w:cs="Arial"/>
          <w:b/>
          <w:bCs/>
          <w:spacing w:val="2"/>
          <w:kern w:val="0"/>
          <w:bdr w:val="none" w:sz="0" w:space="0" w:color="auto" w:frame="1"/>
          <w:shd w:val="clear" w:color="auto" w:fill="FFFFFF"/>
          <w:lang w:eastAsia="es-CO"/>
          <w14:ligatures w14:val="none"/>
        </w:rPr>
        <w:t> perjuicios morales</w:t>
      </w:r>
      <w:r w:rsidRPr="009B7552">
        <w:rPr>
          <w:rFonts w:ascii="Arial" w:eastAsia="Times New Roman" w:hAnsi="Arial" w:cs="Arial"/>
          <w:spacing w:val="2"/>
          <w:kern w:val="0"/>
          <w:bdr w:val="none" w:sz="0" w:space="0" w:color="auto" w:frame="1"/>
          <w:shd w:val="clear" w:color="auto" w:fill="FFFFFF"/>
          <w:lang w:eastAsia="es-CO"/>
          <w14:ligatures w14:val="none"/>
        </w:rPr>
        <w:t>: se liquidan con base en la sentencia SC665 de 2019 de la Corte Suprema de Justicia, que reconoció la suma de $60.000.000 por concepto de perjuicios morales, en caso de fallecimiento de un familiar perteneciente al núcleo primario, y con base en los pronunciamientos locales, así:</w:t>
      </w:r>
    </w:p>
    <w:p w14:paraId="23007DB5" w14:textId="77777777" w:rsidR="00CF4A82" w:rsidRPr="009B7552" w:rsidRDefault="00CF4A82" w:rsidP="009B7552">
      <w:p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p>
    <w:p w14:paraId="6382D70F" w14:textId="77777777" w:rsidR="00CF4A82" w:rsidRPr="009B7552" w:rsidRDefault="00AD6227" w:rsidP="009B7552">
      <w:pPr>
        <w:pStyle w:val="Prrafodelista"/>
        <w:numPr>
          <w:ilvl w:val="0"/>
          <w:numId w:val="1"/>
        </w:num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t>Para Diana Marcela Blandón, en su calidad de hija de la víctima, la suma de $60.000.000.</w:t>
      </w:r>
    </w:p>
    <w:p w14:paraId="5A7A52AF" w14:textId="77777777" w:rsidR="00CF4A82" w:rsidRPr="009B7552" w:rsidRDefault="00AD6227" w:rsidP="009B7552">
      <w:pPr>
        <w:pStyle w:val="Prrafodelista"/>
        <w:numPr>
          <w:ilvl w:val="0"/>
          <w:numId w:val="1"/>
        </w:num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t>Para Armando Muñoz Rengifo, Fanor Muñoz Rengifo, Francia Elena Muñoz Rengifo y Rodrigo Alonso Muñoz, en sus calidades de hermanos de la víctima, la suma de $40.000.000 para cada uno.</w:t>
      </w:r>
    </w:p>
    <w:p w14:paraId="3DA14A52" w14:textId="77777777" w:rsidR="00CF4A82" w:rsidRPr="009B7552" w:rsidRDefault="00AD6227" w:rsidP="009B7552">
      <w:pPr>
        <w:pStyle w:val="Prrafodelista"/>
        <w:numPr>
          <w:ilvl w:val="0"/>
          <w:numId w:val="1"/>
        </w:num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t>Para Santiago Castaño Blandón y Sebastián Castaño Gómez en sus calidades de nietos, la suma de $20.000.000 para cada uno.</w:t>
      </w:r>
    </w:p>
    <w:p w14:paraId="788E8179" w14:textId="77777777" w:rsidR="00CF4A82" w:rsidRPr="009B7552" w:rsidRDefault="00AD6227" w:rsidP="009B7552">
      <w:pPr>
        <w:pStyle w:val="Prrafodelista"/>
        <w:numPr>
          <w:ilvl w:val="0"/>
          <w:numId w:val="1"/>
        </w:num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t>Para Carlos Alberto Muñoz, en su calidad de sobrino de la víctima, la suma de $15.000.000.</w:t>
      </w:r>
    </w:p>
    <w:p w14:paraId="6DECE4AF" w14:textId="593F9D9D" w:rsidR="00AD6227" w:rsidRPr="009B7552" w:rsidRDefault="00AD6227" w:rsidP="009B7552">
      <w:pPr>
        <w:pStyle w:val="Prrafodelista"/>
        <w:numPr>
          <w:ilvl w:val="0"/>
          <w:numId w:val="1"/>
        </w:numPr>
        <w:spacing w:after="0" w:line="360" w:lineRule="auto"/>
        <w:jc w:val="both"/>
        <w:textAlignment w:val="baseline"/>
        <w:rPr>
          <w:rFonts w:ascii="Arial" w:eastAsia="Times New Roman" w:hAnsi="Arial" w:cs="Arial"/>
          <w:kern w:val="0"/>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t>Para el señor Guido Castaño Mejía en su calidad de yerno de la víctima, la suma de $5.000.000 </w:t>
      </w:r>
    </w:p>
    <w:p w14:paraId="187071D2" w14:textId="15EAA502" w:rsidR="00CF4A82" w:rsidRPr="009B7552" w:rsidRDefault="00AD6227" w:rsidP="009B7552">
      <w:p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br/>
        <w:t>Respecto al daño a la </w:t>
      </w:r>
      <w:r w:rsidRPr="009B7552">
        <w:rPr>
          <w:rFonts w:ascii="Arial" w:eastAsia="Times New Roman" w:hAnsi="Arial" w:cs="Arial"/>
          <w:b/>
          <w:bCs/>
          <w:spacing w:val="2"/>
          <w:kern w:val="0"/>
          <w:bdr w:val="none" w:sz="0" w:space="0" w:color="auto" w:frame="1"/>
          <w:shd w:val="clear" w:color="auto" w:fill="FFFFFF"/>
          <w:lang w:eastAsia="es-CO"/>
          <w14:ligatures w14:val="none"/>
        </w:rPr>
        <w:t>vida de relación</w:t>
      </w:r>
      <w:r w:rsidRPr="009B7552">
        <w:rPr>
          <w:rFonts w:ascii="Arial" w:eastAsia="Times New Roman" w:hAnsi="Arial" w:cs="Arial"/>
          <w:spacing w:val="2"/>
          <w:kern w:val="0"/>
          <w:bdr w:val="none" w:sz="0" w:space="0" w:color="auto" w:frame="1"/>
          <w:shd w:val="clear" w:color="auto" w:fill="FFFFFF"/>
          <w:lang w:eastAsia="es-CO"/>
          <w14:ligatures w14:val="none"/>
        </w:rPr>
        <w:t>: en la misma sentencia SC665 de 2019, se reconoció la suma de $30.000.000 por concepto de daño a la vida de relación en caso de fallecimiento, frente a los familiares más cercanos de la víctima. Así, se estiman las siguientes sumas para el caso concreto:</w:t>
      </w:r>
    </w:p>
    <w:p w14:paraId="0439FCF2" w14:textId="77777777" w:rsidR="00E75D50" w:rsidRPr="009B7552" w:rsidRDefault="00E75D50" w:rsidP="009B7552">
      <w:p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p>
    <w:p w14:paraId="62213DEF" w14:textId="77777777" w:rsidR="00CF4A82" w:rsidRPr="009B7552" w:rsidRDefault="00AD6227" w:rsidP="009B7552">
      <w:pPr>
        <w:pStyle w:val="Prrafodelista"/>
        <w:numPr>
          <w:ilvl w:val="0"/>
          <w:numId w:val="2"/>
        </w:num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lastRenderedPageBreak/>
        <w:t>Para Diana Marcela Blandón, en su calidad de hija de la víctima, la suma de $30.000.000.</w:t>
      </w:r>
    </w:p>
    <w:p w14:paraId="0EEC4BF4" w14:textId="77777777" w:rsidR="00CF4A82" w:rsidRPr="009B7552" w:rsidRDefault="00AD6227" w:rsidP="009B7552">
      <w:pPr>
        <w:pStyle w:val="Prrafodelista"/>
        <w:numPr>
          <w:ilvl w:val="0"/>
          <w:numId w:val="2"/>
        </w:num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t>Para Armando Muñoz Rengifo, Fanor Muñoz Rengifo, Francia Elena Muñoz Rengifo y Rodrigo Alonso Muñoz, en sus calidades de hermanos de la víctima, la suma de $20.000.000 para cada uno.</w:t>
      </w:r>
    </w:p>
    <w:p w14:paraId="2EDE55E6" w14:textId="77777777" w:rsidR="00CF4A82" w:rsidRPr="009B7552" w:rsidRDefault="00AD6227" w:rsidP="009B7552">
      <w:pPr>
        <w:pStyle w:val="Prrafodelista"/>
        <w:numPr>
          <w:ilvl w:val="0"/>
          <w:numId w:val="2"/>
        </w:num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t>Para Santiago Castaño Blandón y Sebastián Castaño Gómez en sus calidades de nietos, la suma de $10.000.000 para cada uno.</w:t>
      </w:r>
    </w:p>
    <w:p w14:paraId="34C19425" w14:textId="77777777" w:rsidR="00CF4A82" w:rsidRPr="009B7552" w:rsidRDefault="00AD6227" w:rsidP="009B7552">
      <w:pPr>
        <w:pStyle w:val="Prrafodelista"/>
        <w:numPr>
          <w:ilvl w:val="0"/>
          <w:numId w:val="2"/>
        </w:numPr>
        <w:spacing w:after="0" w:line="360" w:lineRule="auto"/>
        <w:jc w:val="both"/>
        <w:textAlignment w:val="baseline"/>
        <w:rPr>
          <w:rFonts w:ascii="Arial" w:eastAsia="Times New Roman" w:hAnsi="Arial" w:cs="Arial"/>
          <w:spacing w:val="2"/>
          <w:kern w:val="0"/>
          <w:bdr w:val="none" w:sz="0" w:space="0" w:color="auto" w:frame="1"/>
          <w:shd w:val="clear" w:color="auto" w:fill="FFFFFF"/>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t>Para Carlos Alberto Muñoz, en su calidad de sobrino de la víctima, la suma de $5.000.000.</w:t>
      </w:r>
    </w:p>
    <w:p w14:paraId="19532721" w14:textId="3DDBCFD9" w:rsidR="00AD6227" w:rsidRPr="009B7552" w:rsidRDefault="00AD6227" w:rsidP="009B7552">
      <w:pPr>
        <w:pStyle w:val="Prrafodelista"/>
        <w:numPr>
          <w:ilvl w:val="0"/>
          <w:numId w:val="2"/>
        </w:numPr>
        <w:spacing w:after="0" w:line="360" w:lineRule="auto"/>
        <w:jc w:val="both"/>
        <w:textAlignment w:val="baseline"/>
        <w:rPr>
          <w:rFonts w:ascii="Arial" w:eastAsia="Times New Roman" w:hAnsi="Arial" w:cs="Arial"/>
          <w:kern w:val="0"/>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t>No se estima reconocimiento en favor de Guido Castaño Mejía en su calidad de yerno de la víctima. </w:t>
      </w:r>
    </w:p>
    <w:p w14:paraId="7141F28F" w14:textId="65C8F818" w:rsidR="00AD6227" w:rsidRPr="009B7552" w:rsidRDefault="00AD6227" w:rsidP="009B7552">
      <w:pPr>
        <w:spacing w:after="0" w:line="360" w:lineRule="auto"/>
        <w:jc w:val="both"/>
        <w:textAlignment w:val="baseline"/>
        <w:rPr>
          <w:rFonts w:ascii="Arial" w:eastAsia="Times New Roman" w:hAnsi="Arial" w:cs="Arial"/>
          <w:kern w:val="0"/>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br/>
        <w:t>Se desconoce el pedimento formulado bajo el concepto de </w:t>
      </w:r>
      <w:r w:rsidRPr="009B7552">
        <w:rPr>
          <w:rFonts w:ascii="Arial" w:eastAsia="Times New Roman" w:hAnsi="Arial" w:cs="Arial"/>
          <w:b/>
          <w:bCs/>
          <w:spacing w:val="2"/>
          <w:kern w:val="0"/>
          <w:bdr w:val="none" w:sz="0" w:space="0" w:color="auto" w:frame="1"/>
          <w:shd w:val="clear" w:color="auto" w:fill="FFFFFF"/>
          <w:lang w:eastAsia="es-CO"/>
          <w14:ligatures w14:val="none"/>
        </w:rPr>
        <w:t>“Daños a bienes o derechos constitucionalmente amparados”</w:t>
      </w:r>
      <w:r w:rsidRPr="009B7552">
        <w:rPr>
          <w:rFonts w:ascii="Arial" w:eastAsia="Times New Roman" w:hAnsi="Arial" w:cs="Arial"/>
          <w:spacing w:val="2"/>
          <w:kern w:val="0"/>
          <w:bdr w:val="none" w:sz="0" w:space="0" w:color="auto" w:frame="1"/>
          <w:shd w:val="clear" w:color="auto" w:fill="FFFFFF"/>
          <w:lang w:eastAsia="es-CO"/>
          <w14:ligatures w14:val="none"/>
        </w:rPr>
        <w:t>, dado que no concurren los presupuestos necesarios para acceder al perjuicio, y en todo caso, a partir del fundamento aducido por el demandante para el reconocimiento del mismo, se tiene que la presunta afectación es susceptible de ser reconocida a través del perjuicio moral y el daño a la vida de relación.</w:t>
      </w:r>
      <w:r w:rsidR="00CF4A82" w:rsidRPr="009B7552">
        <w:rPr>
          <w:rFonts w:ascii="Arial" w:eastAsia="Times New Roman" w:hAnsi="Arial" w:cs="Arial"/>
          <w:spacing w:val="2"/>
          <w:kern w:val="0"/>
          <w:bdr w:val="none" w:sz="0" w:space="0" w:color="auto" w:frame="1"/>
          <w:shd w:val="clear" w:color="auto" w:fill="FFFFFF"/>
          <w:lang w:eastAsia="es-CO"/>
          <w14:ligatures w14:val="none"/>
        </w:rPr>
        <w:t xml:space="preserve"> </w:t>
      </w:r>
      <w:r w:rsidRPr="009B7552">
        <w:rPr>
          <w:rFonts w:ascii="Arial" w:eastAsia="Times New Roman" w:hAnsi="Arial" w:cs="Arial"/>
          <w:spacing w:val="2"/>
          <w:kern w:val="0"/>
          <w:bdr w:val="none" w:sz="0" w:space="0" w:color="auto" w:frame="1"/>
          <w:shd w:val="clear" w:color="auto" w:fill="FFFFFF"/>
          <w:lang w:eastAsia="es-CO"/>
          <w14:ligatures w14:val="none"/>
        </w:rPr>
        <w:t>Igualmente, se desconoce lo pretendido por “pérdida de oportunidad” por no acreditarse los presupuestos para que opere el reconocimiento del amparo, y por ser excluyente respecto del daño de muerte alegado.</w:t>
      </w:r>
    </w:p>
    <w:p w14:paraId="3C374F0D" w14:textId="69E29DAA" w:rsidR="00AD6227" w:rsidRPr="009B7552" w:rsidRDefault="00AD6227" w:rsidP="009B7552">
      <w:pPr>
        <w:spacing w:after="0" w:line="360" w:lineRule="auto"/>
        <w:jc w:val="both"/>
        <w:textAlignment w:val="baseline"/>
        <w:rPr>
          <w:rFonts w:ascii="Arial" w:eastAsia="Times New Roman" w:hAnsi="Arial" w:cs="Arial"/>
          <w:kern w:val="0"/>
          <w:lang w:eastAsia="es-CO"/>
          <w14:ligatures w14:val="none"/>
        </w:rPr>
      </w:pPr>
      <w:r w:rsidRPr="009B7552">
        <w:rPr>
          <w:rFonts w:ascii="Arial" w:eastAsia="Times New Roman" w:hAnsi="Arial" w:cs="Arial"/>
          <w:spacing w:val="2"/>
          <w:kern w:val="0"/>
          <w:bdr w:val="none" w:sz="0" w:space="0" w:color="auto" w:frame="1"/>
          <w:shd w:val="clear" w:color="auto" w:fill="FFFFFF"/>
          <w:lang w:eastAsia="es-CO"/>
          <w14:ligatures w14:val="none"/>
        </w:rPr>
        <w:br/>
        <w:t xml:space="preserve">A la suma total de </w:t>
      </w:r>
      <w:r w:rsidRPr="009B7552">
        <w:rPr>
          <w:rFonts w:ascii="Arial" w:eastAsia="Times New Roman" w:hAnsi="Arial" w:cs="Arial"/>
          <w:b/>
          <w:spacing w:val="2"/>
          <w:kern w:val="0"/>
          <w:u w:val="single"/>
          <w:bdr w:val="none" w:sz="0" w:space="0" w:color="auto" w:frame="1"/>
          <w:shd w:val="clear" w:color="auto" w:fill="FFFFFF"/>
          <w:lang w:eastAsia="es-CO"/>
          <w14:ligatures w14:val="none"/>
        </w:rPr>
        <w:t>$415.</w:t>
      </w:r>
      <w:r w:rsidR="00E75D50" w:rsidRPr="009B7552">
        <w:rPr>
          <w:rFonts w:ascii="Arial" w:eastAsia="Times New Roman" w:hAnsi="Arial" w:cs="Arial"/>
          <w:b/>
          <w:spacing w:val="2"/>
          <w:kern w:val="0"/>
          <w:u w:val="single"/>
          <w:bdr w:val="none" w:sz="0" w:space="0" w:color="auto" w:frame="1"/>
          <w:shd w:val="clear" w:color="auto" w:fill="FFFFFF"/>
          <w:lang w:eastAsia="es-CO"/>
          <w14:ligatures w14:val="none"/>
        </w:rPr>
        <w:t>613</w:t>
      </w:r>
      <w:r w:rsidRPr="009B7552">
        <w:rPr>
          <w:rFonts w:ascii="Arial" w:eastAsia="Times New Roman" w:hAnsi="Arial" w:cs="Arial"/>
          <w:b/>
          <w:spacing w:val="2"/>
          <w:kern w:val="0"/>
          <w:u w:val="single"/>
          <w:bdr w:val="none" w:sz="0" w:space="0" w:color="auto" w:frame="1"/>
          <w:shd w:val="clear" w:color="auto" w:fill="FFFFFF"/>
          <w:lang w:eastAsia="es-CO"/>
          <w14:ligatures w14:val="none"/>
        </w:rPr>
        <w:t>.</w:t>
      </w:r>
      <w:r w:rsidR="00E75D50" w:rsidRPr="009B7552">
        <w:rPr>
          <w:rFonts w:ascii="Arial" w:eastAsia="Times New Roman" w:hAnsi="Arial" w:cs="Arial"/>
          <w:b/>
          <w:spacing w:val="2"/>
          <w:kern w:val="0"/>
          <w:u w:val="single"/>
          <w:bdr w:val="none" w:sz="0" w:space="0" w:color="auto" w:frame="1"/>
          <w:shd w:val="clear" w:color="auto" w:fill="FFFFFF"/>
          <w:lang w:eastAsia="es-CO"/>
          <w14:ligatures w14:val="none"/>
        </w:rPr>
        <w:t>80</w:t>
      </w:r>
      <w:r w:rsidRPr="009B7552">
        <w:rPr>
          <w:rFonts w:ascii="Arial" w:eastAsia="Times New Roman" w:hAnsi="Arial" w:cs="Arial"/>
          <w:b/>
          <w:spacing w:val="2"/>
          <w:kern w:val="0"/>
          <w:u w:val="single"/>
          <w:bdr w:val="none" w:sz="0" w:space="0" w:color="auto" w:frame="1"/>
          <w:shd w:val="clear" w:color="auto" w:fill="FFFFFF"/>
          <w:lang w:eastAsia="es-CO"/>
          <w14:ligatures w14:val="none"/>
        </w:rPr>
        <w:t>0,</w:t>
      </w:r>
      <w:r w:rsidRPr="009B7552">
        <w:rPr>
          <w:rFonts w:ascii="Arial" w:eastAsia="Times New Roman" w:hAnsi="Arial" w:cs="Arial"/>
          <w:spacing w:val="2"/>
          <w:kern w:val="0"/>
          <w:bdr w:val="none" w:sz="0" w:space="0" w:color="auto" w:frame="1"/>
          <w:shd w:val="clear" w:color="auto" w:fill="FFFFFF"/>
          <w:lang w:eastAsia="es-CO"/>
          <w14:ligatures w14:val="none"/>
        </w:rPr>
        <w:t xml:space="preserve"> correspondiente a la liquidación objetiva, se aplica el deducible pactado (10% del valor de la pérdida), por lo que la exposición de la compañía asciende a la suma de </w:t>
      </w:r>
      <w:r w:rsidRPr="009B7552">
        <w:rPr>
          <w:rFonts w:ascii="Arial" w:eastAsia="Times New Roman" w:hAnsi="Arial" w:cs="Arial"/>
          <w:b/>
          <w:spacing w:val="2"/>
          <w:kern w:val="0"/>
          <w:u w:val="single"/>
          <w:bdr w:val="none" w:sz="0" w:space="0" w:color="auto" w:frame="1"/>
          <w:shd w:val="clear" w:color="auto" w:fill="FFFFFF"/>
          <w:lang w:eastAsia="es-CO"/>
          <w14:ligatures w14:val="none"/>
        </w:rPr>
        <w:t>$37</w:t>
      </w:r>
      <w:r w:rsidR="00E75D50" w:rsidRPr="009B7552">
        <w:rPr>
          <w:rFonts w:ascii="Arial" w:eastAsia="Times New Roman" w:hAnsi="Arial" w:cs="Arial"/>
          <w:b/>
          <w:spacing w:val="2"/>
          <w:kern w:val="0"/>
          <w:u w:val="single"/>
          <w:bdr w:val="none" w:sz="0" w:space="0" w:color="auto" w:frame="1"/>
          <w:shd w:val="clear" w:color="auto" w:fill="FFFFFF"/>
          <w:lang w:eastAsia="es-CO"/>
          <w14:ligatures w14:val="none"/>
        </w:rPr>
        <w:t>4</w:t>
      </w:r>
      <w:r w:rsidRPr="009B7552">
        <w:rPr>
          <w:rFonts w:ascii="Arial" w:eastAsia="Times New Roman" w:hAnsi="Arial" w:cs="Arial"/>
          <w:b/>
          <w:spacing w:val="2"/>
          <w:kern w:val="0"/>
          <w:u w:val="single"/>
          <w:bdr w:val="none" w:sz="0" w:space="0" w:color="auto" w:frame="1"/>
          <w:shd w:val="clear" w:color="auto" w:fill="FFFFFF"/>
          <w:lang w:eastAsia="es-CO"/>
          <w14:ligatures w14:val="none"/>
        </w:rPr>
        <w:t>.</w:t>
      </w:r>
      <w:r w:rsidR="00E75D50" w:rsidRPr="009B7552">
        <w:rPr>
          <w:rFonts w:ascii="Arial" w:eastAsia="Times New Roman" w:hAnsi="Arial" w:cs="Arial"/>
          <w:b/>
          <w:spacing w:val="2"/>
          <w:kern w:val="0"/>
          <w:u w:val="single"/>
          <w:bdr w:val="none" w:sz="0" w:space="0" w:color="auto" w:frame="1"/>
          <w:shd w:val="clear" w:color="auto" w:fill="FFFFFF"/>
          <w:lang w:eastAsia="es-CO"/>
          <w14:ligatures w14:val="none"/>
        </w:rPr>
        <w:t>052</w:t>
      </w:r>
      <w:r w:rsidRPr="009B7552">
        <w:rPr>
          <w:rFonts w:ascii="Arial" w:eastAsia="Times New Roman" w:hAnsi="Arial" w:cs="Arial"/>
          <w:b/>
          <w:spacing w:val="2"/>
          <w:kern w:val="0"/>
          <w:u w:val="single"/>
          <w:bdr w:val="none" w:sz="0" w:space="0" w:color="auto" w:frame="1"/>
          <w:shd w:val="clear" w:color="auto" w:fill="FFFFFF"/>
          <w:lang w:eastAsia="es-CO"/>
          <w14:ligatures w14:val="none"/>
        </w:rPr>
        <w:t>.</w:t>
      </w:r>
      <w:r w:rsidR="00E75D50" w:rsidRPr="009B7552">
        <w:rPr>
          <w:rFonts w:ascii="Arial" w:eastAsia="Times New Roman" w:hAnsi="Arial" w:cs="Arial"/>
          <w:b/>
          <w:spacing w:val="2"/>
          <w:kern w:val="0"/>
          <w:u w:val="single"/>
          <w:bdr w:val="none" w:sz="0" w:space="0" w:color="auto" w:frame="1"/>
          <w:shd w:val="clear" w:color="auto" w:fill="FFFFFF"/>
          <w:lang w:eastAsia="es-CO"/>
          <w14:ligatures w14:val="none"/>
        </w:rPr>
        <w:t>420</w:t>
      </w:r>
      <w:r w:rsidRPr="009B7552">
        <w:rPr>
          <w:rFonts w:ascii="Arial" w:eastAsia="Times New Roman" w:hAnsi="Arial" w:cs="Arial"/>
          <w:b/>
          <w:spacing w:val="2"/>
          <w:kern w:val="0"/>
          <w:u w:val="single"/>
          <w:bdr w:val="none" w:sz="0" w:space="0" w:color="auto" w:frame="1"/>
          <w:shd w:val="clear" w:color="auto" w:fill="FFFFFF"/>
          <w:lang w:eastAsia="es-CO"/>
          <w14:ligatures w14:val="none"/>
        </w:rPr>
        <w:t>.</w:t>
      </w:r>
      <w:r w:rsidR="00E75D50" w:rsidRPr="009B7552">
        <w:rPr>
          <w:rFonts w:ascii="Arial" w:eastAsia="Times New Roman" w:hAnsi="Arial" w:cs="Arial"/>
          <w:b/>
          <w:spacing w:val="2"/>
          <w:kern w:val="0"/>
          <w:u w:val="single"/>
          <w:bdr w:val="none" w:sz="0" w:space="0" w:color="auto" w:frame="1"/>
          <w:shd w:val="clear" w:color="auto" w:fill="FFFFFF"/>
          <w:lang w:eastAsia="es-CO"/>
          <w14:ligatures w14:val="none"/>
        </w:rPr>
        <w:t xml:space="preserve"> </w:t>
      </w:r>
      <w:r w:rsidRPr="009B7552">
        <w:rPr>
          <w:rFonts w:ascii="Arial" w:eastAsia="Times New Roman" w:hAnsi="Arial" w:cs="Arial"/>
          <w:spacing w:val="2"/>
          <w:kern w:val="0"/>
          <w:bdr w:val="none" w:sz="0" w:space="0" w:color="auto" w:frame="1"/>
          <w:shd w:val="clear" w:color="auto" w:fill="FFFFFF"/>
          <w:lang w:eastAsia="es-CO"/>
          <w14:ligatures w14:val="none"/>
        </w:rPr>
        <w:t>No se tiene en cuenta el sublímite pactado respecto a perjuicios morales, comoquiera que la liquidación objetiva es inferior al porcentaje concertado (sublímite del 50% del valor asegurado $2.000.000.000).</w:t>
      </w:r>
    </w:p>
    <w:p w14:paraId="1CB07FBF" w14:textId="77777777" w:rsidR="006A37B1" w:rsidRPr="009B7552" w:rsidRDefault="006A37B1" w:rsidP="009B7552">
      <w:pPr>
        <w:spacing w:after="0" w:line="360" w:lineRule="auto"/>
        <w:jc w:val="both"/>
        <w:rPr>
          <w:rFonts w:ascii="Arial" w:hAnsi="Arial" w:cs="Arial"/>
        </w:rPr>
      </w:pPr>
    </w:p>
    <w:sectPr w:rsidR="006A37B1" w:rsidRPr="009B75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51B61"/>
    <w:multiLevelType w:val="hybridMultilevel"/>
    <w:tmpl w:val="FCA844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15D79BF"/>
    <w:multiLevelType w:val="hybridMultilevel"/>
    <w:tmpl w:val="EFFC1D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01663277">
    <w:abstractNumId w:val="0"/>
  </w:num>
  <w:num w:numId="2" w16cid:durableId="1390958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27"/>
    <w:rsid w:val="00162AFD"/>
    <w:rsid w:val="001F29AE"/>
    <w:rsid w:val="003103BA"/>
    <w:rsid w:val="00312645"/>
    <w:rsid w:val="006A37B1"/>
    <w:rsid w:val="00757355"/>
    <w:rsid w:val="00794BB2"/>
    <w:rsid w:val="009B7552"/>
    <w:rsid w:val="00AB2AD8"/>
    <w:rsid w:val="00AD6227"/>
    <w:rsid w:val="00C511FD"/>
    <w:rsid w:val="00CF4A82"/>
    <w:rsid w:val="00CF5D0B"/>
    <w:rsid w:val="00D8326D"/>
    <w:rsid w:val="00E52213"/>
    <w:rsid w:val="00E75D50"/>
    <w:rsid w:val="00EF1A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98D5"/>
  <w15:chartTrackingRefBased/>
  <w15:docId w15:val="{C2811D09-09EC-474B-AC87-547359F6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D6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D6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D62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D62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D62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D62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D62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D62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D622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622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D622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D622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D622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D622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D622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D622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D622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D6227"/>
    <w:rPr>
      <w:rFonts w:eastAsiaTheme="majorEastAsia" w:cstheme="majorBidi"/>
      <w:color w:val="272727" w:themeColor="text1" w:themeTint="D8"/>
    </w:rPr>
  </w:style>
  <w:style w:type="paragraph" w:styleId="Ttulo">
    <w:name w:val="Title"/>
    <w:basedOn w:val="Normal"/>
    <w:next w:val="Normal"/>
    <w:link w:val="TtuloCar"/>
    <w:uiPriority w:val="10"/>
    <w:qFormat/>
    <w:rsid w:val="00AD6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D62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D622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D622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D6227"/>
    <w:pPr>
      <w:spacing w:before="160"/>
      <w:jc w:val="center"/>
    </w:pPr>
    <w:rPr>
      <w:i/>
      <w:iCs/>
      <w:color w:val="404040" w:themeColor="text1" w:themeTint="BF"/>
    </w:rPr>
  </w:style>
  <w:style w:type="character" w:customStyle="1" w:styleId="CitaCar">
    <w:name w:val="Cita Car"/>
    <w:basedOn w:val="Fuentedeprrafopredeter"/>
    <w:link w:val="Cita"/>
    <w:uiPriority w:val="29"/>
    <w:rsid w:val="00AD6227"/>
    <w:rPr>
      <w:i/>
      <w:iCs/>
      <w:color w:val="404040" w:themeColor="text1" w:themeTint="BF"/>
    </w:rPr>
  </w:style>
  <w:style w:type="paragraph" w:styleId="Prrafodelista">
    <w:name w:val="List Paragraph"/>
    <w:basedOn w:val="Normal"/>
    <w:uiPriority w:val="34"/>
    <w:qFormat/>
    <w:rsid w:val="00AD6227"/>
    <w:pPr>
      <w:ind w:left="720"/>
      <w:contextualSpacing/>
    </w:pPr>
  </w:style>
  <w:style w:type="character" w:styleId="nfasisintenso">
    <w:name w:val="Intense Emphasis"/>
    <w:basedOn w:val="Fuentedeprrafopredeter"/>
    <w:uiPriority w:val="21"/>
    <w:qFormat/>
    <w:rsid w:val="00AD6227"/>
    <w:rPr>
      <w:i/>
      <w:iCs/>
      <w:color w:val="0F4761" w:themeColor="accent1" w:themeShade="BF"/>
    </w:rPr>
  </w:style>
  <w:style w:type="paragraph" w:styleId="Citadestacada">
    <w:name w:val="Intense Quote"/>
    <w:basedOn w:val="Normal"/>
    <w:next w:val="Normal"/>
    <w:link w:val="CitadestacadaCar"/>
    <w:uiPriority w:val="30"/>
    <w:qFormat/>
    <w:rsid w:val="00AD6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D6227"/>
    <w:rPr>
      <w:i/>
      <w:iCs/>
      <w:color w:val="0F4761" w:themeColor="accent1" w:themeShade="BF"/>
    </w:rPr>
  </w:style>
  <w:style w:type="character" w:styleId="Referenciaintensa">
    <w:name w:val="Intense Reference"/>
    <w:basedOn w:val="Fuentedeprrafopredeter"/>
    <w:uiPriority w:val="32"/>
    <w:qFormat/>
    <w:rsid w:val="00AD6227"/>
    <w:rPr>
      <w:b/>
      <w:bCs/>
      <w:smallCaps/>
      <w:color w:val="0F4761" w:themeColor="accent1" w:themeShade="BF"/>
      <w:spacing w:val="5"/>
    </w:rPr>
  </w:style>
  <w:style w:type="character" w:styleId="Refdecomentario">
    <w:name w:val="annotation reference"/>
    <w:basedOn w:val="Fuentedeprrafopredeter"/>
    <w:uiPriority w:val="99"/>
    <w:semiHidden/>
    <w:unhideWhenUsed/>
    <w:rsid w:val="00D8326D"/>
    <w:rPr>
      <w:sz w:val="16"/>
      <w:szCs w:val="16"/>
    </w:rPr>
  </w:style>
  <w:style w:type="paragraph" w:styleId="Textocomentario">
    <w:name w:val="annotation text"/>
    <w:basedOn w:val="Normal"/>
    <w:link w:val="TextocomentarioCar"/>
    <w:uiPriority w:val="99"/>
    <w:semiHidden/>
    <w:unhideWhenUsed/>
    <w:rsid w:val="00D832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326D"/>
    <w:rPr>
      <w:sz w:val="20"/>
      <w:szCs w:val="20"/>
    </w:rPr>
  </w:style>
  <w:style w:type="paragraph" w:styleId="Asuntodelcomentario">
    <w:name w:val="annotation subject"/>
    <w:basedOn w:val="Textocomentario"/>
    <w:next w:val="Textocomentario"/>
    <w:link w:val="AsuntodelcomentarioCar"/>
    <w:uiPriority w:val="99"/>
    <w:semiHidden/>
    <w:unhideWhenUsed/>
    <w:rsid w:val="00D8326D"/>
    <w:rPr>
      <w:b/>
      <w:bCs/>
    </w:rPr>
  </w:style>
  <w:style w:type="character" w:customStyle="1" w:styleId="AsuntodelcomentarioCar">
    <w:name w:val="Asunto del comentario Car"/>
    <w:basedOn w:val="TextocomentarioCar"/>
    <w:link w:val="Asuntodelcomentario"/>
    <w:uiPriority w:val="99"/>
    <w:semiHidden/>
    <w:rsid w:val="00D8326D"/>
    <w:rPr>
      <w:b/>
      <w:bCs/>
      <w:sz w:val="20"/>
      <w:szCs w:val="20"/>
    </w:rPr>
  </w:style>
  <w:style w:type="paragraph" w:styleId="Textodeglobo">
    <w:name w:val="Balloon Text"/>
    <w:basedOn w:val="Normal"/>
    <w:link w:val="TextodegloboCar"/>
    <w:uiPriority w:val="99"/>
    <w:semiHidden/>
    <w:unhideWhenUsed/>
    <w:rsid w:val="00D832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26D"/>
    <w:rPr>
      <w:rFonts w:ascii="Segoe UI" w:hAnsi="Segoe UI" w:cs="Segoe UI"/>
      <w:sz w:val="18"/>
      <w:szCs w:val="18"/>
    </w:rPr>
  </w:style>
  <w:style w:type="paragraph" w:styleId="Revisin">
    <w:name w:val="Revision"/>
    <w:hidden/>
    <w:uiPriority w:val="99"/>
    <w:semiHidden/>
    <w:rsid w:val="009B75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937284">
      <w:bodyDiv w:val="1"/>
      <w:marLeft w:val="0"/>
      <w:marRight w:val="0"/>
      <w:marTop w:val="0"/>
      <w:marBottom w:val="0"/>
      <w:divBdr>
        <w:top w:val="none" w:sz="0" w:space="0" w:color="auto"/>
        <w:left w:val="none" w:sz="0" w:space="0" w:color="auto"/>
        <w:bottom w:val="none" w:sz="0" w:space="0" w:color="auto"/>
        <w:right w:val="none" w:sz="0" w:space="0" w:color="auto"/>
      </w:divBdr>
      <w:divsChild>
        <w:div w:id="1484813401">
          <w:marLeft w:val="0"/>
          <w:marRight w:val="0"/>
          <w:marTop w:val="0"/>
          <w:marBottom w:val="0"/>
          <w:divBdr>
            <w:top w:val="none" w:sz="0" w:space="0" w:color="auto"/>
            <w:left w:val="none" w:sz="0" w:space="0" w:color="auto"/>
            <w:bottom w:val="none" w:sz="0" w:space="0" w:color="auto"/>
            <w:right w:val="none" w:sz="0" w:space="0" w:color="auto"/>
          </w:divBdr>
        </w:div>
        <w:div w:id="424612842">
          <w:marLeft w:val="0"/>
          <w:marRight w:val="0"/>
          <w:marTop w:val="0"/>
          <w:marBottom w:val="0"/>
          <w:divBdr>
            <w:top w:val="none" w:sz="0" w:space="0" w:color="auto"/>
            <w:left w:val="none" w:sz="0" w:space="0" w:color="auto"/>
            <w:bottom w:val="none" w:sz="0" w:space="0" w:color="auto"/>
            <w:right w:val="none" w:sz="0" w:space="0" w:color="auto"/>
          </w:divBdr>
        </w:div>
        <w:div w:id="171921576">
          <w:marLeft w:val="0"/>
          <w:marRight w:val="0"/>
          <w:marTop w:val="0"/>
          <w:marBottom w:val="0"/>
          <w:divBdr>
            <w:top w:val="none" w:sz="0" w:space="0" w:color="auto"/>
            <w:left w:val="none" w:sz="0" w:space="0" w:color="auto"/>
            <w:bottom w:val="none" w:sz="0" w:space="0" w:color="auto"/>
            <w:right w:val="none" w:sz="0" w:space="0" w:color="auto"/>
          </w:divBdr>
        </w:div>
        <w:div w:id="1491407233">
          <w:marLeft w:val="0"/>
          <w:marRight w:val="0"/>
          <w:marTop w:val="0"/>
          <w:marBottom w:val="0"/>
          <w:divBdr>
            <w:top w:val="none" w:sz="0" w:space="0" w:color="auto"/>
            <w:left w:val="none" w:sz="0" w:space="0" w:color="auto"/>
            <w:bottom w:val="none" w:sz="0" w:space="0" w:color="auto"/>
            <w:right w:val="none" w:sz="0" w:space="0" w:color="auto"/>
          </w:divBdr>
        </w:div>
        <w:div w:id="127627814">
          <w:marLeft w:val="0"/>
          <w:marRight w:val="0"/>
          <w:marTop w:val="0"/>
          <w:marBottom w:val="0"/>
          <w:divBdr>
            <w:top w:val="none" w:sz="0" w:space="0" w:color="auto"/>
            <w:left w:val="none" w:sz="0" w:space="0" w:color="auto"/>
            <w:bottom w:val="none" w:sz="0" w:space="0" w:color="auto"/>
            <w:right w:val="none" w:sz="0" w:space="0" w:color="auto"/>
          </w:divBdr>
        </w:div>
        <w:div w:id="1397776801">
          <w:marLeft w:val="0"/>
          <w:marRight w:val="0"/>
          <w:marTop w:val="0"/>
          <w:marBottom w:val="0"/>
          <w:divBdr>
            <w:top w:val="none" w:sz="0" w:space="0" w:color="auto"/>
            <w:left w:val="none" w:sz="0" w:space="0" w:color="auto"/>
            <w:bottom w:val="none" w:sz="0" w:space="0" w:color="auto"/>
            <w:right w:val="none" w:sz="0" w:space="0" w:color="auto"/>
          </w:divBdr>
        </w:div>
        <w:div w:id="234627410">
          <w:marLeft w:val="0"/>
          <w:marRight w:val="0"/>
          <w:marTop w:val="0"/>
          <w:marBottom w:val="0"/>
          <w:divBdr>
            <w:top w:val="none" w:sz="0" w:space="0" w:color="auto"/>
            <w:left w:val="none" w:sz="0" w:space="0" w:color="auto"/>
            <w:bottom w:val="none" w:sz="0" w:space="0" w:color="auto"/>
            <w:right w:val="none" w:sz="0" w:space="0" w:color="auto"/>
          </w:divBdr>
        </w:div>
        <w:div w:id="1375085012">
          <w:marLeft w:val="0"/>
          <w:marRight w:val="0"/>
          <w:marTop w:val="0"/>
          <w:marBottom w:val="0"/>
          <w:divBdr>
            <w:top w:val="none" w:sz="0" w:space="0" w:color="auto"/>
            <w:left w:val="none" w:sz="0" w:space="0" w:color="auto"/>
            <w:bottom w:val="none" w:sz="0" w:space="0" w:color="auto"/>
            <w:right w:val="none" w:sz="0" w:space="0" w:color="auto"/>
          </w:divBdr>
        </w:div>
        <w:div w:id="1523322135">
          <w:marLeft w:val="0"/>
          <w:marRight w:val="0"/>
          <w:marTop w:val="0"/>
          <w:marBottom w:val="0"/>
          <w:divBdr>
            <w:top w:val="none" w:sz="0" w:space="0" w:color="auto"/>
            <w:left w:val="none" w:sz="0" w:space="0" w:color="auto"/>
            <w:bottom w:val="none" w:sz="0" w:space="0" w:color="auto"/>
            <w:right w:val="none" w:sz="0" w:space="0" w:color="auto"/>
          </w:divBdr>
        </w:div>
        <w:div w:id="1164933792">
          <w:marLeft w:val="0"/>
          <w:marRight w:val="0"/>
          <w:marTop w:val="0"/>
          <w:marBottom w:val="0"/>
          <w:divBdr>
            <w:top w:val="none" w:sz="0" w:space="0" w:color="auto"/>
            <w:left w:val="none" w:sz="0" w:space="0" w:color="auto"/>
            <w:bottom w:val="none" w:sz="0" w:space="0" w:color="auto"/>
            <w:right w:val="none" w:sz="0" w:space="0" w:color="auto"/>
          </w:divBdr>
        </w:div>
        <w:div w:id="78914472">
          <w:marLeft w:val="0"/>
          <w:marRight w:val="0"/>
          <w:marTop w:val="0"/>
          <w:marBottom w:val="0"/>
          <w:divBdr>
            <w:top w:val="none" w:sz="0" w:space="0" w:color="auto"/>
            <w:left w:val="none" w:sz="0" w:space="0" w:color="auto"/>
            <w:bottom w:val="none" w:sz="0" w:space="0" w:color="auto"/>
            <w:right w:val="none" w:sz="0" w:space="0" w:color="auto"/>
          </w:divBdr>
        </w:div>
        <w:div w:id="1948922957">
          <w:marLeft w:val="0"/>
          <w:marRight w:val="0"/>
          <w:marTop w:val="0"/>
          <w:marBottom w:val="0"/>
          <w:divBdr>
            <w:top w:val="none" w:sz="0" w:space="0" w:color="auto"/>
            <w:left w:val="none" w:sz="0" w:space="0" w:color="auto"/>
            <w:bottom w:val="none" w:sz="0" w:space="0" w:color="auto"/>
            <w:right w:val="none" w:sz="0" w:space="0" w:color="auto"/>
          </w:divBdr>
        </w:div>
        <w:div w:id="1980575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1272</Words>
  <Characters>7002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VERGARA MELO</dc:creator>
  <cp:keywords/>
  <dc:description/>
  <cp:lastModifiedBy>JUAN DAVID VERGARA MELO</cp:lastModifiedBy>
  <cp:revision>4</cp:revision>
  <dcterms:created xsi:type="dcterms:W3CDTF">2024-03-05T16:51:00Z</dcterms:created>
  <dcterms:modified xsi:type="dcterms:W3CDTF">2024-03-05T16:54:00Z</dcterms:modified>
</cp:coreProperties>
</file>