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0322BB" w14:textId="77777777" w:rsidR="0057097F" w:rsidRDefault="000B7A27">
      <w:pPr>
        <w:jc w:val="center"/>
        <w:rPr>
          <w:b/>
        </w:rPr>
      </w:pPr>
      <w:r>
        <w:rPr>
          <w:b/>
        </w:rPr>
        <w:t>INFORME INICIAL DEL PROCESO</w:t>
      </w:r>
    </w:p>
    <w:tbl>
      <w:tblPr>
        <w:tblStyle w:val="a"/>
        <w:tblW w:w="9534"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11"/>
        <w:gridCol w:w="5423"/>
      </w:tblGrid>
      <w:tr w:rsidR="0057097F" w14:paraId="500322BE" w14:textId="77777777" w:rsidTr="00003428">
        <w:tc>
          <w:tcPr>
            <w:tcW w:w="4111" w:type="dxa"/>
            <w:shd w:val="clear" w:color="auto" w:fill="D9D9D9" w:themeFill="background1" w:themeFillShade="D9"/>
          </w:tcPr>
          <w:p w14:paraId="500322BC" w14:textId="77777777" w:rsidR="0057097F" w:rsidRDefault="000B7A27">
            <w:pPr>
              <w:rPr>
                <w:b/>
                <w:sz w:val="20"/>
                <w:szCs w:val="20"/>
              </w:rPr>
            </w:pPr>
            <w:r>
              <w:rPr>
                <w:b/>
                <w:sz w:val="20"/>
                <w:szCs w:val="20"/>
              </w:rPr>
              <w:t>Apoderado:</w:t>
            </w:r>
          </w:p>
        </w:tc>
        <w:tc>
          <w:tcPr>
            <w:tcW w:w="5423" w:type="dxa"/>
          </w:tcPr>
          <w:p w14:paraId="500322BD" w14:textId="77777777" w:rsidR="0057097F" w:rsidRDefault="000B7A27">
            <w:pPr>
              <w:jc w:val="both"/>
            </w:pPr>
            <w:r>
              <w:t>GUSTAVO ALBERTO HERRERA ÁVILA</w:t>
            </w:r>
          </w:p>
        </w:tc>
      </w:tr>
      <w:tr w:rsidR="0057097F" w14:paraId="500322C1" w14:textId="77777777" w:rsidTr="00003428">
        <w:tc>
          <w:tcPr>
            <w:tcW w:w="4111" w:type="dxa"/>
            <w:shd w:val="clear" w:color="auto" w:fill="D9D9D9" w:themeFill="background1" w:themeFillShade="D9"/>
          </w:tcPr>
          <w:p w14:paraId="500322BF" w14:textId="77777777" w:rsidR="0057097F" w:rsidRDefault="000B7A27">
            <w:pPr>
              <w:rPr>
                <w:b/>
                <w:sz w:val="20"/>
                <w:szCs w:val="20"/>
              </w:rPr>
            </w:pPr>
            <w:r>
              <w:rPr>
                <w:b/>
                <w:sz w:val="20"/>
                <w:szCs w:val="20"/>
              </w:rPr>
              <w:t>Tipo y # de Póliza:</w:t>
            </w:r>
          </w:p>
        </w:tc>
        <w:tc>
          <w:tcPr>
            <w:tcW w:w="5423" w:type="dxa"/>
          </w:tcPr>
          <w:p w14:paraId="500322C0" w14:textId="0C9A4922" w:rsidR="0057097F" w:rsidRDefault="00575FF5">
            <w:pPr>
              <w:jc w:val="both"/>
            </w:pPr>
            <w:r>
              <w:rPr>
                <w:rFonts w:cstheme="minorHAnsi"/>
                <w:color w:val="000000"/>
                <w:shd w:val="clear" w:color="auto" w:fill="FFFFFF"/>
              </w:rPr>
              <w:t>7042191/104</w:t>
            </w:r>
          </w:p>
        </w:tc>
      </w:tr>
      <w:tr w:rsidR="0057097F" w14:paraId="500322C4" w14:textId="77777777" w:rsidTr="00003428">
        <w:tc>
          <w:tcPr>
            <w:tcW w:w="4111" w:type="dxa"/>
            <w:shd w:val="clear" w:color="auto" w:fill="D9D9D9" w:themeFill="background1" w:themeFillShade="D9"/>
          </w:tcPr>
          <w:p w14:paraId="500322C2" w14:textId="77777777" w:rsidR="0057097F" w:rsidRDefault="000B7A27">
            <w:pPr>
              <w:rPr>
                <w:b/>
                <w:sz w:val="20"/>
                <w:szCs w:val="20"/>
              </w:rPr>
            </w:pPr>
            <w:r>
              <w:rPr>
                <w:b/>
                <w:sz w:val="20"/>
                <w:szCs w:val="20"/>
              </w:rPr>
              <w:t>Amparos afectados:</w:t>
            </w:r>
          </w:p>
        </w:tc>
        <w:tc>
          <w:tcPr>
            <w:tcW w:w="5423" w:type="dxa"/>
          </w:tcPr>
          <w:p w14:paraId="500322C3" w14:textId="55C5D44A" w:rsidR="0057097F" w:rsidRDefault="00575FF5">
            <w:pPr>
              <w:jc w:val="both"/>
            </w:pPr>
            <w:r w:rsidRPr="00541A9F">
              <w:rPr>
                <w:rFonts w:eastAsia="Times New Roman" w:cstheme="minorHAnsi"/>
                <w:lang w:eastAsia="es-CO"/>
              </w:rPr>
              <w:t>Responsabilidad Civil Extracontractual</w:t>
            </w:r>
            <w:r w:rsidR="00003428">
              <w:rPr>
                <w:rFonts w:eastAsia="Times New Roman" w:cstheme="minorHAnsi"/>
                <w:lang w:eastAsia="es-CO"/>
              </w:rPr>
              <w:t xml:space="preserve"> - </w:t>
            </w:r>
            <w:r w:rsidR="00003428" w:rsidRPr="00FC7A4B">
              <w:rPr>
                <w:rFonts w:ascii="Arial" w:hAnsi="Arial" w:cs="Arial"/>
                <w:sz w:val="20"/>
                <w:szCs w:val="20"/>
              </w:rPr>
              <w:t>Muerte o Lesiones a Una Persona</w:t>
            </w:r>
          </w:p>
        </w:tc>
      </w:tr>
      <w:tr w:rsidR="0057097F" w14:paraId="500322C7" w14:textId="77777777" w:rsidTr="00003428">
        <w:tc>
          <w:tcPr>
            <w:tcW w:w="4111" w:type="dxa"/>
            <w:shd w:val="clear" w:color="auto" w:fill="D9D9D9" w:themeFill="background1" w:themeFillShade="D9"/>
          </w:tcPr>
          <w:p w14:paraId="500322C5" w14:textId="77777777" w:rsidR="0057097F" w:rsidRDefault="000B7A27">
            <w:pPr>
              <w:rPr>
                <w:b/>
                <w:sz w:val="20"/>
                <w:szCs w:val="20"/>
              </w:rPr>
            </w:pPr>
            <w:r>
              <w:rPr>
                <w:b/>
                <w:sz w:val="20"/>
                <w:szCs w:val="20"/>
              </w:rPr>
              <w:t>Tomador:</w:t>
            </w:r>
          </w:p>
        </w:tc>
        <w:tc>
          <w:tcPr>
            <w:tcW w:w="5423" w:type="dxa"/>
          </w:tcPr>
          <w:p w14:paraId="500322C6" w14:textId="09EA78B5" w:rsidR="0057097F" w:rsidRDefault="00575FF5">
            <w:pPr>
              <w:jc w:val="both"/>
            </w:pPr>
            <w:r>
              <w:t>MARÍA ORFA SALAZAR LOZANO</w:t>
            </w:r>
          </w:p>
        </w:tc>
      </w:tr>
      <w:tr w:rsidR="0057097F" w14:paraId="500322CA" w14:textId="77777777" w:rsidTr="00003428">
        <w:tc>
          <w:tcPr>
            <w:tcW w:w="4111" w:type="dxa"/>
            <w:shd w:val="clear" w:color="auto" w:fill="D9D9D9" w:themeFill="background1" w:themeFillShade="D9"/>
          </w:tcPr>
          <w:p w14:paraId="500322C8" w14:textId="77777777" w:rsidR="0057097F" w:rsidRDefault="000B7A27">
            <w:pPr>
              <w:rPr>
                <w:b/>
                <w:sz w:val="20"/>
                <w:szCs w:val="20"/>
              </w:rPr>
            </w:pPr>
            <w:r>
              <w:rPr>
                <w:b/>
                <w:sz w:val="20"/>
                <w:szCs w:val="20"/>
              </w:rPr>
              <w:t>Asegurado:</w:t>
            </w:r>
          </w:p>
        </w:tc>
        <w:tc>
          <w:tcPr>
            <w:tcW w:w="5423" w:type="dxa"/>
          </w:tcPr>
          <w:p w14:paraId="500322C9" w14:textId="4E52FF50" w:rsidR="0057097F" w:rsidRDefault="00575FF5">
            <w:pPr>
              <w:jc w:val="both"/>
            </w:pPr>
            <w:r>
              <w:t>MARÍA ORFA SALAZAR LOZANO</w:t>
            </w:r>
          </w:p>
        </w:tc>
      </w:tr>
      <w:tr w:rsidR="0057097F" w14:paraId="500322CD" w14:textId="77777777" w:rsidTr="00003428">
        <w:tc>
          <w:tcPr>
            <w:tcW w:w="4111" w:type="dxa"/>
            <w:shd w:val="clear" w:color="auto" w:fill="D9D9D9" w:themeFill="background1" w:themeFillShade="D9"/>
          </w:tcPr>
          <w:p w14:paraId="500322CB" w14:textId="77777777" w:rsidR="0057097F" w:rsidRDefault="000B7A27">
            <w:pPr>
              <w:rPr>
                <w:b/>
                <w:sz w:val="20"/>
                <w:szCs w:val="20"/>
              </w:rPr>
            </w:pPr>
            <w:r>
              <w:rPr>
                <w:b/>
                <w:sz w:val="20"/>
                <w:szCs w:val="20"/>
              </w:rPr>
              <w:t>Tipo de Proceso:</w:t>
            </w:r>
          </w:p>
        </w:tc>
        <w:tc>
          <w:tcPr>
            <w:tcW w:w="5423" w:type="dxa"/>
          </w:tcPr>
          <w:p w14:paraId="500322CC" w14:textId="61196DC4" w:rsidR="0057097F" w:rsidRDefault="00575FF5">
            <w:pPr>
              <w:jc w:val="both"/>
            </w:pPr>
            <w:r>
              <w:t>VERBAL</w:t>
            </w:r>
          </w:p>
        </w:tc>
      </w:tr>
      <w:tr w:rsidR="0057097F" w14:paraId="500322D0" w14:textId="77777777" w:rsidTr="00003428">
        <w:tc>
          <w:tcPr>
            <w:tcW w:w="4111" w:type="dxa"/>
            <w:shd w:val="clear" w:color="auto" w:fill="D9D9D9" w:themeFill="background1" w:themeFillShade="D9"/>
          </w:tcPr>
          <w:p w14:paraId="500322CE" w14:textId="77777777" w:rsidR="0057097F" w:rsidRDefault="000B7A27">
            <w:pPr>
              <w:rPr>
                <w:b/>
                <w:sz w:val="20"/>
                <w:szCs w:val="20"/>
              </w:rPr>
            </w:pPr>
            <w:r>
              <w:rPr>
                <w:b/>
                <w:sz w:val="20"/>
                <w:szCs w:val="20"/>
              </w:rPr>
              <w:t>Jurisdicción:</w:t>
            </w:r>
          </w:p>
        </w:tc>
        <w:tc>
          <w:tcPr>
            <w:tcW w:w="5423" w:type="dxa"/>
          </w:tcPr>
          <w:p w14:paraId="500322CF" w14:textId="595E1E4B" w:rsidR="0057097F" w:rsidRDefault="00003428">
            <w:pPr>
              <w:jc w:val="both"/>
            </w:pPr>
            <w:r>
              <w:t>CIVIL</w:t>
            </w:r>
          </w:p>
        </w:tc>
      </w:tr>
      <w:tr w:rsidR="0057097F" w14:paraId="500322D3" w14:textId="77777777" w:rsidTr="00003428">
        <w:tc>
          <w:tcPr>
            <w:tcW w:w="4111" w:type="dxa"/>
            <w:shd w:val="clear" w:color="auto" w:fill="D9D9D9" w:themeFill="background1" w:themeFillShade="D9"/>
          </w:tcPr>
          <w:p w14:paraId="500322D1" w14:textId="77777777" w:rsidR="0057097F" w:rsidRDefault="000B7A27">
            <w:pPr>
              <w:rPr>
                <w:b/>
                <w:sz w:val="20"/>
                <w:szCs w:val="20"/>
              </w:rPr>
            </w:pPr>
            <w:r>
              <w:rPr>
                <w:b/>
                <w:sz w:val="20"/>
                <w:szCs w:val="20"/>
              </w:rPr>
              <w:t>Despacho:</w:t>
            </w:r>
          </w:p>
        </w:tc>
        <w:tc>
          <w:tcPr>
            <w:tcW w:w="5423" w:type="dxa"/>
          </w:tcPr>
          <w:p w14:paraId="500322D2" w14:textId="4148A9C3" w:rsidR="0057097F" w:rsidRDefault="00575FF5">
            <w:pPr>
              <w:jc w:val="both"/>
            </w:pPr>
            <w:r>
              <w:t>JUZGADO PRIMERO CIVIL DEL CIRCUITO DE TULUÁ</w:t>
            </w:r>
          </w:p>
        </w:tc>
      </w:tr>
      <w:tr w:rsidR="0057097F" w14:paraId="500322D6" w14:textId="77777777" w:rsidTr="00003428">
        <w:tc>
          <w:tcPr>
            <w:tcW w:w="4111" w:type="dxa"/>
            <w:shd w:val="clear" w:color="auto" w:fill="D9D9D9" w:themeFill="background1" w:themeFillShade="D9"/>
          </w:tcPr>
          <w:p w14:paraId="500322D4" w14:textId="77777777" w:rsidR="0057097F" w:rsidRDefault="000B7A27">
            <w:pPr>
              <w:rPr>
                <w:b/>
                <w:sz w:val="20"/>
                <w:szCs w:val="20"/>
              </w:rPr>
            </w:pPr>
            <w:r>
              <w:rPr>
                <w:b/>
                <w:sz w:val="20"/>
                <w:szCs w:val="20"/>
              </w:rPr>
              <w:t>Ciudad:</w:t>
            </w:r>
          </w:p>
        </w:tc>
        <w:tc>
          <w:tcPr>
            <w:tcW w:w="5423" w:type="dxa"/>
          </w:tcPr>
          <w:p w14:paraId="500322D5" w14:textId="713D4AD8" w:rsidR="0057097F" w:rsidRDefault="00575FF5">
            <w:pPr>
              <w:jc w:val="both"/>
            </w:pPr>
            <w:r>
              <w:t>TULUÁ</w:t>
            </w:r>
          </w:p>
        </w:tc>
      </w:tr>
      <w:tr w:rsidR="0057097F" w14:paraId="500322D9" w14:textId="77777777" w:rsidTr="00003428">
        <w:tc>
          <w:tcPr>
            <w:tcW w:w="4111" w:type="dxa"/>
            <w:shd w:val="clear" w:color="auto" w:fill="D9D9D9" w:themeFill="background1" w:themeFillShade="D9"/>
          </w:tcPr>
          <w:p w14:paraId="500322D7" w14:textId="77777777" w:rsidR="0057097F" w:rsidRDefault="000B7A27">
            <w:pPr>
              <w:rPr>
                <w:b/>
                <w:sz w:val="20"/>
                <w:szCs w:val="20"/>
              </w:rPr>
            </w:pPr>
            <w:r>
              <w:rPr>
                <w:b/>
                <w:sz w:val="20"/>
                <w:szCs w:val="20"/>
              </w:rPr>
              <w:t>Radicado (23 dígitos):</w:t>
            </w:r>
          </w:p>
        </w:tc>
        <w:tc>
          <w:tcPr>
            <w:tcW w:w="5423" w:type="dxa"/>
          </w:tcPr>
          <w:p w14:paraId="500322D8" w14:textId="486C67F6" w:rsidR="0057097F" w:rsidRDefault="00575FF5">
            <w:r w:rsidRPr="00575FF5">
              <w:t>768343103001-2023-00182-00</w:t>
            </w:r>
          </w:p>
        </w:tc>
      </w:tr>
      <w:tr w:rsidR="0057097F" w14:paraId="500322DC" w14:textId="77777777" w:rsidTr="00003428">
        <w:tc>
          <w:tcPr>
            <w:tcW w:w="4111" w:type="dxa"/>
            <w:shd w:val="clear" w:color="auto" w:fill="D9D9D9" w:themeFill="background1" w:themeFillShade="D9"/>
          </w:tcPr>
          <w:p w14:paraId="500322DA" w14:textId="77777777" w:rsidR="0057097F" w:rsidRDefault="000B7A27">
            <w:pPr>
              <w:rPr>
                <w:b/>
                <w:sz w:val="20"/>
                <w:szCs w:val="20"/>
              </w:rPr>
            </w:pPr>
            <w:r>
              <w:rPr>
                <w:b/>
                <w:sz w:val="20"/>
                <w:szCs w:val="20"/>
              </w:rPr>
              <w:t>Demandantes:</w:t>
            </w:r>
          </w:p>
        </w:tc>
        <w:tc>
          <w:tcPr>
            <w:tcW w:w="5423" w:type="dxa"/>
          </w:tcPr>
          <w:p w14:paraId="500322DB" w14:textId="1D6486AF" w:rsidR="0057097F" w:rsidRPr="005A4426" w:rsidRDefault="00575FF5">
            <w:pPr>
              <w:jc w:val="both"/>
              <w:rPr>
                <w:lang w:val="es-419"/>
              </w:rPr>
            </w:pPr>
            <w:r>
              <w:rPr>
                <w:lang w:val="es-419"/>
              </w:rPr>
              <w:t>YOVANA STELLA ORDOÑEZ PULGARIN</w:t>
            </w:r>
          </w:p>
        </w:tc>
      </w:tr>
      <w:tr w:rsidR="0057097F" w14:paraId="500322DF" w14:textId="77777777" w:rsidTr="00003428">
        <w:tc>
          <w:tcPr>
            <w:tcW w:w="4111" w:type="dxa"/>
            <w:shd w:val="clear" w:color="auto" w:fill="D9D9D9" w:themeFill="background1" w:themeFillShade="D9"/>
          </w:tcPr>
          <w:p w14:paraId="500322DD" w14:textId="77777777" w:rsidR="0057097F" w:rsidRDefault="000B7A27">
            <w:pPr>
              <w:rPr>
                <w:b/>
                <w:sz w:val="20"/>
                <w:szCs w:val="20"/>
              </w:rPr>
            </w:pPr>
            <w:r>
              <w:rPr>
                <w:b/>
                <w:sz w:val="20"/>
                <w:szCs w:val="20"/>
              </w:rPr>
              <w:t>Demandados:</w:t>
            </w:r>
          </w:p>
        </w:tc>
        <w:tc>
          <w:tcPr>
            <w:tcW w:w="5423" w:type="dxa"/>
          </w:tcPr>
          <w:p w14:paraId="500322DE" w14:textId="072D4885" w:rsidR="0057097F" w:rsidRDefault="00575FF5">
            <w:pPr>
              <w:jc w:val="both"/>
            </w:pPr>
            <w:r>
              <w:t xml:space="preserve">MARIA ORFA SALAZAR Y ELVIS GAVIRIA SALAZAR </w:t>
            </w:r>
          </w:p>
        </w:tc>
      </w:tr>
      <w:tr w:rsidR="0057097F" w14:paraId="500322E2" w14:textId="77777777" w:rsidTr="00003428">
        <w:tc>
          <w:tcPr>
            <w:tcW w:w="4111" w:type="dxa"/>
            <w:shd w:val="clear" w:color="auto" w:fill="D9D9D9" w:themeFill="background1" w:themeFillShade="D9"/>
          </w:tcPr>
          <w:p w14:paraId="500322E0" w14:textId="77777777" w:rsidR="0057097F" w:rsidRDefault="000B7A27">
            <w:pPr>
              <w:rPr>
                <w:b/>
                <w:sz w:val="20"/>
                <w:szCs w:val="20"/>
              </w:rPr>
            </w:pPr>
            <w:r>
              <w:rPr>
                <w:b/>
                <w:sz w:val="20"/>
                <w:szCs w:val="20"/>
              </w:rPr>
              <w:t>Tipo de vinculación de Liberty (directa, llamamiento en garantía, litisconsorte):</w:t>
            </w:r>
          </w:p>
        </w:tc>
        <w:tc>
          <w:tcPr>
            <w:tcW w:w="5423" w:type="dxa"/>
          </w:tcPr>
          <w:p w14:paraId="500322E1" w14:textId="145F7C6A" w:rsidR="0057097F" w:rsidRDefault="00575FF5">
            <w:pPr>
              <w:jc w:val="both"/>
            </w:pPr>
            <w:r>
              <w:t>LLAMAMIENTO EN GARANTÍA</w:t>
            </w:r>
          </w:p>
        </w:tc>
      </w:tr>
      <w:tr w:rsidR="00575FF5" w14:paraId="500322E5" w14:textId="77777777" w:rsidTr="00003428">
        <w:tc>
          <w:tcPr>
            <w:tcW w:w="4111" w:type="dxa"/>
            <w:shd w:val="clear" w:color="auto" w:fill="D9D9D9" w:themeFill="background1" w:themeFillShade="D9"/>
          </w:tcPr>
          <w:p w14:paraId="500322E3" w14:textId="77777777" w:rsidR="00575FF5" w:rsidRDefault="00575FF5" w:rsidP="00575FF5">
            <w:pPr>
              <w:rPr>
                <w:b/>
                <w:sz w:val="20"/>
                <w:szCs w:val="20"/>
              </w:rPr>
            </w:pPr>
            <w:r>
              <w:rPr>
                <w:b/>
                <w:sz w:val="20"/>
                <w:szCs w:val="20"/>
              </w:rPr>
              <w:t>Resumen de los hechos:</w:t>
            </w:r>
          </w:p>
        </w:tc>
        <w:tc>
          <w:tcPr>
            <w:tcW w:w="5423" w:type="dxa"/>
            <w:vAlign w:val="bottom"/>
          </w:tcPr>
          <w:p w14:paraId="6E1F5951" w14:textId="6FE8AC2E" w:rsidR="00575FF5" w:rsidRPr="00541A9F" w:rsidRDefault="00575FF5" w:rsidP="00575FF5">
            <w:pPr>
              <w:pStyle w:val="NormalWeb"/>
              <w:spacing w:before="0" w:beforeAutospacing="0" w:after="0" w:afterAutospacing="0"/>
              <w:jc w:val="both"/>
              <w:rPr>
                <w:rFonts w:asciiTheme="minorHAnsi" w:hAnsiTheme="minorHAnsi" w:cstheme="minorHAnsi"/>
                <w:color w:val="000000"/>
                <w:sz w:val="22"/>
                <w:szCs w:val="22"/>
              </w:rPr>
            </w:pPr>
            <w:r w:rsidRPr="00541A9F">
              <w:rPr>
                <w:rStyle w:val="xxcontentpasted0"/>
                <w:rFonts w:asciiTheme="minorHAnsi" w:hAnsiTheme="minorHAnsi" w:cstheme="minorHAnsi"/>
                <w:color w:val="000000"/>
                <w:sz w:val="22"/>
                <w:szCs w:val="22"/>
                <w:bdr w:val="none" w:sz="0" w:space="0" w:color="auto" w:frame="1"/>
              </w:rPr>
              <w:t>De conformidad con los hechos de la demanda, el 24 de enero de 2021, la señora Yovana Stella Ordoñez se desplazaba en la motocicleta de placas WDT14D por la carrera 25 sentido norte sur, y en la calle 28 de la ciudad de Tuluá cuando manifiesta fue impactada por el señor Elvis Gaviria Salazar conductor de la camioneta de placas DJS937, el cual argumentó la demandante hizo caso omiso a la señal de PARE. ocasionando ello perjuicios tanto patrimoniales como extrapatrimoniales en la vida de la señora </w:t>
            </w:r>
            <w:r w:rsidRPr="00541A9F">
              <w:rPr>
                <w:rStyle w:val="xxcontentpasted2"/>
                <w:rFonts w:asciiTheme="minorHAnsi" w:hAnsiTheme="minorHAnsi" w:cstheme="minorHAnsi"/>
                <w:color w:val="000000"/>
                <w:sz w:val="22"/>
                <w:szCs w:val="22"/>
                <w:bdr w:val="none" w:sz="0" w:space="0" w:color="auto" w:frame="1"/>
                <w:shd w:val="clear" w:color="auto" w:fill="FFFFFF"/>
              </w:rPr>
              <w:t xml:space="preserve">Yovana Stella Ordoñez quien tuvo 163 días de incapacidad y un dictamen de incapacidad de medicina legal definitiva de </w:t>
            </w:r>
            <w:r w:rsidR="00954E15">
              <w:rPr>
                <w:rStyle w:val="xxcontentpasted2"/>
                <w:rFonts w:asciiTheme="minorHAnsi" w:hAnsiTheme="minorHAnsi" w:cstheme="minorHAnsi"/>
                <w:color w:val="000000"/>
                <w:sz w:val="22"/>
                <w:szCs w:val="22"/>
                <w:bdr w:val="none" w:sz="0" w:space="0" w:color="auto" w:frame="1"/>
                <w:shd w:val="clear" w:color="auto" w:fill="FFFFFF"/>
              </w:rPr>
              <w:t>3</w:t>
            </w:r>
            <w:r w:rsidRPr="00541A9F">
              <w:rPr>
                <w:rStyle w:val="xxcontentpasted2"/>
                <w:rFonts w:asciiTheme="minorHAnsi" w:hAnsiTheme="minorHAnsi" w:cstheme="minorHAnsi"/>
                <w:color w:val="000000"/>
                <w:sz w:val="22"/>
                <w:szCs w:val="22"/>
                <w:bdr w:val="none" w:sz="0" w:space="0" w:color="auto" w:frame="1"/>
                <w:shd w:val="clear" w:color="auto" w:fill="FFFFFF"/>
              </w:rPr>
              <w:t>5 días con secuelas médico legales de perturbación funcional de miembro superior izquierdo de carácter permanente. </w:t>
            </w:r>
          </w:p>
          <w:p w14:paraId="2E29E880" w14:textId="115CAE9D" w:rsidR="00575FF5" w:rsidRPr="00003428" w:rsidRDefault="00575FF5" w:rsidP="00003428">
            <w:pPr>
              <w:pStyle w:val="NormalWeb"/>
              <w:spacing w:before="0" w:beforeAutospacing="0" w:after="0" w:afterAutospacing="0"/>
              <w:jc w:val="both"/>
              <w:rPr>
                <w:rFonts w:asciiTheme="minorHAnsi" w:hAnsiTheme="minorHAnsi" w:cstheme="minorHAnsi"/>
                <w:color w:val="000000"/>
                <w:sz w:val="22"/>
                <w:szCs w:val="22"/>
              </w:rPr>
            </w:pPr>
            <w:r w:rsidRPr="00541A9F">
              <w:rPr>
                <w:rStyle w:val="xxcontentpasted0"/>
                <w:rFonts w:asciiTheme="minorHAnsi" w:hAnsiTheme="minorHAnsi" w:cstheme="minorHAnsi"/>
                <w:color w:val="000000"/>
                <w:sz w:val="22"/>
                <w:szCs w:val="22"/>
                <w:bdr w:val="none" w:sz="0" w:space="0" w:color="auto" w:frame="1"/>
              </w:rPr>
              <w:t>Como hipótesis del accidente, el Informe de Accidente de Tránsito del 24 de enero de 2021, señaló como causa imputable al conductor del vehículo la descrita en el código 143, que según la Resolución 0011268 del 6 de diciembre de 2012 del Ministerio de Transporte1 obedece a la causal de “poner en marcha un vehículo sin precauciones. </w:t>
            </w:r>
          </w:p>
          <w:p w14:paraId="500322E4" w14:textId="18C935BE" w:rsidR="00575FF5" w:rsidRDefault="00575FF5" w:rsidP="00575FF5">
            <w:pPr>
              <w:jc w:val="both"/>
            </w:pPr>
            <w:r w:rsidRPr="00541A9F">
              <w:rPr>
                <w:rFonts w:eastAsia="Times New Roman" w:cstheme="minorHAnsi"/>
                <w:color w:val="1F497D"/>
                <w:lang w:eastAsia="es-CO"/>
              </w:rPr>
              <w:t>            </w:t>
            </w:r>
          </w:p>
        </w:tc>
      </w:tr>
      <w:tr w:rsidR="00575FF5" w14:paraId="500322E8" w14:textId="77777777" w:rsidTr="00003428">
        <w:tc>
          <w:tcPr>
            <w:tcW w:w="4111" w:type="dxa"/>
            <w:shd w:val="clear" w:color="auto" w:fill="D9D9D9" w:themeFill="background1" w:themeFillShade="D9"/>
          </w:tcPr>
          <w:p w14:paraId="500322E6" w14:textId="77777777" w:rsidR="00575FF5" w:rsidRDefault="00575FF5" w:rsidP="00575FF5">
            <w:pPr>
              <w:rPr>
                <w:b/>
                <w:sz w:val="20"/>
                <w:szCs w:val="20"/>
              </w:rPr>
            </w:pPr>
            <w:r>
              <w:rPr>
                <w:b/>
                <w:sz w:val="20"/>
                <w:szCs w:val="20"/>
              </w:rPr>
              <w:t>Descripción de las pretensiones:</w:t>
            </w:r>
          </w:p>
        </w:tc>
        <w:tc>
          <w:tcPr>
            <w:tcW w:w="5423" w:type="dxa"/>
          </w:tcPr>
          <w:p w14:paraId="6912106E" w14:textId="77777777" w:rsidR="00575FF5" w:rsidRDefault="00662E96" w:rsidP="00575FF5">
            <w:pPr>
              <w:jc w:val="both"/>
            </w:pPr>
            <w:r>
              <w:t>Las pretensiones de la demanda fueron por la suma de $614.822.792, por los siguientes conceptos:</w:t>
            </w:r>
          </w:p>
          <w:p w14:paraId="53830C30" w14:textId="3D5D1D6C" w:rsidR="00F92DA8" w:rsidRDefault="008F1D86" w:rsidP="00EF6968">
            <w:pPr>
              <w:pStyle w:val="Prrafodelista"/>
              <w:numPr>
                <w:ilvl w:val="0"/>
                <w:numId w:val="5"/>
              </w:numPr>
              <w:jc w:val="both"/>
            </w:pPr>
            <w:r>
              <w:t>Daño emergente: $2.145.000</w:t>
            </w:r>
          </w:p>
          <w:p w14:paraId="383E9F90" w14:textId="1317B7DA" w:rsidR="008F1D86" w:rsidRDefault="008F1D86" w:rsidP="00EF6968">
            <w:pPr>
              <w:pStyle w:val="Prrafodelista"/>
              <w:numPr>
                <w:ilvl w:val="0"/>
                <w:numId w:val="5"/>
              </w:numPr>
              <w:jc w:val="both"/>
            </w:pPr>
            <w:r>
              <w:t>Incapacidad: $9.780.000</w:t>
            </w:r>
          </w:p>
          <w:p w14:paraId="0FF4E5E3" w14:textId="51141713" w:rsidR="008F1D86" w:rsidRDefault="008F1D86" w:rsidP="00EF6968">
            <w:pPr>
              <w:pStyle w:val="Prrafodelista"/>
              <w:numPr>
                <w:ilvl w:val="0"/>
                <w:numId w:val="5"/>
              </w:numPr>
              <w:jc w:val="both"/>
            </w:pPr>
            <w:r>
              <w:t>Lucro cesante: $390.897.792</w:t>
            </w:r>
          </w:p>
          <w:p w14:paraId="0AC61D68" w14:textId="3606B8C9" w:rsidR="008F1D86" w:rsidRDefault="008F1D86" w:rsidP="00EF6968">
            <w:pPr>
              <w:pStyle w:val="Prrafodelista"/>
              <w:numPr>
                <w:ilvl w:val="0"/>
                <w:numId w:val="5"/>
              </w:numPr>
              <w:jc w:val="both"/>
            </w:pPr>
            <w:r>
              <w:t>Daño a la salud: $116.000.000</w:t>
            </w:r>
          </w:p>
          <w:p w14:paraId="00E7B8C2" w14:textId="77777777" w:rsidR="00662E96" w:rsidRDefault="008F1D86" w:rsidP="00EF6968">
            <w:pPr>
              <w:pStyle w:val="Prrafodelista"/>
              <w:numPr>
                <w:ilvl w:val="0"/>
                <w:numId w:val="5"/>
              </w:numPr>
              <w:jc w:val="both"/>
            </w:pPr>
            <w:r>
              <w:t>Daño moral: $96.000.000</w:t>
            </w:r>
          </w:p>
          <w:p w14:paraId="5C7C2CA3" w14:textId="77777777" w:rsidR="008F1D86" w:rsidRDefault="00AB61A5" w:rsidP="00EF6968">
            <w:pPr>
              <w:pStyle w:val="Prrafodelista"/>
              <w:numPr>
                <w:ilvl w:val="0"/>
                <w:numId w:val="5"/>
              </w:numPr>
              <w:jc w:val="both"/>
            </w:pPr>
            <w:r>
              <w:t>Costas y agencias procesales.</w:t>
            </w:r>
          </w:p>
          <w:p w14:paraId="500322E7" w14:textId="2826B7CD" w:rsidR="00EF6968" w:rsidRDefault="00EF6968" w:rsidP="00EF6968">
            <w:pPr>
              <w:pStyle w:val="Prrafodelista"/>
              <w:jc w:val="both"/>
            </w:pPr>
          </w:p>
        </w:tc>
      </w:tr>
      <w:tr w:rsidR="001640A8" w14:paraId="500322EB" w14:textId="77777777" w:rsidTr="00003428">
        <w:tc>
          <w:tcPr>
            <w:tcW w:w="4111" w:type="dxa"/>
            <w:shd w:val="clear" w:color="auto" w:fill="D9D9D9" w:themeFill="background1" w:themeFillShade="D9"/>
          </w:tcPr>
          <w:p w14:paraId="500322E9" w14:textId="026808BB" w:rsidR="001640A8" w:rsidRDefault="001640A8" w:rsidP="001640A8">
            <w:pPr>
              <w:rPr>
                <w:b/>
                <w:sz w:val="20"/>
                <w:szCs w:val="20"/>
              </w:rPr>
            </w:pPr>
            <w:r>
              <w:rPr>
                <w:b/>
                <w:sz w:val="20"/>
                <w:szCs w:val="20"/>
              </w:rPr>
              <w:t>Pretensiones cuantificadas ($):</w:t>
            </w:r>
          </w:p>
        </w:tc>
        <w:tc>
          <w:tcPr>
            <w:tcW w:w="5423" w:type="dxa"/>
          </w:tcPr>
          <w:p w14:paraId="500322EA" w14:textId="371D661D" w:rsidR="001640A8" w:rsidRDefault="00003428" w:rsidP="00EF6968">
            <w:pPr>
              <w:jc w:val="both"/>
            </w:pPr>
            <w:r>
              <w:t>$614.822.792</w:t>
            </w:r>
          </w:p>
        </w:tc>
      </w:tr>
      <w:tr w:rsidR="00575FF5" w14:paraId="500322EE" w14:textId="77777777" w:rsidTr="00003428">
        <w:tc>
          <w:tcPr>
            <w:tcW w:w="4111" w:type="dxa"/>
            <w:shd w:val="clear" w:color="auto" w:fill="D9D9D9" w:themeFill="background1" w:themeFillShade="D9"/>
          </w:tcPr>
          <w:p w14:paraId="500322EC" w14:textId="0FA3DF82" w:rsidR="00575FF5" w:rsidRDefault="00575FF5" w:rsidP="00575FF5">
            <w:pPr>
              <w:rPr>
                <w:b/>
                <w:sz w:val="20"/>
                <w:szCs w:val="20"/>
              </w:rPr>
            </w:pPr>
            <w:r>
              <w:rPr>
                <w:b/>
                <w:sz w:val="20"/>
                <w:szCs w:val="20"/>
              </w:rPr>
              <w:lastRenderedPageBreak/>
              <w:t>Valor asegurado amparos afectados:</w:t>
            </w:r>
          </w:p>
        </w:tc>
        <w:tc>
          <w:tcPr>
            <w:tcW w:w="5423" w:type="dxa"/>
          </w:tcPr>
          <w:p w14:paraId="500322ED" w14:textId="06686C9E" w:rsidR="00575FF5" w:rsidRDefault="00EF6968" w:rsidP="00575FF5">
            <w:pPr>
              <w:rPr>
                <w:b/>
                <w:bCs/>
              </w:rPr>
            </w:pPr>
            <w:r>
              <w:rPr>
                <w:b/>
                <w:bCs/>
              </w:rPr>
              <w:t xml:space="preserve">$ </w:t>
            </w:r>
            <w:r w:rsidR="00575FF5">
              <w:rPr>
                <w:b/>
                <w:bCs/>
              </w:rPr>
              <w:t>4.400.000.000</w:t>
            </w:r>
          </w:p>
        </w:tc>
      </w:tr>
      <w:tr w:rsidR="00003428" w14:paraId="500322F1" w14:textId="77777777" w:rsidTr="00003428">
        <w:tc>
          <w:tcPr>
            <w:tcW w:w="4111" w:type="dxa"/>
            <w:shd w:val="clear" w:color="auto" w:fill="D9D9D9" w:themeFill="background1" w:themeFillShade="D9"/>
          </w:tcPr>
          <w:p w14:paraId="500322EF" w14:textId="77777777" w:rsidR="00003428" w:rsidRDefault="00003428" w:rsidP="00003428">
            <w:pPr>
              <w:rPr>
                <w:b/>
                <w:sz w:val="20"/>
                <w:szCs w:val="20"/>
              </w:rPr>
            </w:pPr>
            <w:r>
              <w:rPr>
                <w:b/>
                <w:sz w:val="20"/>
                <w:szCs w:val="20"/>
              </w:rPr>
              <w:t>Valoración objetiva de las pretensiones:</w:t>
            </w:r>
          </w:p>
        </w:tc>
        <w:tc>
          <w:tcPr>
            <w:tcW w:w="5423" w:type="dxa"/>
          </w:tcPr>
          <w:p w14:paraId="01C68391" w14:textId="77777777" w:rsidR="00003428" w:rsidRPr="00FC7A4B" w:rsidRDefault="00003428" w:rsidP="00003428">
            <w:pPr>
              <w:spacing w:line="276" w:lineRule="auto"/>
              <w:jc w:val="both"/>
              <w:rPr>
                <w:rFonts w:ascii="Arial" w:hAnsi="Arial" w:cs="Arial"/>
                <w:sz w:val="20"/>
                <w:szCs w:val="20"/>
              </w:rPr>
            </w:pPr>
            <w:r w:rsidRPr="00FC7A4B">
              <w:rPr>
                <w:rFonts w:ascii="Arial" w:hAnsi="Arial" w:cs="Arial"/>
                <w:sz w:val="20"/>
                <w:szCs w:val="20"/>
              </w:rPr>
              <w:t xml:space="preserve">Como liquidación objetiva de perjuicios se tiene la suma de </w:t>
            </w:r>
            <w:r w:rsidRPr="00FC7A4B">
              <w:rPr>
                <w:rFonts w:ascii="Arial" w:hAnsi="Arial" w:cs="Arial"/>
                <w:b/>
                <w:sz w:val="20"/>
                <w:szCs w:val="20"/>
              </w:rPr>
              <w:t xml:space="preserve">$ </w:t>
            </w:r>
            <w:r>
              <w:rPr>
                <w:rFonts w:ascii="Arial" w:hAnsi="Arial" w:cs="Arial"/>
                <w:b/>
                <w:sz w:val="20"/>
                <w:szCs w:val="20"/>
              </w:rPr>
              <w:t>31</w:t>
            </w:r>
            <w:r w:rsidRPr="00EF6968">
              <w:rPr>
                <w:rFonts w:ascii="Arial" w:hAnsi="Arial" w:cs="Arial"/>
                <w:b/>
                <w:sz w:val="20"/>
                <w:szCs w:val="20"/>
              </w:rPr>
              <w:t>.302.558</w:t>
            </w:r>
            <w:r w:rsidRPr="00FC7A4B">
              <w:rPr>
                <w:rFonts w:ascii="Arial" w:hAnsi="Arial" w:cs="Arial"/>
                <w:sz w:val="20"/>
                <w:szCs w:val="20"/>
              </w:rPr>
              <w:t xml:space="preserve">, valor al que se llegó de la siguiente manera: </w:t>
            </w:r>
          </w:p>
          <w:p w14:paraId="37B20574" w14:textId="77777777" w:rsidR="00003428" w:rsidRPr="00FC7A4B" w:rsidRDefault="00003428" w:rsidP="00003428">
            <w:pPr>
              <w:spacing w:line="276" w:lineRule="auto"/>
              <w:jc w:val="both"/>
              <w:rPr>
                <w:rFonts w:ascii="Arial" w:hAnsi="Arial" w:cs="Arial"/>
                <w:sz w:val="20"/>
                <w:szCs w:val="20"/>
              </w:rPr>
            </w:pPr>
          </w:p>
          <w:p w14:paraId="4387FA53" w14:textId="203374ED" w:rsidR="00003428" w:rsidRDefault="00003428" w:rsidP="00003428">
            <w:pPr>
              <w:spacing w:line="276" w:lineRule="auto"/>
              <w:jc w:val="both"/>
              <w:rPr>
                <w:rFonts w:ascii="Arial" w:hAnsi="Arial" w:cs="Arial"/>
                <w:sz w:val="20"/>
                <w:szCs w:val="20"/>
              </w:rPr>
            </w:pPr>
            <w:r w:rsidRPr="00FC7A4B">
              <w:rPr>
                <w:rFonts w:ascii="Arial" w:hAnsi="Arial" w:cs="Arial"/>
                <w:b/>
                <w:sz w:val="20"/>
                <w:szCs w:val="20"/>
              </w:rPr>
              <w:t>Lucro cesante:</w:t>
            </w:r>
            <w:r w:rsidRPr="00FC7A4B">
              <w:rPr>
                <w:rFonts w:ascii="Arial" w:hAnsi="Arial" w:cs="Arial"/>
                <w:sz w:val="20"/>
                <w:szCs w:val="20"/>
              </w:rPr>
              <w:t xml:space="preserve"> se reconoce la suma de </w:t>
            </w:r>
            <w:r>
              <w:rPr>
                <w:rFonts w:ascii="Arial" w:hAnsi="Arial" w:cs="Arial"/>
                <w:b/>
                <w:sz w:val="20"/>
                <w:szCs w:val="20"/>
              </w:rPr>
              <w:t>$ 6.302.558</w:t>
            </w:r>
            <w:r w:rsidRPr="00FC7A4B">
              <w:rPr>
                <w:rFonts w:ascii="Arial" w:hAnsi="Arial" w:cs="Arial"/>
                <w:sz w:val="20"/>
                <w:szCs w:val="20"/>
              </w:rPr>
              <w:t xml:space="preserve"> a favor de </w:t>
            </w:r>
            <w:r>
              <w:rPr>
                <w:rFonts w:ascii="Arial" w:hAnsi="Arial" w:cs="Arial"/>
                <w:sz w:val="20"/>
                <w:szCs w:val="20"/>
              </w:rPr>
              <w:t>Yovana Stella Ordoñez Pulgarín. Esto como quiera que si bien no se probó dentro de la demanda de manera cierta el vínculo laboral y los ingresos económicos percibidos por la demándate, lo cierto es que la misma está en una edad laboral activa y productiva, infiriendo que la mismas devenga al menos 1SMLMV, así mismo, no se encontró en la página del RUAF algún tipo de registro al sistema de seguridad social por parte de la señora Ordoñez Pulgarín. Adicionalmente, cabe destacar que no se observa adosado al expediente PCL, que permita identificar la gravedad de las lesiones padecidas por la demandante, y las consecuencias que las mismas le han traído para el desarrollo de su vida cotidiana y laboral. En ese orden de ideas, únicamente se liquidan los 163 días de incapacidad médica, otorgados por el médico tratante.</w:t>
            </w:r>
          </w:p>
          <w:p w14:paraId="529B220F" w14:textId="77777777" w:rsidR="00003428" w:rsidRPr="00FC7A4B" w:rsidRDefault="00003428" w:rsidP="00003428">
            <w:pPr>
              <w:spacing w:line="276" w:lineRule="auto"/>
              <w:jc w:val="both"/>
              <w:rPr>
                <w:rFonts w:ascii="Arial" w:hAnsi="Arial" w:cs="Arial"/>
                <w:sz w:val="20"/>
                <w:szCs w:val="20"/>
              </w:rPr>
            </w:pPr>
          </w:p>
          <w:p w14:paraId="24768679" w14:textId="4AF58595" w:rsidR="00003428" w:rsidRPr="00FC7A4B" w:rsidRDefault="00003428" w:rsidP="00003428">
            <w:pPr>
              <w:spacing w:line="276" w:lineRule="auto"/>
              <w:jc w:val="both"/>
              <w:rPr>
                <w:rFonts w:ascii="Arial" w:hAnsi="Arial" w:cs="Arial"/>
                <w:sz w:val="20"/>
                <w:szCs w:val="20"/>
              </w:rPr>
            </w:pPr>
            <w:r w:rsidRPr="00FC7A4B">
              <w:rPr>
                <w:rFonts w:ascii="Arial" w:hAnsi="Arial" w:cs="Arial"/>
                <w:b/>
                <w:sz w:val="20"/>
                <w:szCs w:val="20"/>
              </w:rPr>
              <w:t>Daño moral:</w:t>
            </w:r>
            <w:r w:rsidRPr="00FC7A4B">
              <w:rPr>
                <w:rFonts w:ascii="Arial" w:hAnsi="Arial" w:cs="Arial"/>
                <w:sz w:val="20"/>
                <w:szCs w:val="20"/>
              </w:rPr>
              <w:t xml:space="preserve"> se reconoce la suma total de </w:t>
            </w:r>
            <w:r>
              <w:rPr>
                <w:rFonts w:ascii="Arial" w:hAnsi="Arial" w:cs="Arial"/>
                <w:b/>
                <w:sz w:val="20"/>
                <w:szCs w:val="20"/>
              </w:rPr>
              <w:t>$ 10.</w:t>
            </w:r>
            <w:r w:rsidRPr="00FC7A4B">
              <w:rPr>
                <w:rFonts w:ascii="Arial" w:hAnsi="Arial" w:cs="Arial"/>
                <w:b/>
                <w:sz w:val="20"/>
                <w:szCs w:val="20"/>
              </w:rPr>
              <w:t>000.000.</w:t>
            </w:r>
            <w:r>
              <w:rPr>
                <w:rFonts w:ascii="Arial" w:hAnsi="Arial" w:cs="Arial"/>
                <w:b/>
                <w:sz w:val="20"/>
                <w:szCs w:val="20"/>
              </w:rPr>
              <w:t xml:space="preserve"> </w:t>
            </w:r>
            <w:r w:rsidRPr="00FC7A4B">
              <w:rPr>
                <w:rFonts w:ascii="Arial" w:hAnsi="Arial" w:cs="Arial"/>
                <w:sz w:val="20"/>
                <w:szCs w:val="20"/>
              </w:rPr>
              <w:t>Se llegó a tal liquidación teniendo en cuenta que: (i) Obra en el expediente</w:t>
            </w:r>
            <w:r>
              <w:rPr>
                <w:rFonts w:ascii="Arial" w:hAnsi="Arial" w:cs="Arial"/>
                <w:sz w:val="20"/>
                <w:szCs w:val="20"/>
              </w:rPr>
              <w:t xml:space="preserve"> la historia clínica de la señora Yovana Ordoñez Pulgarín, donde se observa que el motivo de la consulta y sus lesiones es debido a un accidente de tránsito</w:t>
            </w:r>
            <w:r w:rsidRPr="00FC7A4B">
              <w:rPr>
                <w:rFonts w:ascii="Arial" w:hAnsi="Arial" w:cs="Arial"/>
                <w:sz w:val="20"/>
                <w:szCs w:val="20"/>
              </w:rPr>
              <w:t xml:space="preserve">; (ii) </w:t>
            </w:r>
            <w:r>
              <w:rPr>
                <w:rFonts w:ascii="Arial" w:hAnsi="Arial" w:cs="Arial"/>
                <w:sz w:val="20"/>
                <w:szCs w:val="20"/>
              </w:rPr>
              <w:t>reposan en el dosier, tres valoraciones realizadas por medicina legal, dentro de la cual se concluyó que la señora Yovana Ordoñez Pulgarín presenta una perturbación funcional de miembro superior izquierdo de carácter permanente y perturbación funcional del órgano de la presión de carácter transitorio</w:t>
            </w:r>
            <w:r w:rsidRPr="00FC7A4B">
              <w:rPr>
                <w:rFonts w:ascii="Arial" w:hAnsi="Arial" w:cs="Arial"/>
                <w:sz w:val="20"/>
                <w:szCs w:val="20"/>
              </w:rPr>
              <w:t xml:space="preserve">; (iii) </w:t>
            </w:r>
            <w:r>
              <w:rPr>
                <w:rFonts w:ascii="Arial" w:hAnsi="Arial" w:cs="Arial"/>
                <w:sz w:val="20"/>
                <w:szCs w:val="20"/>
              </w:rPr>
              <w:t xml:space="preserve">La víctima tuvo 163 días de incapacidad médica, otorgadas por el médico tratante, pese a que las lesiones fueron tratadas con analgésicos, inmovilización y terapias físicas; (iv) </w:t>
            </w:r>
            <w:r w:rsidRPr="00FC7A4B">
              <w:rPr>
                <w:rFonts w:ascii="Arial" w:hAnsi="Arial" w:cs="Arial"/>
                <w:sz w:val="20"/>
                <w:szCs w:val="20"/>
              </w:rPr>
              <w:t xml:space="preserve"> </w:t>
            </w:r>
            <w:r>
              <w:rPr>
                <w:rFonts w:ascii="Arial" w:hAnsi="Arial" w:cs="Arial"/>
                <w:sz w:val="20"/>
                <w:szCs w:val="20"/>
              </w:rPr>
              <w:t xml:space="preserve">El IPAT endilga una única responsabilidad al vehículo #1, vehículo asegurado, bajo la causal </w:t>
            </w:r>
            <w:r w:rsidRPr="002D26AF">
              <w:rPr>
                <w:rFonts w:ascii="Arial" w:hAnsi="Arial" w:cs="Arial"/>
                <w:i/>
                <w:sz w:val="20"/>
                <w:szCs w:val="20"/>
              </w:rPr>
              <w:t>145 – arrancar sin precaución</w:t>
            </w:r>
            <w:r>
              <w:rPr>
                <w:rFonts w:ascii="Arial" w:hAnsi="Arial" w:cs="Arial"/>
                <w:sz w:val="20"/>
                <w:szCs w:val="20"/>
              </w:rPr>
              <w:t xml:space="preserve">, situación que se puede corroborar con el croquis que acompaña el Informe Policial de Accidente de Tránsito. </w:t>
            </w:r>
            <w:r w:rsidRPr="00FC7A4B">
              <w:rPr>
                <w:rFonts w:ascii="Arial" w:hAnsi="Arial" w:cs="Arial"/>
                <w:sz w:val="20"/>
                <w:szCs w:val="20"/>
              </w:rPr>
              <w:t>El anterior valor tomando co</w:t>
            </w:r>
            <w:r>
              <w:rPr>
                <w:rFonts w:ascii="Arial" w:hAnsi="Arial" w:cs="Arial"/>
                <w:sz w:val="20"/>
                <w:szCs w:val="20"/>
              </w:rPr>
              <w:t>mo referencia la sentencia SC5885-2016, 06 de mayo del 2016</w:t>
            </w:r>
            <w:r w:rsidRPr="00FC7A4B">
              <w:rPr>
                <w:rFonts w:ascii="Arial" w:hAnsi="Arial" w:cs="Arial"/>
                <w:sz w:val="20"/>
                <w:szCs w:val="20"/>
              </w:rPr>
              <w:t xml:space="preserve"> de la Corte Suprema de Justicia, en la que reconoció </w:t>
            </w:r>
            <w:r>
              <w:rPr>
                <w:rFonts w:ascii="Arial" w:hAnsi="Arial" w:cs="Arial"/>
                <w:sz w:val="20"/>
                <w:szCs w:val="20"/>
              </w:rPr>
              <w:t>la suma de $15.000.000 a cada uno de los demandantes, incluyendo la víctima directa, por perturbación psíquica, física y PCL en 20.65%, cuando el vehículo asegurado colisionó con la motocicleta en la cual se movilizaba la víctima</w:t>
            </w:r>
            <w:r w:rsidRPr="00FC7A4B">
              <w:rPr>
                <w:rFonts w:ascii="Arial" w:hAnsi="Arial" w:cs="Arial"/>
                <w:sz w:val="20"/>
                <w:szCs w:val="20"/>
              </w:rPr>
              <w:t xml:space="preserve">. </w:t>
            </w:r>
          </w:p>
          <w:p w14:paraId="72118E72" w14:textId="77777777" w:rsidR="00003428" w:rsidRPr="00FC7A4B" w:rsidRDefault="00003428" w:rsidP="00003428">
            <w:pPr>
              <w:spacing w:line="276" w:lineRule="auto"/>
              <w:jc w:val="both"/>
              <w:rPr>
                <w:rFonts w:ascii="Arial" w:hAnsi="Arial" w:cs="Arial"/>
                <w:sz w:val="20"/>
                <w:szCs w:val="20"/>
              </w:rPr>
            </w:pPr>
          </w:p>
          <w:p w14:paraId="2C857272" w14:textId="61690038" w:rsidR="00003428" w:rsidRDefault="00003428" w:rsidP="00003428">
            <w:pPr>
              <w:spacing w:line="276" w:lineRule="auto"/>
              <w:jc w:val="both"/>
              <w:rPr>
                <w:rFonts w:ascii="Arial" w:hAnsi="Arial" w:cs="Arial"/>
                <w:sz w:val="20"/>
                <w:szCs w:val="20"/>
              </w:rPr>
            </w:pPr>
            <w:r w:rsidRPr="00FC7A4B">
              <w:rPr>
                <w:rFonts w:ascii="Arial" w:hAnsi="Arial" w:cs="Arial"/>
                <w:b/>
                <w:sz w:val="20"/>
                <w:szCs w:val="20"/>
              </w:rPr>
              <w:t>Daño a la</w:t>
            </w:r>
            <w:r>
              <w:rPr>
                <w:rFonts w:ascii="Arial" w:hAnsi="Arial" w:cs="Arial"/>
                <w:b/>
                <w:sz w:val="20"/>
                <w:szCs w:val="20"/>
              </w:rPr>
              <w:t xml:space="preserve"> salud, daño fisiológico o daño a la</w:t>
            </w:r>
            <w:r w:rsidRPr="00FC7A4B">
              <w:rPr>
                <w:rFonts w:ascii="Arial" w:hAnsi="Arial" w:cs="Arial"/>
                <w:b/>
                <w:sz w:val="20"/>
                <w:szCs w:val="20"/>
              </w:rPr>
              <w:t xml:space="preserve"> vida de relación:</w:t>
            </w:r>
            <w:r w:rsidRPr="00FC7A4B">
              <w:rPr>
                <w:rFonts w:ascii="Arial" w:hAnsi="Arial" w:cs="Arial"/>
                <w:sz w:val="20"/>
                <w:szCs w:val="20"/>
              </w:rPr>
              <w:t xml:space="preserve"> se reconoce la suma de </w:t>
            </w:r>
            <w:r>
              <w:rPr>
                <w:rFonts w:ascii="Arial" w:hAnsi="Arial" w:cs="Arial"/>
                <w:b/>
                <w:sz w:val="20"/>
                <w:szCs w:val="20"/>
              </w:rPr>
              <w:t>$ 15</w:t>
            </w:r>
            <w:r w:rsidRPr="00FC7A4B">
              <w:rPr>
                <w:rFonts w:ascii="Arial" w:hAnsi="Arial" w:cs="Arial"/>
                <w:b/>
                <w:sz w:val="20"/>
                <w:szCs w:val="20"/>
              </w:rPr>
              <w:t>.000.000</w:t>
            </w:r>
            <w:r w:rsidRPr="00FC7A4B">
              <w:rPr>
                <w:rFonts w:ascii="Arial" w:hAnsi="Arial" w:cs="Arial"/>
                <w:sz w:val="20"/>
                <w:szCs w:val="20"/>
              </w:rPr>
              <w:t xml:space="preserve"> a favor de </w:t>
            </w:r>
            <w:r>
              <w:rPr>
                <w:rFonts w:ascii="Arial" w:hAnsi="Arial" w:cs="Arial"/>
                <w:sz w:val="20"/>
                <w:szCs w:val="20"/>
              </w:rPr>
              <w:lastRenderedPageBreak/>
              <w:t>Yovana Ordoñez Pulgarín.</w:t>
            </w:r>
            <w:r w:rsidRPr="00FC7A4B">
              <w:rPr>
                <w:rFonts w:ascii="Arial" w:hAnsi="Arial" w:cs="Arial"/>
                <w:sz w:val="20"/>
                <w:szCs w:val="20"/>
              </w:rPr>
              <w:t xml:space="preserve"> Lo anterior teniendo en cuenta que (i) Obra en el expediente</w:t>
            </w:r>
            <w:r>
              <w:rPr>
                <w:rFonts w:ascii="Arial" w:hAnsi="Arial" w:cs="Arial"/>
                <w:sz w:val="20"/>
                <w:szCs w:val="20"/>
              </w:rPr>
              <w:t xml:space="preserve"> la historia clínica de la señora Yovana Ordoñez Pulgarín, donde se observa que el motivo de la consulta y sus lesiones es debido a un accidente de tránsito</w:t>
            </w:r>
            <w:r w:rsidRPr="00FC7A4B">
              <w:rPr>
                <w:rFonts w:ascii="Arial" w:hAnsi="Arial" w:cs="Arial"/>
                <w:sz w:val="20"/>
                <w:szCs w:val="20"/>
              </w:rPr>
              <w:t xml:space="preserve">; (ii) </w:t>
            </w:r>
            <w:r>
              <w:rPr>
                <w:rFonts w:ascii="Arial" w:hAnsi="Arial" w:cs="Arial"/>
                <w:sz w:val="20"/>
                <w:szCs w:val="20"/>
              </w:rPr>
              <w:t>reposan en el dosier, tres valoraciones realizadas por medicina legal, dentro de la cual se concluyó que la señora Yovana Ordoñez Pulgarín presenta una perturbación funcional de miembro superior izquierdo de carácter permanente y perturbación funcional del órgano de la presión de carácter transitorio</w:t>
            </w:r>
            <w:r w:rsidRPr="00FC7A4B">
              <w:rPr>
                <w:rFonts w:ascii="Arial" w:hAnsi="Arial" w:cs="Arial"/>
                <w:sz w:val="20"/>
                <w:szCs w:val="20"/>
              </w:rPr>
              <w:t xml:space="preserve">; (iii) </w:t>
            </w:r>
            <w:r>
              <w:rPr>
                <w:rFonts w:ascii="Arial" w:hAnsi="Arial" w:cs="Arial"/>
                <w:sz w:val="20"/>
                <w:szCs w:val="20"/>
              </w:rPr>
              <w:t xml:space="preserve">La víctima tuvo 163 días de incapacidad médica, otorgadas por el médico tratante, pese a que las lesiones fueron tratadas con analgésicos, inmovilización y terapias físicas; (iv) </w:t>
            </w:r>
            <w:r w:rsidRPr="00FC7A4B">
              <w:rPr>
                <w:rFonts w:ascii="Arial" w:hAnsi="Arial" w:cs="Arial"/>
                <w:sz w:val="20"/>
                <w:szCs w:val="20"/>
              </w:rPr>
              <w:t xml:space="preserve"> </w:t>
            </w:r>
            <w:r>
              <w:rPr>
                <w:rFonts w:ascii="Arial" w:hAnsi="Arial" w:cs="Arial"/>
                <w:sz w:val="20"/>
                <w:szCs w:val="20"/>
              </w:rPr>
              <w:t xml:space="preserve">El IPAT endilga una única responsabilidad al vehículo #1, vehículo asegurado, bajo la causal </w:t>
            </w:r>
            <w:r w:rsidRPr="002D26AF">
              <w:rPr>
                <w:rFonts w:ascii="Arial" w:hAnsi="Arial" w:cs="Arial"/>
                <w:i/>
                <w:sz w:val="20"/>
                <w:szCs w:val="20"/>
              </w:rPr>
              <w:t>145 – arrancar sin precaución</w:t>
            </w:r>
            <w:r>
              <w:rPr>
                <w:rFonts w:ascii="Arial" w:hAnsi="Arial" w:cs="Arial"/>
                <w:sz w:val="20"/>
                <w:szCs w:val="20"/>
              </w:rPr>
              <w:t xml:space="preserve">, situación que se puede corroborar con el croquis que acompaña el Informe Policial de Accidente de Tránsito. </w:t>
            </w:r>
            <w:r w:rsidRPr="00FC7A4B">
              <w:rPr>
                <w:rFonts w:ascii="Arial" w:hAnsi="Arial" w:cs="Arial"/>
                <w:sz w:val="20"/>
                <w:szCs w:val="20"/>
              </w:rPr>
              <w:t>El anterior valor tomando co</w:t>
            </w:r>
            <w:r>
              <w:rPr>
                <w:rFonts w:ascii="Arial" w:hAnsi="Arial" w:cs="Arial"/>
                <w:sz w:val="20"/>
                <w:szCs w:val="20"/>
              </w:rPr>
              <w:t>mo referencia la sentencia SC5885-2016, 06 de mayo del 2016</w:t>
            </w:r>
            <w:r w:rsidRPr="00FC7A4B">
              <w:rPr>
                <w:rFonts w:ascii="Arial" w:hAnsi="Arial" w:cs="Arial"/>
                <w:sz w:val="20"/>
                <w:szCs w:val="20"/>
              </w:rPr>
              <w:t xml:space="preserve"> de la Corte Suprema de Justicia, en la que reconoció </w:t>
            </w:r>
            <w:r>
              <w:rPr>
                <w:rFonts w:ascii="Arial" w:hAnsi="Arial" w:cs="Arial"/>
                <w:sz w:val="20"/>
                <w:szCs w:val="20"/>
              </w:rPr>
              <w:t>la suma de $20.000.000 a la víctima directa, por perturbación psíquica, física y PCL en 20.65%, cuando el vehículo asegurado colisionó con la motocicleta en la cual se movilizaba la víctima</w:t>
            </w:r>
            <w:r w:rsidRPr="00FC7A4B">
              <w:rPr>
                <w:rFonts w:ascii="Arial" w:hAnsi="Arial" w:cs="Arial"/>
                <w:sz w:val="20"/>
                <w:szCs w:val="20"/>
              </w:rPr>
              <w:t>.</w:t>
            </w:r>
          </w:p>
          <w:p w14:paraId="7A81F6A2" w14:textId="77777777" w:rsidR="00003428" w:rsidRPr="00FC7A4B" w:rsidRDefault="00003428" w:rsidP="00003428">
            <w:pPr>
              <w:spacing w:line="276" w:lineRule="auto"/>
              <w:jc w:val="both"/>
              <w:rPr>
                <w:rFonts w:ascii="Arial" w:hAnsi="Arial" w:cs="Arial"/>
                <w:sz w:val="20"/>
                <w:szCs w:val="20"/>
              </w:rPr>
            </w:pPr>
          </w:p>
          <w:p w14:paraId="500322F0" w14:textId="32FD5C05" w:rsidR="00003428" w:rsidRPr="00003428" w:rsidRDefault="00003428" w:rsidP="00003428">
            <w:pPr>
              <w:spacing w:line="276" w:lineRule="auto"/>
              <w:jc w:val="both"/>
              <w:rPr>
                <w:rFonts w:ascii="Arial" w:hAnsi="Arial" w:cs="Arial"/>
                <w:sz w:val="20"/>
                <w:szCs w:val="20"/>
              </w:rPr>
            </w:pPr>
            <w:r w:rsidRPr="00FC7A4B">
              <w:rPr>
                <w:rFonts w:ascii="Arial" w:hAnsi="Arial" w:cs="Arial"/>
                <w:b/>
                <w:sz w:val="20"/>
                <w:szCs w:val="20"/>
              </w:rPr>
              <w:t>Deducible:</w:t>
            </w:r>
            <w:r w:rsidRPr="00FC7A4B">
              <w:rPr>
                <w:rFonts w:ascii="Arial" w:hAnsi="Arial" w:cs="Arial"/>
                <w:sz w:val="20"/>
                <w:szCs w:val="20"/>
              </w:rPr>
              <w:t xml:space="preserve"> para el amparo de Muerte o Lesiones a Una Persona no se pactó deducible. </w:t>
            </w:r>
          </w:p>
        </w:tc>
      </w:tr>
      <w:tr w:rsidR="00003428" w14:paraId="500322F4" w14:textId="77777777" w:rsidTr="00003428">
        <w:tc>
          <w:tcPr>
            <w:tcW w:w="4111" w:type="dxa"/>
            <w:shd w:val="clear" w:color="auto" w:fill="D9D9D9" w:themeFill="background1" w:themeFillShade="D9"/>
          </w:tcPr>
          <w:p w14:paraId="500322F2" w14:textId="77777777" w:rsidR="00003428" w:rsidRDefault="00003428" w:rsidP="00003428">
            <w:pPr>
              <w:rPr>
                <w:b/>
                <w:sz w:val="20"/>
                <w:szCs w:val="20"/>
              </w:rPr>
            </w:pPr>
            <w:r>
              <w:rPr>
                <w:b/>
                <w:sz w:val="20"/>
                <w:szCs w:val="20"/>
              </w:rPr>
              <w:lastRenderedPageBreak/>
              <w:t>Calificación de la contingencia:</w:t>
            </w:r>
          </w:p>
        </w:tc>
        <w:tc>
          <w:tcPr>
            <w:tcW w:w="5423" w:type="dxa"/>
          </w:tcPr>
          <w:p w14:paraId="500322F3" w14:textId="51C18D77" w:rsidR="00003428" w:rsidRDefault="00003428" w:rsidP="00003428">
            <w:pPr>
              <w:jc w:val="both"/>
            </w:pPr>
            <w:r>
              <w:t>PROBABLE</w:t>
            </w:r>
          </w:p>
        </w:tc>
      </w:tr>
      <w:tr w:rsidR="00003428" w:rsidRPr="000B7A27" w14:paraId="500322F7" w14:textId="77777777" w:rsidTr="00003428">
        <w:tc>
          <w:tcPr>
            <w:tcW w:w="4111" w:type="dxa"/>
            <w:shd w:val="clear" w:color="auto" w:fill="D9D9D9" w:themeFill="background1" w:themeFillShade="D9"/>
          </w:tcPr>
          <w:p w14:paraId="500322F5" w14:textId="77777777" w:rsidR="00003428" w:rsidRPr="000B7A27" w:rsidRDefault="00003428" w:rsidP="00003428">
            <w:pPr>
              <w:rPr>
                <w:rFonts w:asciiTheme="minorHAnsi" w:hAnsiTheme="minorHAnsi" w:cstheme="minorHAnsi"/>
                <w:b/>
              </w:rPr>
            </w:pPr>
            <w:r w:rsidRPr="000B7A27">
              <w:rPr>
                <w:rFonts w:asciiTheme="minorHAnsi" w:hAnsiTheme="minorHAnsi" w:cstheme="minorHAnsi"/>
                <w:b/>
              </w:rPr>
              <w:t>Motivos de la calificación:</w:t>
            </w:r>
          </w:p>
        </w:tc>
        <w:tc>
          <w:tcPr>
            <w:tcW w:w="5423" w:type="dxa"/>
          </w:tcPr>
          <w:p w14:paraId="2058BBAC" w14:textId="20F2A12B" w:rsidR="00003428" w:rsidRPr="006E3803" w:rsidRDefault="00003428" w:rsidP="00003428">
            <w:pPr>
              <w:spacing w:line="276" w:lineRule="auto"/>
              <w:jc w:val="both"/>
              <w:rPr>
                <w:rFonts w:ascii="Arial" w:hAnsi="Arial" w:cs="Arial"/>
                <w:sz w:val="20"/>
                <w:szCs w:val="20"/>
              </w:rPr>
            </w:pPr>
            <w:r w:rsidRPr="006E3803">
              <w:rPr>
                <w:rFonts w:ascii="Arial" w:hAnsi="Arial" w:cs="Arial"/>
                <w:sz w:val="20"/>
                <w:szCs w:val="20"/>
              </w:rPr>
              <w:t xml:space="preserve">La contingencia se califica como </w:t>
            </w:r>
            <w:r w:rsidRPr="006E3803">
              <w:rPr>
                <w:rFonts w:ascii="Arial" w:hAnsi="Arial" w:cs="Arial"/>
                <w:b/>
                <w:sz w:val="20"/>
                <w:szCs w:val="20"/>
              </w:rPr>
              <w:t>PROBABLE</w:t>
            </w:r>
            <w:r w:rsidRPr="006E3803">
              <w:rPr>
                <w:rFonts w:ascii="Arial" w:hAnsi="Arial" w:cs="Arial"/>
                <w:sz w:val="20"/>
                <w:szCs w:val="20"/>
              </w:rPr>
              <w:t xml:space="preserve"> toda vez que la </w:t>
            </w:r>
            <w:r w:rsidRPr="006E3803">
              <w:rPr>
                <w:rFonts w:ascii="Arial" w:eastAsia="Times New Roman" w:hAnsi="Arial" w:cs="Arial"/>
                <w:color w:val="000000"/>
                <w:sz w:val="20"/>
                <w:szCs w:val="20"/>
                <w:bdr w:val="none" w:sz="0" w:space="0" w:color="auto" w:frame="1"/>
              </w:rPr>
              <w:t xml:space="preserve">Póliza Seguro de </w:t>
            </w:r>
            <w:r>
              <w:rPr>
                <w:rFonts w:ascii="Arial" w:eastAsia="Times New Roman" w:hAnsi="Arial" w:cs="Arial"/>
                <w:color w:val="000000"/>
                <w:sz w:val="20"/>
                <w:szCs w:val="20"/>
                <w:bdr w:val="none" w:sz="0" w:space="0" w:color="auto" w:frame="1"/>
              </w:rPr>
              <w:t>Automóviles No. 7042191</w:t>
            </w:r>
            <w:r w:rsidRPr="006E3803">
              <w:rPr>
                <w:rFonts w:ascii="Arial" w:hAnsi="Arial" w:cs="Arial"/>
                <w:sz w:val="20"/>
                <w:szCs w:val="20"/>
              </w:rPr>
              <w:t xml:space="preserve"> presta cobertura material y temporal,</w:t>
            </w:r>
            <w:r>
              <w:rPr>
                <w:rFonts w:ascii="Arial" w:hAnsi="Arial" w:cs="Arial"/>
                <w:sz w:val="20"/>
                <w:szCs w:val="20"/>
              </w:rPr>
              <w:t xml:space="preserve"> además,</w:t>
            </w:r>
            <w:r w:rsidRPr="006E3803">
              <w:rPr>
                <w:rFonts w:ascii="Arial" w:hAnsi="Arial" w:cs="Arial"/>
                <w:sz w:val="20"/>
                <w:szCs w:val="20"/>
              </w:rPr>
              <w:t xml:space="preserve"> la responsabilidad del asegurado está </w:t>
            </w:r>
            <w:r>
              <w:rPr>
                <w:rFonts w:ascii="Arial" w:hAnsi="Arial" w:cs="Arial"/>
                <w:sz w:val="20"/>
                <w:szCs w:val="20"/>
              </w:rPr>
              <w:t>plenamente acreditada</w:t>
            </w:r>
            <w:r w:rsidRPr="006E3803">
              <w:rPr>
                <w:rFonts w:ascii="Arial" w:hAnsi="Arial" w:cs="Arial"/>
                <w:sz w:val="20"/>
                <w:szCs w:val="20"/>
              </w:rPr>
              <w:t xml:space="preserve">. </w:t>
            </w:r>
          </w:p>
          <w:p w14:paraId="07248549" w14:textId="77777777" w:rsidR="00003428" w:rsidRPr="006E3803" w:rsidRDefault="00003428" w:rsidP="00003428">
            <w:pPr>
              <w:spacing w:line="276" w:lineRule="auto"/>
              <w:jc w:val="both"/>
              <w:rPr>
                <w:rFonts w:ascii="Arial" w:hAnsi="Arial" w:cs="Arial"/>
                <w:sz w:val="20"/>
                <w:szCs w:val="20"/>
              </w:rPr>
            </w:pPr>
          </w:p>
          <w:p w14:paraId="1F1A0628" w14:textId="474C81AF" w:rsidR="00003428" w:rsidRPr="006E3803" w:rsidRDefault="00003428" w:rsidP="00003428">
            <w:pPr>
              <w:spacing w:line="276" w:lineRule="auto"/>
              <w:jc w:val="both"/>
              <w:rPr>
                <w:rFonts w:ascii="Arial" w:hAnsi="Arial" w:cs="Arial"/>
                <w:sz w:val="20"/>
                <w:szCs w:val="20"/>
              </w:rPr>
            </w:pPr>
            <w:r w:rsidRPr="006E3803">
              <w:rPr>
                <w:rFonts w:ascii="Arial" w:hAnsi="Arial" w:cs="Arial"/>
                <w:sz w:val="20"/>
                <w:szCs w:val="20"/>
              </w:rPr>
              <w:t xml:space="preserve">Lo primero que debe indicarse es que el contrato de seguro presta </w:t>
            </w:r>
            <w:r w:rsidRPr="00AF6E42">
              <w:rPr>
                <w:rFonts w:ascii="Arial" w:hAnsi="Arial" w:cs="Arial"/>
                <w:b/>
                <w:sz w:val="20"/>
                <w:szCs w:val="20"/>
                <w:u w:val="single"/>
              </w:rPr>
              <w:t>cobertura temporal</w:t>
            </w:r>
            <w:r w:rsidRPr="006E3803">
              <w:rPr>
                <w:rFonts w:ascii="Arial" w:hAnsi="Arial" w:cs="Arial"/>
                <w:sz w:val="20"/>
                <w:szCs w:val="20"/>
              </w:rPr>
              <w:t xml:space="preserve">, puesto que los hechos ocurrieron el </w:t>
            </w:r>
            <w:r>
              <w:rPr>
                <w:rFonts w:ascii="Arial" w:hAnsi="Arial" w:cs="Arial"/>
                <w:sz w:val="20"/>
                <w:szCs w:val="20"/>
              </w:rPr>
              <w:t xml:space="preserve">24 de enero del 2021 </w:t>
            </w:r>
            <w:r w:rsidRPr="006E3803">
              <w:rPr>
                <w:rFonts w:ascii="Arial" w:hAnsi="Arial" w:cs="Arial"/>
                <w:sz w:val="20"/>
                <w:szCs w:val="20"/>
              </w:rPr>
              <w:t>y la vigencia de la póliza comprendía desde el 1</w:t>
            </w:r>
            <w:r>
              <w:rPr>
                <w:rFonts w:ascii="Arial" w:hAnsi="Arial" w:cs="Arial"/>
                <w:sz w:val="20"/>
                <w:szCs w:val="20"/>
              </w:rPr>
              <w:t>8</w:t>
            </w:r>
            <w:r w:rsidRPr="006E3803">
              <w:rPr>
                <w:rFonts w:ascii="Arial" w:hAnsi="Arial" w:cs="Arial"/>
                <w:sz w:val="20"/>
                <w:szCs w:val="20"/>
              </w:rPr>
              <w:t xml:space="preserve"> de octubre</w:t>
            </w:r>
            <w:r>
              <w:rPr>
                <w:rFonts w:ascii="Arial" w:hAnsi="Arial" w:cs="Arial"/>
                <w:sz w:val="20"/>
                <w:szCs w:val="20"/>
              </w:rPr>
              <w:t xml:space="preserve"> de 2019 al 18 de octubre de 2022</w:t>
            </w:r>
            <w:r w:rsidRPr="006E3803">
              <w:rPr>
                <w:rFonts w:ascii="Arial" w:hAnsi="Arial" w:cs="Arial"/>
                <w:sz w:val="20"/>
                <w:szCs w:val="20"/>
              </w:rPr>
              <w:t xml:space="preserve">, en modalidad ocurrencia, es decir, los hechos tuvieron lugar dentro de su vigencia. Aunado a ello, presta </w:t>
            </w:r>
            <w:r w:rsidRPr="00AF6E42">
              <w:rPr>
                <w:rFonts w:ascii="Arial" w:hAnsi="Arial" w:cs="Arial"/>
                <w:b/>
                <w:sz w:val="20"/>
                <w:szCs w:val="20"/>
                <w:u w:val="single"/>
              </w:rPr>
              <w:t>cobertura material</w:t>
            </w:r>
            <w:r>
              <w:rPr>
                <w:rFonts w:ascii="Arial" w:hAnsi="Arial" w:cs="Arial"/>
                <w:sz w:val="20"/>
                <w:szCs w:val="20"/>
              </w:rPr>
              <w:t>, en tanto que la</w:t>
            </w:r>
            <w:r w:rsidRPr="006E3803">
              <w:rPr>
                <w:rFonts w:ascii="Arial" w:hAnsi="Arial" w:cs="Arial"/>
                <w:sz w:val="20"/>
                <w:szCs w:val="20"/>
              </w:rPr>
              <w:t xml:space="preserve"> mism</w:t>
            </w:r>
            <w:r>
              <w:rPr>
                <w:rFonts w:ascii="Arial" w:hAnsi="Arial" w:cs="Arial"/>
                <w:sz w:val="20"/>
                <w:szCs w:val="20"/>
              </w:rPr>
              <w:t>a</w:t>
            </w:r>
            <w:r w:rsidRPr="006E3803">
              <w:rPr>
                <w:rFonts w:ascii="Arial" w:hAnsi="Arial" w:cs="Arial"/>
                <w:sz w:val="20"/>
                <w:szCs w:val="20"/>
              </w:rPr>
              <w:t xml:space="preserve"> ampara la responsabilidad civil extracontractual en que</w:t>
            </w:r>
            <w:r>
              <w:rPr>
                <w:rFonts w:ascii="Arial" w:hAnsi="Arial" w:cs="Arial"/>
                <w:sz w:val="20"/>
                <w:szCs w:val="20"/>
              </w:rPr>
              <w:t>,</w:t>
            </w:r>
            <w:r w:rsidRPr="006E3803">
              <w:rPr>
                <w:rFonts w:ascii="Arial" w:hAnsi="Arial" w:cs="Arial"/>
                <w:sz w:val="20"/>
                <w:szCs w:val="20"/>
              </w:rPr>
              <w:t xml:space="preserve"> de acuerdo con la Ley</w:t>
            </w:r>
            <w:r>
              <w:rPr>
                <w:rFonts w:ascii="Arial" w:hAnsi="Arial" w:cs="Arial"/>
                <w:sz w:val="20"/>
                <w:szCs w:val="20"/>
              </w:rPr>
              <w:t>,</w:t>
            </w:r>
            <w:r w:rsidRPr="006E3803">
              <w:rPr>
                <w:rFonts w:ascii="Arial" w:hAnsi="Arial" w:cs="Arial"/>
                <w:sz w:val="20"/>
                <w:szCs w:val="20"/>
              </w:rPr>
              <w:t xml:space="preserve"> incurra el asegurado o conductor autorizado, pretensión que se endilga al asegurado.</w:t>
            </w:r>
            <w:r>
              <w:rPr>
                <w:rFonts w:ascii="Arial" w:hAnsi="Arial" w:cs="Arial"/>
                <w:sz w:val="20"/>
                <w:szCs w:val="20"/>
              </w:rPr>
              <w:t xml:space="preserve"> </w:t>
            </w:r>
            <w:r w:rsidRPr="006E3803">
              <w:rPr>
                <w:rFonts w:ascii="Arial" w:hAnsi="Arial" w:cs="Arial"/>
                <w:sz w:val="20"/>
                <w:szCs w:val="20"/>
              </w:rPr>
              <w:t xml:space="preserve"> </w:t>
            </w:r>
          </w:p>
          <w:p w14:paraId="446AEEB1" w14:textId="77777777" w:rsidR="00003428" w:rsidRPr="006E3803" w:rsidRDefault="00003428" w:rsidP="00003428">
            <w:pPr>
              <w:spacing w:line="276" w:lineRule="auto"/>
              <w:jc w:val="both"/>
              <w:rPr>
                <w:rFonts w:ascii="Arial" w:hAnsi="Arial" w:cs="Arial"/>
                <w:sz w:val="20"/>
                <w:szCs w:val="20"/>
              </w:rPr>
            </w:pPr>
          </w:p>
          <w:p w14:paraId="5553E50D" w14:textId="3152D4CD" w:rsidR="00003428" w:rsidRPr="003A779E" w:rsidRDefault="00003428" w:rsidP="00003428">
            <w:pPr>
              <w:spacing w:line="276" w:lineRule="auto"/>
              <w:jc w:val="both"/>
              <w:rPr>
                <w:rFonts w:ascii="Arial" w:hAnsi="Arial" w:cs="Arial"/>
                <w:i/>
                <w:sz w:val="20"/>
                <w:szCs w:val="20"/>
              </w:rPr>
            </w:pPr>
            <w:r w:rsidRPr="006E3803">
              <w:rPr>
                <w:rFonts w:ascii="Arial" w:hAnsi="Arial" w:cs="Arial"/>
                <w:sz w:val="20"/>
                <w:szCs w:val="20"/>
              </w:rPr>
              <w:t xml:space="preserve">Lo anteriormente esgrimido debe ser analizado de manera conjunta con el estudio de la responsabilidad del asegurado, toda vez que la misma está plenamente acreditada, por las siguientes razones: </w:t>
            </w:r>
            <w:r w:rsidRPr="006E3803">
              <w:rPr>
                <w:rFonts w:ascii="Arial" w:hAnsi="Arial" w:cs="Arial"/>
                <w:b/>
                <w:sz w:val="20"/>
                <w:szCs w:val="20"/>
              </w:rPr>
              <w:t>(i)</w:t>
            </w:r>
            <w:r w:rsidRPr="006E3803">
              <w:rPr>
                <w:rFonts w:ascii="Arial" w:hAnsi="Arial" w:cs="Arial"/>
                <w:sz w:val="20"/>
                <w:szCs w:val="20"/>
              </w:rPr>
              <w:t xml:space="preserve"> </w:t>
            </w:r>
            <w:r>
              <w:rPr>
                <w:rFonts w:ascii="Arial" w:hAnsi="Arial" w:cs="Arial"/>
                <w:sz w:val="20"/>
                <w:szCs w:val="20"/>
              </w:rPr>
              <w:t>El IPAT codifica únicamente al conductor asegurado con la hipótesis 143 “</w:t>
            </w:r>
            <w:r>
              <w:rPr>
                <w:rFonts w:ascii="Arial" w:hAnsi="Arial" w:cs="Arial"/>
                <w:i/>
                <w:sz w:val="20"/>
                <w:szCs w:val="20"/>
              </w:rPr>
              <w:t>poner en marcha el vehículo sin precauciones</w:t>
            </w:r>
            <w:r>
              <w:rPr>
                <w:rFonts w:ascii="Arial" w:hAnsi="Arial" w:cs="Arial"/>
                <w:sz w:val="20"/>
                <w:szCs w:val="20"/>
              </w:rPr>
              <w:t xml:space="preserve">”; </w:t>
            </w:r>
            <w:r w:rsidRPr="00AF6E42">
              <w:rPr>
                <w:rFonts w:ascii="Arial" w:hAnsi="Arial" w:cs="Arial"/>
                <w:b/>
                <w:sz w:val="20"/>
                <w:szCs w:val="20"/>
              </w:rPr>
              <w:t>(ii)</w:t>
            </w:r>
            <w:r>
              <w:rPr>
                <w:rFonts w:ascii="Arial" w:hAnsi="Arial" w:cs="Arial"/>
                <w:sz w:val="20"/>
                <w:szCs w:val="20"/>
              </w:rPr>
              <w:t xml:space="preserve"> En el </w:t>
            </w:r>
            <w:r>
              <w:rPr>
                <w:rFonts w:ascii="Arial" w:hAnsi="Arial" w:cs="Arial"/>
                <w:sz w:val="20"/>
                <w:szCs w:val="20"/>
              </w:rPr>
              <w:lastRenderedPageBreak/>
              <w:t>acápite de observaciones, el funcionario de transito describe: “</w:t>
            </w:r>
            <w:r w:rsidRPr="00AF6E42">
              <w:rPr>
                <w:rFonts w:ascii="Arial" w:hAnsi="Arial" w:cs="Arial"/>
                <w:i/>
                <w:sz w:val="20"/>
                <w:szCs w:val="20"/>
              </w:rPr>
              <w:t xml:space="preserve">el conductor del </w:t>
            </w:r>
            <w:r>
              <w:rPr>
                <w:rFonts w:ascii="Arial" w:hAnsi="Arial" w:cs="Arial"/>
                <w:i/>
                <w:sz w:val="20"/>
                <w:szCs w:val="20"/>
              </w:rPr>
              <w:t>vehículo No. 1 aparentemente pone en marcha el vehículo sin respetar la prelación del vehículo # 2 que viene en la vía”,</w:t>
            </w:r>
            <w:r>
              <w:rPr>
                <w:rFonts w:ascii="Arial" w:hAnsi="Arial" w:cs="Arial"/>
                <w:sz w:val="20"/>
                <w:szCs w:val="20"/>
              </w:rPr>
              <w:t xml:space="preserve"> </w:t>
            </w:r>
            <w:r w:rsidRPr="00AF6E42">
              <w:rPr>
                <w:rFonts w:ascii="Arial" w:hAnsi="Arial" w:cs="Arial"/>
                <w:b/>
                <w:sz w:val="20"/>
                <w:szCs w:val="20"/>
              </w:rPr>
              <w:t>(iii)</w:t>
            </w:r>
            <w:r>
              <w:rPr>
                <w:rFonts w:ascii="Arial" w:hAnsi="Arial" w:cs="Arial"/>
                <w:sz w:val="20"/>
                <w:szCs w:val="20"/>
              </w:rPr>
              <w:t xml:space="preserve"> Revisado el bosquejo topográfico del mismo IPAT se corrobora la hipótesis, pues la posición final del vehículo es impactando directamente la motocicleta en la cual se movilizaba la hoy accionante, cuando esta última tenia prelación sobre la vía; </w:t>
            </w:r>
            <w:r w:rsidRPr="00AF6E42">
              <w:rPr>
                <w:rFonts w:ascii="Arial" w:hAnsi="Arial" w:cs="Arial"/>
                <w:b/>
                <w:sz w:val="20"/>
                <w:szCs w:val="20"/>
              </w:rPr>
              <w:t>(iv)</w:t>
            </w:r>
            <w:r>
              <w:rPr>
                <w:rFonts w:ascii="Arial" w:hAnsi="Arial" w:cs="Arial"/>
                <w:sz w:val="20"/>
                <w:szCs w:val="20"/>
              </w:rPr>
              <w:t xml:space="preserve"> dentro de la contestación se alegó concurrencia de culpas, por la ejecución de ambos actores viales en la ejecución de una actividad peligrosa, esto con la finalidad de obtener una reducción en la indemnización,</w:t>
            </w:r>
            <w:r w:rsidRPr="00AF6E42">
              <w:rPr>
                <w:rFonts w:ascii="Arial" w:hAnsi="Arial" w:cs="Arial"/>
                <w:b/>
                <w:sz w:val="20"/>
                <w:szCs w:val="20"/>
              </w:rPr>
              <w:t>(vii)</w:t>
            </w:r>
            <w:r>
              <w:rPr>
                <w:rFonts w:ascii="Arial" w:hAnsi="Arial" w:cs="Arial"/>
                <w:sz w:val="20"/>
                <w:szCs w:val="20"/>
              </w:rPr>
              <w:t xml:space="preserve"> </w:t>
            </w:r>
            <w:r w:rsidRPr="00AF6E42">
              <w:rPr>
                <w:rFonts w:ascii="Arial" w:hAnsi="Arial" w:cs="Arial"/>
                <w:sz w:val="20"/>
                <w:szCs w:val="20"/>
              </w:rPr>
              <w:t>La conducción de vehículos ha sido catalogada como una actividad peligrosa de acuerdo al artículo 2356 del Código Civil, es decir, la culpa de la persona que causó el hecho dañoso se presume y, por lo tanto, sólo puede exonerarse de responsabilidad demostrando una causa extraña. Sin embargo, dentro del caso de marras no se observa configurada una causa extraña, esto es, fuerza mayor, hecho de un tercero o hecho exclusivo de la víctima. Por este motivo</w:t>
            </w:r>
            <w:r>
              <w:rPr>
                <w:rFonts w:ascii="Arial" w:hAnsi="Arial" w:cs="Arial"/>
                <w:sz w:val="20"/>
                <w:szCs w:val="20"/>
              </w:rPr>
              <w:t>,</w:t>
            </w:r>
            <w:r w:rsidRPr="00AF6E42">
              <w:rPr>
                <w:rFonts w:ascii="Arial" w:hAnsi="Arial" w:cs="Arial"/>
                <w:sz w:val="20"/>
                <w:szCs w:val="20"/>
              </w:rPr>
              <w:t xml:space="preserve"> dado que estamos ante una actividad peligrosa sin una causa extraña que exonere la responsabilidad, es jurídicamente aceptado llegar a la conclusión de que la responsabilidad del vehículo asegurado está acreditada.</w:t>
            </w:r>
            <w:r>
              <w:rPr>
                <w:rFonts w:ascii="Arial" w:hAnsi="Arial" w:cs="Arial"/>
                <w:sz w:val="20"/>
                <w:szCs w:val="20"/>
              </w:rPr>
              <w:t xml:space="preserve"> </w:t>
            </w:r>
          </w:p>
          <w:p w14:paraId="0E86FB04" w14:textId="77777777" w:rsidR="00003428" w:rsidRDefault="00003428" w:rsidP="00003428">
            <w:pPr>
              <w:spacing w:line="276" w:lineRule="auto"/>
              <w:jc w:val="both"/>
              <w:rPr>
                <w:rFonts w:ascii="Arial" w:hAnsi="Arial" w:cs="Arial"/>
                <w:sz w:val="20"/>
                <w:szCs w:val="20"/>
              </w:rPr>
            </w:pPr>
          </w:p>
          <w:p w14:paraId="500322F6" w14:textId="6B589361" w:rsidR="00003428" w:rsidRPr="000B7A27" w:rsidRDefault="00003428" w:rsidP="00003428">
            <w:pPr>
              <w:spacing w:line="276" w:lineRule="auto"/>
              <w:jc w:val="both"/>
              <w:rPr>
                <w:rFonts w:asciiTheme="minorHAnsi" w:eastAsia="Arial" w:hAnsiTheme="minorHAnsi" w:cstheme="minorBidi"/>
              </w:rPr>
            </w:pPr>
            <w:r w:rsidRPr="000313C7">
              <w:rPr>
                <w:rFonts w:ascii="Arial" w:hAnsi="Arial" w:cs="Arial"/>
                <w:sz w:val="20"/>
                <w:szCs w:val="20"/>
              </w:rPr>
              <w:t>Todo lo anterior sin perjuicio del carácter contingente del proceso</w:t>
            </w:r>
            <w:r>
              <w:rPr>
                <w:rFonts w:ascii="Arial" w:hAnsi="Arial" w:cs="Arial"/>
                <w:sz w:val="20"/>
                <w:szCs w:val="20"/>
              </w:rPr>
              <w:t xml:space="preserve">. </w:t>
            </w:r>
          </w:p>
        </w:tc>
      </w:tr>
      <w:tr w:rsidR="00003428" w:rsidRPr="000B7A27" w14:paraId="50032300" w14:textId="77777777" w:rsidTr="00003428">
        <w:tc>
          <w:tcPr>
            <w:tcW w:w="4111" w:type="dxa"/>
            <w:shd w:val="clear" w:color="auto" w:fill="D9D9D9" w:themeFill="background1" w:themeFillShade="D9"/>
          </w:tcPr>
          <w:p w14:paraId="500322F8" w14:textId="2C19E71E" w:rsidR="00003428" w:rsidRPr="000B7A27" w:rsidRDefault="00003428" w:rsidP="00003428">
            <w:pPr>
              <w:rPr>
                <w:rFonts w:asciiTheme="minorHAnsi" w:hAnsiTheme="minorHAnsi" w:cstheme="minorHAnsi"/>
                <w:b/>
              </w:rPr>
            </w:pPr>
            <w:r w:rsidRPr="000B7A27">
              <w:rPr>
                <w:rFonts w:asciiTheme="minorHAnsi" w:hAnsiTheme="minorHAnsi" w:cstheme="minorHAnsi"/>
                <w:b/>
              </w:rPr>
              <w:lastRenderedPageBreak/>
              <w:t>Excepciones propuestas:</w:t>
            </w:r>
          </w:p>
        </w:tc>
        <w:tc>
          <w:tcPr>
            <w:tcW w:w="5423" w:type="dxa"/>
          </w:tcPr>
          <w:p w14:paraId="32D5DAB4" w14:textId="6F78732E" w:rsidR="00003428" w:rsidRDefault="00003428" w:rsidP="00003428">
            <w:pPr>
              <w:jc w:val="both"/>
              <w:rPr>
                <w:rFonts w:asciiTheme="minorHAnsi" w:hAnsiTheme="minorHAnsi" w:cstheme="minorBidi"/>
              </w:rPr>
            </w:pPr>
            <w:r w:rsidRPr="357EB3F4">
              <w:rPr>
                <w:rFonts w:asciiTheme="minorHAnsi" w:hAnsiTheme="minorHAnsi" w:cstheme="minorBidi"/>
              </w:rPr>
              <w:t>EXCEPCIONES DE FONDO FRENTE A LA DEMANDA:</w:t>
            </w:r>
          </w:p>
          <w:p w14:paraId="500322FA" w14:textId="1713A407" w:rsidR="00003428" w:rsidRDefault="00003428" w:rsidP="00003428">
            <w:pPr>
              <w:pStyle w:val="Prrafodelista"/>
              <w:numPr>
                <w:ilvl w:val="0"/>
                <w:numId w:val="3"/>
              </w:numPr>
              <w:jc w:val="both"/>
            </w:pPr>
            <w:r>
              <w:t>Inexistencia de medios de prueba que permitan endilgar responsabilidad civil en cabeza de los demandados.</w:t>
            </w:r>
          </w:p>
          <w:p w14:paraId="01AC44FE" w14:textId="73BE78FA" w:rsidR="00003428" w:rsidRDefault="00003428" w:rsidP="00003428">
            <w:pPr>
              <w:pStyle w:val="Prrafodelista"/>
              <w:numPr>
                <w:ilvl w:val="0"/>
                <w:numId w:val="3"/>
              </w:numPr>
              <w:jc w:val="both"/>
            </w:pPr>
            <w:r>
              <w:t>Inexistencia de responsabilidad por la no acreditación del nexo causal.</w:t>
            </w:r>
          </w:p>
          <w:p w14:paraId="5488AA77" w14:textId="6E720ECF" w:rsidR="00003428" w:rsidRDefault="00003428" w:rsidP="00003428">
            <w:pPr>
              <w:pStyle w:val="Prrafodelista"/>
              <w:numPr>
                <w:ilvl w:val="0"/>
                <w:numId w:val="3"/>
              </w:numPr>
              <w:jc w:val="both"/>
            </w:pPr>
            <w:r>
              <w:t>El régimen de responsabilidad aplicable a este particular es el de la culpa probada.</w:t>
            </w:r>
          </w:p>
          <w:p w14:paraId="30795204" w14:textId="612B2B32" w:rsidR="00003428" w:rsidRDefault="00003428" w:rsidP="00003428">
            <w:pPr>
              <w:pStyle w:val="Prrafodelista"/>
              <w:numPr>
                <w:ilvl w:val="0"/>
                <w:numId w:val="3"/>
              </w:numPr>
              <w:jc w:val="both"/>
            </w:pPr>
            <w:r>
              <w:t>Reducción de la indemnización en atención a la concurrencia de culpas.</w:t>
            </w:r>
          </w:p>
          <w:p w14:paraId="3B28141C" w14:textId="3613484D" w:rsidR="00003428" w:rsidRDefault="00003428" w:rsidP="00003428">
            <w:pPr>
              <w:pStyle w:val="Prrafodelista"/>
              <w:numPr>
                <w:ilvl w:val="0"/>
                <w:numId w:val="3"/>
              </w:numPr>
              <w:jc w:val="both"/>
            </w:pPr>
            <w:r>
              <w:t>Tasación indebida e injustificada de los perjuicios morales referidos por la accionante.</w:t>
            </w:r>
          </w:p>
          <w:p w14:paraId="25DF779C" w14:textId="7B6FD772" w:rsidR="00003428" w:rsidRDefault="00003428" w:rsidP="00003428">
            <w:pPr>
              <w:pStyle w:val="Prrafodelista"/>
              <w:numPr>
                <w:ilvl w:val="0"/>
                <w:numId w:val="3"/>
              </w:numPr>
              <w:jc w:val="both"/>
            </w:pPr>
            <w:r>
              <w:t>Improcedencia y tasación excesiva del perjuicio denominado daño a la salud.</w:t>
            </w:r>
          </w:p>
          <w:p w14:paraId="2091085D" w14:textId="51CF0E50" w:rsidR="00003428" w:rsidRDefault="00003428" w:rsidP="00003428">
            <w:pPr>
              <w:pStyle w:val="Prrafodelista"/>
              <w:numPr>
                <w:ilvl w:val="0"/>
                <w:numId w:val="3"/>
              </w:numPr>
              <w:jc w:val="both"/>
            </w:pPr>
            <w:r>
              <w:t>Improcedencia, falta de medio de prueba e indebida cuantificación del supuesto lucro cesante que pretende la demandante.</w:t>
            </w:r>
          </w:p>
          <w:p w14:paraId="6021E94E" w14:textId="3153A3E3" w:rsidR="00003428" w:rsidRDefault="00003428" w:rsidP="00003428">
            <w:pPr>
              <w:pStyle w:val="Prrafodelista"/>
              <w:numPr>
                <w:ilvl w:val="0"/>
                <w:numId w:val="3"/>
              </w:numPr>
              <w:jc w:val="both"/>
            </w:pPr>
            <w:r>
              <w:t>Genérica o innominada y otras.</w:t>
            </w:r>
          </w:p>
          <w:p w14:paraId="3D5DE497" w14:textId="77777777" w:rsidR="00003428" w:rsidRPr="000B7A27" w:rsidRDefault="00003428" w:rsidP="00003428">
            <w:pPr>
              <w:jc w:val="both"/>
              <w:rPr>
                <w:rFonts w:asciiTheme="minorHAnsi" w:hAnsiTheme="minorHAnsi" w:cstheme="minorHAnsi"/>
                <w:b/>
              </w:rPr>
            </w:pPr>
          </w:p>
          <w:p w14:paraId="500322FD" w14:textId="7BC4C1F7" w:rsidR="00003428" w:rsidRDefault="00003428" w:rsidP="00003428">
            <w:pPr>
              <w:jc w:val="both"/>
              <w:rPr>
                <w:rFonts w:asciiTheme="minorHAnsi" w:hAnsiTheme="minorHAnsi" w:cstheme="minorBidi"/>
              </w:rPr>
            </w:pPr>
            <w:r w:rsidRPr="357EB3F4">
              <w:rPr>
                <w:rFonts w:asciiTheme="minorHAnsi" w:hAnsiTheme="minorHAnsi" w:cstheme="minorBidi"/>
              </w:rPr>
              <w:t>EXCEPCIONES FRENTE AL LLAMAMIENTO EN GARANTÍA:</w:t>
            </w:r>
          </w:p>
          <w:p w14:paraId="4F06D9C5" w14:textId="77777777" w:rsidR="00003428" w:rsidRDefault="00003428" w:rsidP="00003428">
            <w:pPr>
              <w:jc w:val="both"/>
              <w:rPr>
                <w:rFonts w:asciiTheme="minorHAnsi" w:hAnsiTheme="minorHAnsi" w:cstheme="minorBidi"/>
              </w:rPr>
            </w:pPr>
          </w:p>
          <w:p w14:paraId="54DD4616" w14:textId="1A64B7C2" w:rsidR="00003428" w:rsidRPr="008F1D86" w:rsidRDefault="00003428" w:rsidP="00003428">
            <w:pPr>
              <w:pStyle w:val="Prrafodelista"/>
              <w:numPr>
                <w:ilvl w:val="0"/>
                <w:numId w:val="4"/>
              </w:numPr>
              <w:jc w:val="both"/>
              <w:rPr>
                <w:rFonts w:asciiTheme="minorHAnsi" w:hAnsiTheme="minorHAnsi" w:cstheme="minorHAnsi"/>
              </w:rPr>
            </w:pPr>
            <w:r>
              <w:t>Inexistencia de obligación de indemnizar a cargo de Liberty seguros s.a. debido a que no se ha realizado el riesgo asegurado.</w:t>
            </w:r>
          </w:p>
          <w:p w14:paraId="18DA6651" w14:textId="48F8CBC1" w:rsidR="00003428" w:rsidRPr="008F1D86" w:rsidRDefault="00003428" w:rsidP="00003428">
            <w:pPr>
              <w:pStyle w:val="Prrafodelista"/>
              <w:numPr>
                <w:ilvl w:val="0"/>
                <w:numId w:val="4"/>
              </w:numPr>
              <w:jc w:val="both"/>
              <w:rPr>
                <w:rFonts w:asciiTheme="minorHAnsi" w:hAnsiTheme="minorHAnsi" w:cstheme="minorHAnsi"/>
              </w:rPr>
            </w:pPr>
            <w:r>
              <w:t>Inexistencia de solidaridad - imposibilidad de atribuir responsabilidad civil extracontractual en cabeza de Liberty seguros s.a</w:t>
            </w:r>
          </w:p>
          <w:p w14:paraId="4D7E7EC6" w14:textId="65AB6A39" w:rsidR="00003428" w:rsidRPr="008F1D86" w:rsidRDefault="00003428" w:rsidP="00003428">
            <w:pPr>
              <w:pStyle w:val="Prrafodelista"/>
              <w:numPr>
                <w:ilvl w:val="0"/>
                <w:numId w:val="4"/>
              </w:numPr>
              <w:jc w:val="both"/>
              <w:rPr>
                <w:rFonts w:asciiTheme="minorHAnsi" w:hAnsiTheme="minorHAnsi" w:cstheme="minorHAnsi"/>
              </w:rPr>
            </w:pPr>
            <w:r>
              <w:t>El seguro contenido en la póliza no. 7042191, emitida por Liberty seguros s.a., es de carácter meramente indemnizatorio.</w:t>
            </w:r>
          </w:p>
          <w:p w14:paraId="25E1CC1C" w14:textId="3FE26BC8" w:rsidR="00003428" w:rsidRPr="008F1D86" w:rsidRDefault="00003428" w:rsidP="00003428">
            <w:pPr>
              <w:pStyle w:val="Prrafodelista"/>
              <w:numPr>
                <w:ilvl w:val="0"/>
                <w:numId w:val="4"/>
              </w:numPr>
              <w:jc w:val="both"/>
              <w:rPr>
                <w:rFonts w:asciiTheme="minorHAnsi" w:hAnsiTheme="minorHAnsi" w:cstheme="minorHAnsi"/>
              </w:rPr>
            </w:pPr>
            <w:r>
              <w:t xml:space="preserve"> límite asegurado de la póliza de automóviles no. 7042191, emitida por Liberty seguros s.a.</w:t>
            </w:r>
          </w:p>
          <w:p w14:paraId="02ABB209" w14:textId="7C7F5CB8" w:rsidR="00003428" w:rsidRPr="008F1D86" w:rsidRDefault="00003428" w:rsidP="00003428">
            <w:pPr>
              <w:pStyle w:val="Prrafodelista"/>
              <w:numPr>
                <w:ilvl w:val="0"/>
                <w:numId w:val="4"/>
              </w:numPr>
              <w:jc w:val="both"/>
              <w:rPr>
                <w:rFonts w:asciiTheme="minorHAnsi" w:hAnsiTheme="minorHAnsi" w:cstheme="minorHAnsi"/>
              </w:rPr>
            </w:pPr>
            <w:r>
              <w:t>Riesgos expresamente excluidos en la póliza no. 7942191 emitida por la compañía Liberty seguros s.a.</w:t>
            </w:r>
          </w:p>
          <w:p w14:paraId="773887F8" w14:textId="674A5AF8" w:rsidR="00003428" w:rsidRPr="008F1D86" w:rsidRDefault="00003428" w:rsidP="00003428">
            <w:pPr>
              <w:pStyle w:val="Prrafodelista"/>
              <w:numPr>
                <w:ilvl w:val="0"/>
                <w:numId w:val="4"/>
              </w:numPr>
              <w:jc w:val="both"/>
              <w:rPr>
                <w:rFonts w:asciiTheme="minorHAnsi" w:hAnsiTheme="minorHAnsi" w:cstheme="minorHAnsi"/>
              </w:rPr>
            </w:pPr>
            <w:r>
              <w:t>En cualquier caso, de ninguna forma se podrá exceder el límite del valor asegurado en la póliza no. 7042191 emitida por Liberty seguros s.a.</w:t>
            </w:r>
          </w:p>
          <w:p w14:paraId="600596EA" w14:textId="1063582D" w:rsidR="00003428" w:rsidRPr="008F1D86" w:rsidRDefault="00003428" w:rsidP="00003428">
            <w:pPr>
              <w:pStyle w:val="Prrafodelista"/>
              <w:numPr>
                <w:ilvl w:val="0"/>
                <w:numId w:val="4"/>
              </w:numPr>
              <w:jc w:val="both"/>
              <w:rPr>
                <w:rFonts w:asciiTheme="minorHAnsi" w:hAnsiTheme="minorHAnsi" w:cstheme="minorHAnsi"/>
              </w:rPr>
            </w:pPr>
            <w:r>
              <w:t>Riesgos expresamente excluidos en la póliza de automóviles no. 7042191 emitida por Liberty seguros s.a.</w:t>
            </w:r>
          </w:p>
          <w:p w14:paraId="500322FF" w14:textId="49EC9FBB" w:rsidR="00003428" w:rsidRPr="008F1D86" w:rsidRDefault="00003428" w:rsidP="00003428">
            <w:pPr>
              <w:pStyle w:val="Prrafodelista"/>
              <w:numPr>
                <w:ilvl w:val="0"/>
                <w:numId w:val="4"/>
              </w:numPr>
              <w:jc w:val="both"/>
              <w:rPr>
                <w:rFonts w:asciiTheme="minorHAnsi" w:hAnsiTheme="minorHAnsi" w:cstheme="minorHAnsi"/>
              </w:rPr>
            </w:pPr>
            <w:r>
              <w:t>Genérica o innominada.</w:t>
            </w:r>
          </w:p>
        </w:tc>
      </w:tr>
      <w:tr w:rsidR="00003428" w:rsidRPr="000B7A27" w14:paraId="50032303" w14:textId="77777777" w:rsidTr="00003428">
        <w:tc>
          <w:tcPr>
            <w:tcW w:w="4111" w:type="dxa"/>
            <w:shd w:val="clear" w:color="auto" w:fill="D9D9D9" w:themeFill="background1" w:themeFillShade="D9"/>
          </w:tcPr>
          <w:p w14:paraId="50032301" w14:textId="0FD9A8A9" w:rsidR="00003428" w:rsidRPr="000B7A27" w:rsidRDefault="00003428" w:rsidP="00003428">
            <w:pPr>
              <w:rPr>
                <w:rFonts w:asciiTheme="minorHAnsi" w:hAnsiTheme="minorHAnsi" w:cstheme="minorHAnsi"/>
                <w:b/>
              </w:rPr>
            </w:pPr>
            <w:r w:rsidRPr="000B7A27">
              <w:rPr>
                <w:rFonts w:asciiTheme="minorHAnsi" w:hAnsiTheme="minorHAnsi" w:cstheme="minorHAnsi"/>
                <w:b/>
              </w:rPr>
              <w:lastRenderedPageBreak/>
              <w:t>Concepto del abogado sobre la posibilidad de conciliar el caso y valor de una propuesta conciliatoria:</w:t>
            </w:r>
          </w:p>
        </w:tc>
        <w:tc>
          <w:tcPr>
            <w:tcW w:w="5423" w:type="dxa"/>
          </w:tcPr>
          <w:p w14:paraId="50032302" w14:textId="072D327D" w:rsidR="00003428" w:rsidRPr="000B7A27" w:rsidRDefault="004027B5" w:rsidP="004027B5">
            <w:pPr>
              <w:jc w:val="both"/>
              <w:rPr>
                <w:rFonts w:asciiTheme="minorHAnsi" w:hAnsiTheme="minorHAnsi" w:cstheme="minorHAnsi"/>
                <w:b/>
              </w:rPr>
            </w:pPr>
            <w:r>
              <w:rPr>
                <w:rFonts w:asciiTheme="minorHAnsi" w:hAnsiTheme="minorHAnsi" w:cstheme="minorHAnsi"/>
                <w:b/>
              </w:rPr>
              <w:t>Se sugiere conciliar el asunto, por la suma de $25.000.000.</w:t>
            </w:r>
            <w:bookmarkStart w:id="0" w:name="_GoBack"/>
            <w:bookmarkEnd w:id="0"/>
          </w:p>
        </w:tc>
      </w:tr>
    </w:tbl>
    <w:p w14:paraId="50032304" w14:textId="77777777" w:rsidR="0057097F" w:rsidRPr="000B7A27" w:rsidRDefault="0057097F">
      <w:pPr>
        <w:rPr>
          <w:rFonts w:asciiTheme="minorHAnsi" w:hAnsiTheme="minorHAnsi" w:cstheme="minorHAnsi"/>
          <w:b/>
        </w:rPr>
      </w:pPr>
    </w:p>
    <w:p w14:paraId="50032305" w14:textId="77777777" w:rsidR="0057097F" w:rsidRPr="000B7A27" w:rsidRDefault="0057097F">
      <w:pPr>
        <w:rPr>
          <w:rFonts w:asciiTheme="minorHAnsi" w:hAnsiTheme="minorHAnsi" w:cstheme="minorHAnsi"/>
          <w:b/>
        </w:rPr>
      </w:pPr>
    </w:p>
    <w:p w14:paraId="50032306" w14:textId="77777777" w:rsidR="0057097F" w:rsidRPr="000B7A27" w:rsidRDefault="000B7A27" w:rsidP="00003428">
      <w:pPr>
        <w:jc w:val="center"/>
        <w:rPr>
          <w:rFonts w:asciiTheme="minorHAnsi" w:hAnsiTheme="minorHAnsi" w:cstheme="minorHAnsi"/>
          <w:b/>
        </w:rPr>
      </w:pPr>
      <w:r w:rsidRPr="000B7A27">
        <w:rPr>
          <w:rFonts w:asciiTheme="minorHAnsi" w:hAnsiTheme="minorHAnsi" w:cstheme="minorHAnsi"/>
          <w:b/>
        </w:rPr>
        <w:t>INFORMACIÓN PARA LA AUDIENCIA DE CONCILIACIÓN:</w:t>
      </w:r>
    </w:p>
    <w:tbl>
      <w:tblPr>
        <w:tblStyle w:val="a0"/>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4"/>
        <w:gridCol w:w="4414"/>
      </w:tblGrid>
      <w:tr w:rsidR="0057097F" w:rsidRPr="000B7A27" w14:paraId="50032309" w14:textId="77777777">
        <w:trPr>
          <w:trHeight w:val="238"/>
        </w:trPr>
        <w:tc>
          <w:tcPr>
            <w:tcW w:w="4414" w:type="dxa"/>
            <w:shd w:val="clear" w:color="auto" w:fill="D9D9D9"/>
          </w:tcPr>
          <w:p w14:paraId="50032307" w14:textId="77777777" w:rsidR="0057097F" w:rsidRPr="000B7A27" w:rsidRDefault="000B7A27">
            <w:pPr>
              <w:rPr>
                <w:rFonts w:asciiTheme="minorHAnsi" w:hAnsiTheme="minorHAnsi" w:cstheme="minorHAnsi"/>
                <w:b/>
              </w:rPr>
            </w:pPr>
            <w:r w:rsidRPr="000B7A27">
              <w:rPr>
                <w:rFonts w:asciiTheme="minorHAnsi" w:hAnsiTheme="minorHAnsi" w:cstheme="minorHAnsi"/>
                <w:b/>
              </w:rPr>
              <w:t>Fecha y hora de la diligencia:</w:t>
            </w:r>
          </w:p>
        </w:tc>
        <w:tc>
          <w:tcPr>
            <w:tcW w:w="4414" w:type="dxa"/>
          </w:tcPr>
          <w:p w14:paraId="50032308" w14:textId="77777777" w:rsidR="0057097F" w:rsidRPr="000B7A27" w:rsidRDefault="0057097F">
            <w:pPr>
              <w:rPr>
                <w:rFonts w:asciiTheme="minorHAnsi" w:hAnsiTheme="minorHAnsi" w:cstheme="minorHAnsi"/>
                <w:b/>
              </w:rPr>
            </w:pPr>
          </w:p>
        </w:tc>
      </w:tr>
      <w:tr w:rsidR="0057097F" w:rsidRPr="000B7A27" w14:paraId="5003230C" w14:textId="77777777">
        <w:tc>
          <w:tcPr>
            <w:tcW w:w="4414" w:type="dxa"/>
            <w:shd w:val="clear" w:color="auto" w:fill="D9D9D9"/>
          </w:tcPr>
          <w:p w14:paraId="5003230A" w14:textId="77777777" w:rsidR="0057097F" w:rsidRPr="000B7A27" w:rsidRDefault="000B7A27">
            <w:pPr>
              <w:rPr>
                <w:rFonts w:asciiTheme="minorHAnsi" w:hAnsiTheme="minorHAnsi" w:cstheme="minorHAnsi"/>
                <w:b/>
              </w:rPr>
            </w:pPr>
            <w:r w:rsidRPr="000B7A27">
              <w:rPr>
                <w:rFonts w:asciiTheme="minorHAnsi" w:hAnsiTheme="minorHAnsi" w:cstheme="minorHAnsi"/>
                <w:b/>
              </w:rPr>
              <w:t>Síntesis de los argumentos de la Compañía:</w:t>
            </w:r>
          </w:p>
        </w:tc>
        <w:tc>
          <w:tcPr>
            <w:tcW w:w="4414" w:type="dxa"/>
          </w:tcPr>
          <w:p w14:paraId="5003230B" w14:textId="77777777" w:rsidR="0057097F" w:rsidRPr="000B7A27" w:rsidRDefault="0057097F">
            <w:pPr>
              <w:pBdr>
                <w:top w:val="nil"/>
                <w:left w:val="nil"/>
                <w:bottom w:val="nil"/>
                <w:right w:val="nil"/>
                <w:between w:val="nil"/>
              </w:pBdr>
              <w:spacing w:after="160" w:line="259" w:lineRule="auto"/>
              <w:ind w:left="720"/>
              <w:jc w:val="both"/>
              <w:rPr>
                <w:rFonts w:asciiTheme="minorHAnsi" w:hAnsiTheme="minorHAnsi" w:cstheme="minorHAnsi"/>
                <w:color w:val="000000"/>
              </w:rPr>
            </w:pPr>
          </w:p>
        </w:tc>
      </w:tr>
      <w:tr w:rsidR="0057097F" w:rsidRPr="000B7A27" w14:paraId="5003230F" w14:textId="77777777">
        <w:tc>
          <w:tcPr>
            <w:tcW w:w="4414" w:type="dxa"/>
            <w:shd w:val="clear" w:color="auto" w:fill="D9D9D9"/>
          </w:tcPr>
          <w:p w14:paraId="5003230D" w14:textId="77777777" w:rsidR="0057097F" w:rsidRPr="000B7A27" w:rsidRDefault="000B7A27">
            <w:pPr>
              <w:rPr>
                <w:rFonts w:asciiTheme="minorHAnsi" w:hAnsiTheme="minorHAnsi" w:cstheme="minorHAnsi"/>
                <w:b/>
              </w:rPr>
            </w:pPr>
            <w:r w:rsidRPr="000B7A27">
              <w:rPr>
                <w:rFonts w:asciiTheme="minorHAnsi" w:hAnsiTheme="minorHAnsi" w:cstheme="minorHAnsi"/>
                <w:b/>
              </w:rPr>
              <w:t>Recomendaciones para la diligencia:</w:t>
            </w:r>
          </w:p>
        </w:tc>
        <w:tc>
          <w:tcPr>
            <w:tcW w:w="4414" w:type="dxa"/>
          </w:tcPr>
          <w:p w14:paraId="5003230E" w14:textId="77777777" w:rsidR="0057097F" w:rsidRPr="000B7A27" w:rsidRDefault="0057097F">
            <w:pPr>
              <w:jc w:val="both"/>
              <w:rPr>
                <w:rFonts w:asciiTheme="minorHAnsi" w:hAnsiTheme="minorHAnsi" w:cstheme="minorHAnsi"/>
              </w:rPr>
            </w:pPr>
          </w:p>
        </w:tc>
      </w:tr>
    </w:tbl>
    <w:p w14:paraId="50032310" w14:textId="77777777" w:rsidR="0057097F" w:rsidRPr="000B7A27" w:rsidRDefault="0057097F">
      <w:pPr>
        <w:rPr>
          <w:rFonts w:asciiTheme="minorHAnsi" w:hAnsiTheme="minorHAnsi" w:cstheme="minorHAnsi"/>
          <w:b/>
        </w:rPr>
      </w:pPr>
    </w:p>
    <w:sectPr w:rsidR="0057097F" w:rsidRPr="000B7A27">
      <w:headerReference w:type="even" r:id="rId11"/>
      <w:headerReference w:type="default" r:id="rId12"/>
      <w:footerReference w:type="even" r:id="rId13"/>
      <w:footerReference w:type="default" r:id="rId14"/>
      <w:headerReference w:type="first" r:id="rId15"/>
      <w:footerReference w:type="first" r:id="rId16"/>
      <w:pgSz w:w="12240" w:h="15840"/>
      <w:pgMar w:top="1417" w:right="1701" w:bottom="1417" w:left="1701" w:header="708" w:footer="708"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A6EC2D" w14:textId="77777777" w:rsidR="00834274" w:rsidRDefault="00834274">
      <w:pPr>
        <w:spacing w:after="0" w:line="240" w:lineRule="auto"/>
      </w:pPr>
      <w:r>
        <w:separator/>
      </w:r>
    </w:p>
  </w:endnote>
  <w:endnote w:type="continuationSeparator" w:id="0">
    <w:p w14:paraId="342940D5" w14:textId="77777777" w:rsidR="00834274" w:rsidRDefault="008342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032313" w14:textId="77777777" w:rsidR="0057097F" w:rsidRDefault="0057097F">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032314" w14:textId="77777777" w:rsidR="0057097F" w:rsidRDefault="0057097F">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032316" w14:textId="77777777" w:rsidR="0057097F" w:rsidRDefault="0057097F">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01F423" w14:textId="77777777" w:rsidR="00834274" w:rsidRDefault="00834274">
      <w:pPr>
        <w:spacing w:after="0" w:line="240" w:lineRule="auto"/>
      </w:pPr>
      <w:r>
        <w:separator/>
      </w:r>
    </w:p>
  </w:footnote>
  <w:footnote w:type="continuationSeparator" w:id="0">
    <w:p w14:paraId="4E282E4F" w14:textId="77777777" w:rsidR="00834274" w:rsidRDefault="008342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032311" w14:textId="77777777" w:rsidR="0057097F" w:rsidRDefault="0057097F">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032312" w14:textId="77777777" w:rsidR="0057097F" w:rsidRDefault="0057097F">
    <w:pPr>
      <w:pBdr>
        <w:top w:val="nil"/>
        <w:left w:val="nil"/>
        <w:bottom w:val="nil"/>
        <w:right w:val="nil"/>
        <w:between w:val="nil"/>
      </w:pBdr>
      <w:tabs>
        <w:tab w:val="center" w:pos="4419"/>
        <w:tab w:val="right" w:pos="8838"/>
      </w:tabs>
      <w:spacing w:after="0" w:line="240" w:lineRule="auto"/>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032315" w14:textId="77777777" w:rsidR="0057097F" w:rsidRDefault="0057097F">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9F2A5B"/>
    <w:multiLevelType w:val="hybridMultilevel"/>
    <w:tmpl w:val="407EB6B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12602E43"/>
    <w:multiLevelType w:val="hybridMultilevel"/>
    <w:tmpl w:val="5D782A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C55E72"/>
    <w:multiLevelType w:val="hybridMultilevel"/>
    <w:tmpl w:val="A45CD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8513776"/>
    <w:multiLevelType w:val="hybridMultilevel"/>
    <w:tmpl w:val="F38A81D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6B810648"/>
    <w:multiLevelType w:val="hybridMultilevel"/>
    <w:tmpl w:val="81EE0B30"/>
    <w:lvl w:ilvl="0" w:tplc="1FF674F0">
      <w:start w:val="1"/>
      <w:numFmt w:val="decimal"/>
      <w:lvlText w:val="%1."/>
      <w:lvlJc w:val="left"/>
      <w:pPr>
        <w:ind w:left="720" w:hanging="360"/>
      </w:pPr>
      <w:rPr>
        <w:rFonts w:cstheme="minorBidi"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97F"/>
    <w:rsid w:val="00003428"/>
    <w:rsid w:val="00085788"/>
    <w:rsid w:val="000B7A27"/>
    <w:rsid w:val="001640A8"/>
    <w:rsid w:val="001F359F"/>
    <w:rsid w:val="00276804"/>
    <w:rsid w:val="002D26AF"/>
    <w:rsid w:val="003A779E"/>
    <w:rsid w:val="004027B5"/>
    <w:rsid w:val="0057097F"/>
    <w:rsid w:val="00575FF5"/>
    <w:rsid w:val="005A4426"/>
    <w:rsid w:val="00662E96"/>
    <w:rsid w:val="00723309"/>
    <w:rsid w:val="00834274"/>
    <w:rsid w:val="008F1D86"/>
    <w:rsid w:val="00946FE7"/>
    <w:rsid w:val="00954E15"/>
    <w:rsid w:val="00AB61A5"/>
    <w:rsid w:val="00B4455B"/>
    <w:rsid w:val="00EF6968"/>
    <w:rsid w:val="00F17FE6"/>
    <w:rsid w:val="00F264AF"/>
    <w:rsid w:val="00F92DA8"/>
    <w:rsid w:val="00FB63FF"/>
    <w:rsid w:val="0BAEC5E2"/>
    <w:rsid w:val="357EB3F4"/>
    <w:rsid w:val="581B405C"/>
    <w:rsid w:val="61A8FA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322BB"/>
  <w15:docId w15:val="{8209F675-AF01-42B7-AC89-68E162901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uesto">
    <w:name w:val="Title"/>
    <w:basedOn w:val="Normal"/>
    <w:next w:val="Normal"/>
    <w:uiPriority w:val="10"/>
    <w:qFormat/>
    <w:pPr>
      <w:keepNext/>
      <w:keepLines/>
      <w:spacing w:before="480" w:after="120"/>
    </w:pPr>
    <w:rPr>
      <w:b/>
      <w:sz w:val="72"/>
      <w:szCs w:val="72"/>
    </w:rPr>
  </w:style>
  <w:style w:type="table" w:styleId="Tablaconcuadrcula">
    <w:name w:val="Table Grid"/>
    <w:basedOn w:val="Tablanormal"/>
    <w:uiPriority w:val="39"/>
    <w:rsid w:val="00C44E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11071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0714"/>
  </w:style>
  <w:style w:type="paragraph" w:styleId="Piedepgina">
    <w:name w:val="footer"/>
    <w:basedOn w:val="Normal"/>
    <w:link w:val="PiedepginaCar"/>
    <w:uiPriority w:val="99"/>
    <w:unhideWhenUsed/>
    <w:rsid w:val="0011071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0714"/>
  </w:style>
  <w:style w:type="paragraph" w:styleId="Prrafodelista">
    <w:name w:val="List Paragraph"/>
    <w:basedOn w:val="Normal"/>
    <w:uiPriority w:val="34"/>
    <w:qFormat/>
    <w:rsid w:val="00D807C9"/>
    <w:pPr>
      <w:ind w:left="720"/>
      <w:contextualSpacing/>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a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anormal"/>
    <w:pPr>
      <w:spacing w:after="0" w:line="240" w:lineRule="auto"/>
    </w:pPr>
    <w:tblPr>
      <w:tblStyleRowBandSize w:val="1"/>
      <w:tblStyleColBandSize w:val="1"/>
      <w:tblInd w:w="0" w:type="dxa"/>
      <w:tblCellMar>
        <w:top w:w="0" w:type="dxa"/>
        <w:left w:w="108" w:type="dxa"/>
        <w:bottom w:w="0" w:type="dxa"/>
        <w:right w:w="108" w:type="dxa"/>
      </w:tblCellMar>
    </w:tblPr>
  </w:style>
  <w:style w:type="paragraph" w:styleId="NormalWeb">
    <w:name w:val="Normal (Web)"/>
    <w:basedOn w:val="Normal"/>
    <w:uiPriority w:val="99"/>
    <w:unhideWhenUsed/>
    <w:rsid w:val="00575FF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xxcontentpasted0">
    <w:name w:val="x_x_contentpasted0"/>
    <w:basedOn w:val="Fuentedeprrafopredeter"/>
    <w:rsid w:val="00575FF5"/>
  </w:style>
  <w:style w:type="character" w:customStyle="1" w:styleId="xxcontentpasted2">
    <w:name w:val="x_x_contentpasted2"/>
    <w:basedOn w:val="Fuentedeprrafopredeter"/>
    <w:rsid w:val="00575F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2C92A54D8AB3014FADD0201C99992F62" ma:contentTypeVersion="7" ma:contentTypeDescription="Crear nuevo documento." ma:contentTypeScope="" ma:versionID="9ed070f333dae9c408cc1c9418ec3283">
  <xsd:schema xmlns:xsd="http://www.w3.org/2001/XMLSchema" xmlns:xs="http://www.w3.org/2001/XMLSchema" xmlns:p="http://schemas.microsoft.com/office/2006/metadata/properties" xmlns:ns2="4382931b-6036-484b-ad41-6810b26eb986" xmlns:ns3="e7d3d6e7-89cb-4750-b948-5e984f176bb6" targetNamespace="http://schemas.microsoft.com/office/2006/metadata/properties" ma:root="true" ma:fieldsID="9ad137e19e70d4b2fc751bff472bdfb4" ns2:_="" ns3:_="">
    <xsd:import namespace="4382931b-6036-484b-ad41-6810b26eb986"/>
    <xsd:import namespace="e7d3d6e7-89cb-4750-b948-5e984f176b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2931b-6036-484b-ad41-6810b26eb9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d3d6e7-89cb-4750-b948-5e984f176bb6"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go:docsCustomData xmlns:go="http://customooxmlschemas.google.com/" roundtripDataSignature="AMtx7mgPEUXHpEkv6iNTPmMNv4mUtGELTw==">AMUW2mXw6yEd+9jWibgHWl34ppno8nsJ/6Dwq+AtQPE9U9XoSaUr6pNgv0IAKB/5tTZmXD6xK5H6AEJ5QRToCpORh+NvibipJpHI24CTVTCo2fCevPH7Y0Q=</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03193A6-A634-4AEC-AC5B-53D853CD926C}">
  <ds:schemaRefs>
    <ds:schemaRef ds:uri="http://schemas.microsoft.com/sharepoint/v3/contenttype/forms"/>
  </ds:schemaRefs>
</ds:datastoreItem>
</file>

<file path=customXml/itemProps2.xml><?xml version="1.0" encoding="utf-8"?>
<ds:datastoreItem xmlns:ds="http://schemas.openxmlformats.org/officeDocument/2006/customXml" ds:itemID="{C212F200-73FE-4B90-BAA0-3F797E26E2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2931b-6036-484b-ad41-6810b26eb986"/>
    <ds:schemaRef ds:uri="e7d3d6e7-89cb-4750-b948-5e984f176b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AC6CB8E5-BB9B-4117-BCB0-976133B7969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1630</Words>
  <Characters>8969</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Mejia Guzman, Katy (Colombia)</dc:creator>
  <cp:lastModifiedBy>CABICHE</cp:lastModifiedBy>
  <cp:revision>3</cp:revision>
  <cp:lastPrinted>2023-02-19T22:55:00Z</cp:lastPrinted>
  <dcterms:created xsi:type="dcterms:W3CDTF">2023-11-23T14:32:00Z</dcterms:created>
  <dcterms:modified xsi:type="dcterms:W3CDTF">2023-11-23T15:10:00Z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50dc07d3-189a-455e-8b7f-dc2fa8e5d363</vt:lpwstr>
  </property>
  <property fmtid="{D5CDD505-2E9C-101B-9397-08002B2CF9AE}" pid="3" name="Clasificaciones">
    <vt:lpwstr>INTERNA</vt:lpwstr>
  </property>
  <property fmtid="{D5CDD505-2E9C-101B-9397-08002B2CF9AE}" pid="4" name="ContentTypeId">
    <vt:lpwstr>0x0101002C92A54D8AB3014FADD0201C99992F62</vt:lpwstr>
  </property>
</Properties>
</file>