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C4" w:rsidRDefault="009966C4" w:rsidP="001C43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REPÚBLICA DE COLOMBIA</w:t>
      </w:r>
    </w:p>
    <w:p w:rsidR="009966C4" w:rsidRDefault="009966C4" w:rsidP="001C43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RAMA JUDICIAL</w:t>
      </w:r>
    </w:p>
    <w:p w:rsidR="009966C4" w:rsidRDefault="009966C4" w:rsidP="001C43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TRIBUNAL SUPERIOR DEL DISTRITO JUDICIAL DE BOGOTÁ</w:t>
      </w:r>
    </w:p>
    <w:p w:rsidR="009966C4" w:rsidRDefault="009966C4" w:rsidP="001C43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SALA DE DECISIÓN LABORAL</w:t>
      </w:r>
    </w:p>
    <w:p w:rsidR="009966C4" w:rsidRDefault="009966C4" w:rsidP="001C431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MAGISTRADA PONENTE: ELCY JIMENA VALENCIA CASTRILLÓN</w:t>
      </w:r>
    </w:p>
    <w:p w:rsidR="001C4313" w:rsidRDefault="001C4313" w:rsidP="0099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611A3" w:rsidRDefault="00E611A3" w:rsidP="0099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PROCESO: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Ordinario Laboral</w:t>
      </w: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RADICADO: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11001-31-05-031-2023-00168-01</w:t>
      </w: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DEMANDANTE: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LORENA HINCAPIÉ GALLEGO</w:t>
      </w: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DEMANDADO: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COLPENSIONES y OTROS</w:t>
      </w: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ASUNTO: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Apelación Auto 27 de julio de 2023</w:t>
      </w: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JUZGADO: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Juzgado Treinta y Uno (31) Laboral del Circuito de</w:t>
      </w:r>
    </w:p>
    <w:p w:rsidR="009966C4" w:rsidRDefault="001C4313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                    </w:t>
      </w:r>
      <w:r w:rsidR="009966C4">
        <w:rPr>
          <w:rFonts w:ascii="ArialMT" w:hAnsi="ArialMT" w:cs="ArialMT"/>
          <w:sz w:val="24"/>
          <w:szCs w:val="24"/>
        </w:rPr>
        <w:t>Bogotá</w:t>
      </w: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TEMA: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Llamamiento en garantía</w:t>
      </w:r>
    </w:p>
    <w:p w:rsidR="009966C4" w:rsidRDefault="009966C4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DECISIÓN: </w:t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 w:rsidR="001C4313">
        <w:rPr>
          <w:rFonts w:ascii="Arial-BoldMT" w:hAnsi="Arial-BoldMT" w:cs="Arial-BoldMT"/>
          <w:b/>
          <w:bCs/>
          <w:sz w:val="24"/>
          <w:szCs w:val="24"/>
        </w:rPr>
        <w:tab/>
      </w:r>
      <w:r>
        <w:rPr>
          <w:rFonts w:ascii="ArialMT" w:hAnsi="ArialMT" w:cs="ArialMT"/>
          <w:sz w:val="24"/>
          <w:szCs w:val="24"/>
        </w:rPr>
        <w:t>CONFIRMA</w:t>
      </w:r>
    </w:p>
    <w:p w:rsidR="00D4736A" w:rsidRDefault="00D4736A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4736A" w:rsidRDefault="00D4736A" w:rsidP="009966C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4736A" w:rsidRDefault="00D4736A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Hoy, treinta y uno (31) de octubre de dos mil veintitrés (2023), el Tribunal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Superior de Distrito Judicial de Bogotá, </w:t>
      </w:r>
      <w:r>
        <w:rPr>
          <w:rFonts w:ascii="Arial-BoldMT" w:hAnsi="Arial-BoldMT" w:cs="Arial-BoldMT"/>
          <w:b/>
          <w:bCs/>
          <w:sz w:val="24"/>
          <w:szCs w:val="24"/>
        </w:rPr>
        <w:t>SALA DE DECISIÓN LABORAL</w:t>
      </w:r>
      <w:r w:rsidR="00072B8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INTEGRADA </w:t>
      </w:r>
      <w:r>
        <w:rPr>
          <w:rFonts w:ascii="ArialMT" w:hAnsi="ArialMT" w:cs="ArialMT"/>
          <w:sz w:val="24"/>
          <w:szCs w:val="24"/>
        </w:rPr>
        <w:t xml:space="preserve">por los Magistrados </w:t>
      </w:r>
      <w:r>
        <w:rPr>
          <w:rFonts w:ascii="Arial-BoldMT" w:hAnsi="Arial-BoldMT" w:cs="Arial-BoldMT"/>
          <w:b/>
          <w:bCs/>
          <w:sz w:val="24"/>
          <w:szCs w:val="24"/>
        </w:rPr>
        <w:t>DIANA MARCELA CAMACHO FERNÁNDEZ,</w:t>
      </w:r>
      <w:r w:rsidR="00072B8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ÉDGAR RENDÓN LONDOÑO </w:t>
      </w:r>
      <w:r>
        <w:rPr>
          <w:rFonts w:ascii="ArialMT" w:hAnsi="ArialMT" w:cs="ArialMT"/>
          <w:sz w:val="24"/>
          <w:szCs w:val="24"/>
        </w:rPr>
        <w:t xml:space="preserve">y como Ponente, </w:t>
      </w:r>
      <w:r>
        <w:rPr>
          <w:rFonts w:ascii="Arial-BoldMT" w:hAnsi="Arial-BoldMT" w:cs="Arial-BoldMT"/>
          <w:b/>
          <w:bCs/>
          <w:sz w:val="24"/>
          <w:szCs w:val="24"/>
        </w:rPr>
        <w:t>ELCY JIMENA VALENCIA</w:t>
      </w:r>
      <w:r w:rsidR="00072B8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CASTRILLÓN</w:t>
      </w:r>
      <w:r>
        <w:rPr>
          <w:rFonts w:ascii="ArialMT" w:hAnsi="ArialMT" w:cs="ArialMT"/>
          <w:sz w:val="24"/>
          <w:szCs w:val="24"/>
        </w:rPr>
        <w:t>, se procede a proferir la decisión previamente aprobada por esta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Sala, en atención a lo previsto en el artículo 13 de la Ley 2213 de 2022, con el fin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resolver el recurso de apelación interpuesto por la demandada AFP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COLFONDOS S.A. en contra del Auto del 27 de julio de 2023, proferido por el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Juzgado Treinta y Uno (31) Laboral del Circuito de Bogotá, dentro del proceso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ordinario promovido por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LORENA HINCAPIÉ GALLEGO </w:t>
      </w:r>
      <w:r>
        <w:rPr>
          <w:rFonts w:ascii="ArialMT" w:hAnsi="ArialMT" w:cs="ArialMT"/>
          <w:sz w:val="24"/>
          <w:szCs w:val="24"/>
        </w:rPr>
        <w:t>contra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ADMINISTRADORA COLOMBIANA DE PENSIONES – COLPENSIONES </w:t>
      </w:r>
      <w:r>
        <w:rPr>
          <w:rFonts w:ascii="ArialMT" w:hAnsi="ArialMT" w:cs="ArialMT"/>
          <w:sz w:val="24"/>
          <w:szCs w:val="24"/>
        </w:rPr>
        <w:t>y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COLFONDOS S.A. PENSIONES Y CESANTÍAS </w:t>
      </w:r>
      <w:r>
        <w:rPr>
          <w:rFonts w:ascii="ArialMT" w:hAnsi="ArialMT" w:cs="ArialMT"/>
          <w:sz w:val="24"/>
          <w:szCs w:val="24"/>
        </w:rPr>
        <w:t>con radicado No</w:t>
      </w:r>
      <w:r>
        <w:rPr>
          <w:rFonts w:ascii="Arial-BoldMT" w:hAnsi="Arial-BoldMT" w:cs="Arial-BoldMT"/>
          <w:b/>
          <w:bCs/>
          <w:sz w:val="24"/>
          <w:szCs w:val="24"/>
        </w:rPr>
        <w:t>. 11001-31-05-</w:t>
      </w:r>
      <w:r w:rsidR="00072B8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031-2023-00168-01.</w:t>
      </w:r>
    </w:p>
    <w:p w:rsidR="00D4736A" w:rsidRDefault="00D4736A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ANTECEDENTES</w:t>
      </w:r>
    </w:p>
    <w:p w:rsidR="00D4736A" w:rsidRDefault="00D4736A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El Juzgado Treinta y Uno (31) Laboral del Circuito de Bogotá, el 26 de abril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2023 admitió la demanda interpuesta por LORENA HINCAPIÉ GALLEGO en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contra de la ADMINISTRADORA COLOMBIANA DE PENSIONES –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COLPENSIONES y COLFONDOS S.A. PENSIONES Y CESANTÍAS</w:t>
      </w:r>
      <w:r>
        <w:rPr>
          <w:rFonts w:ascii="ArialMT" w:hAnsi="ArialMT" w:cs="ArialMT"/>
          <w:sz w:val="16"/>
          <w:szCs w:val="16"/>
        </w:rPr>
        <w:t>1</w:t>
      </w:r>
      <w:r>
        <w:rPr>
          <w:rFonts w:ascii="ArialMT" w:hAnsi="ArialMT" w:cs="ArialMT"/>
          <w:sz w:val="24"/>
          <w:szCs w:val="24"/>
        </w:rPr>
        <w:t>, mediante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la cual pretende se declare la ineficacia del traslado de régimen efectuado del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RPM al RAIS y se ordene el traslado de los dineros recibidos por la AFP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demandada a COLPENSIONES.</w:t>
      </w: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Notificadas las demandadas y una vez contestada la demanda por las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convocadas, el Juzgado de Conocimiento mediante Auto del 27 de julio de 2023,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procedió, entre otras cosas, a rechazar por extemporáneo el llamamiento en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garantía presentado por COLFONDOS S.A., respecto de ALLIANZ SEGUROS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VIDA S.A., conforme al numeral décimo segundo de dicha providencia.</w:t>
      </w:r>
    </w:p>
    <w:p w:rsidR="00072B83" w:rsidRDefault="00072B83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Esto último con fundamento en que, el 5 de junio de 2023, la apoderada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COLFONDOS S.A. allegó memorial tendiente a llamar en garantía a ALLIANZ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SEGUROS DE VIDA S.A., sin embargo, al revisar el escrito de contestación se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observa que, en los archivos adjuntos no consta el memorial de llamamiento en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garantía efectuado a ALLIANZ SEGUROS DE VIDA S.A., resaltando que el 21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junio de 2023, ya había transcurrido el término para contestar la demanda y,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en cumplimiento del artículo 64 del CGP, el llamamiento resulta extemporáneo,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no siendo procedente admitirlo.</w:t>
      </w:r>
    </w:p>
    <w:p w:rsidR="00072B83" w:rsidRDefault="00072B83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RECURSOS DE REPOSICIÓN Y APELACIÓN</w:t>
      </w:r>
    </w:p>
    <w:p w:rsidR="00072B83" w:rsidRDefault="00072B83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apoderada de la demandada AFP COLFONDOS S.A. presentó recurso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reposición y en subsidio apelación contra la anterior determinación, con el fin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que se revoque respecto del llamamiento en garantía que fue negado.</w:t>
      </w:r>
    </w:p>
    <w:p w:rsidR="00072B83" w:rsidRDefault="00072B83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Como argumentos de su oposición, manifestó que el Juzgado de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Conocimiento omitió pronunciarse sobre el llamamiento en garantía realizado a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ALLIANZ SEGUROS DE VIDA S.A., que fue mencionado en el correo de la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radicación de la contestación, datado el 5 de junio de 2023. Agregó que por error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humano e involuntario presentado en tiempos de la virtualidad, se evidencia que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el archivo del llamamiento no se encuentra cargado en el mensaje de datos, sin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embargo, el mismo fue mencionado, por manera que en aras de evitar futuras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nulidades, el Despacho debió realizar pronunciamiento respecto de él,</w:t>
      </w:r>
      <w:r w:rsidR="00072B8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admitiéndolo o inadmitiéndolo.</w:t>
      </w:r>
    </w:p>
    <w:p w:rsidR="00072B83" w:rsidRDefault="00072B83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Dijo que el 21 de julio de 2023, radicó memorial denominado </w:t>
      </w:r>
      <w:r>
        <w:rPr>
          <w:rFonts w:ascii="Arial-ItalicMT" w:hAnsi="Arial-ItalicMT" w:cs="Arial-ItalicMT"/>
          <w:i/>
          <w:iCs/>
        </w:rPr>
        <w:t>“Solicitud</w:t>
      </w:r>
      <w:r w:rsidR="00072B83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pronunciamiento o ADICIÓN LLAMAMIENTO EN GARANTÍA proceso de LORENA</w:t>
      </w:r>
      <w:r w:rsidR="00072B83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HINCAPIÉ GALLEGO, contra COLFONDOS S.A. y Otro. RAD.:</w:t>
      </w:r>
      <w:r w:rsidR="00F4497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11001310503120230016800”</w:t>
      </w:r>
      <w:r>
        <w:rPr>
          <w:rFonts w:ascii="ArialMT" w:hAnsi="ArialMT" w:cs="ArialMT"/>
        </w:rPr>
        <w:t xml:space="preserve">, </w:t>
      </w:r>
      <w:r>
        <w:rPr>
          <w:rFonts w:ascii="ArialMT" w:hAnsi="ArialMT" w:cs="ArialMT"/>
          <w:sz w:val="24"/>
          <w:szCs w:val="24"/>
        </w:rPr>
        <w:t>no obstante, el Despacho procedió a rechazar 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llamamiento, pese a que fue mencionado dentro de la oportunidad procesal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pertinente.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ALEGATOS DE CONCLUSIÓN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Dentro de los términos procesales previstos se corrió traslado a las partes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para alegar de conclusión. Cabe anotar que los alegatos de conclusión no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constituyen una nueva oportunidad para complementar el recurso de apelación,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si este fue interpuesto en primera instancia.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Surtido el trámite que corresponde a esta instancia procede la Sala de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Decisión a dictar la providencia que corresponde.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PROBLEMA JURÍDICO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Conforme al recurso interpuesto, el problema jurídico a resolver se centra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en determinar si es o no procedente admitir el llamamiento en garantía solicitado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por la demandada COLFONDOS S.A., respecto de ALLIANZ SEGUROS DE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VIDA S.A.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CONSIDERACIONES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La Sala resolverá el recurso siguiendo los lineamientos trazados por 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artículo 66A del CPL, es decir, ciñéndose a lo que es motivo de la impugnación,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que en el caso en estudio está dirigido a la revocatoria de la decisión del </w:t>
      </w:r>
      <w:r>
        <w:rPr>
          <w:rFonts w:ascii="Arial-ItalicMT" w:hAnsi="Arial-ItalicMT" w:cs="Arial-ItalicMT"/>
          <w:i/>
          <w:iCs/>
          <w:sz w:val="24"/>
          <w:szCs w:val="24"/>
        </w:rPr>
        <w:t>A quo</w:t>
      </w:r>
      <w:r>
        <w:rPr>
          <w:rFonts w:ascii="ArialMT" w:hAnsi="ArialMT" w:cs="ArialMT"/>
          <w:sz w:val="24"/>
          <w:szCs w:val="24"/>
        </w:rPr>
        <w:t>,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respecto de no admitir el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llamamiento en garantía </w:t>
      </w:r>
      <w:r>
        <w:rPr>
          <w:rFonts w:ascii="ArialMT" w:hAnsi="ArialMT" w:cs="ArialMT"/>
          <w:sz w:val="24"/>
          <w:szCs w:val="24"/>
        </w:rPr>
        <w:t>de ALLIANZ SEGUROS DE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VIDA S.A., solicitado por la demandada COLFONDOS S.A.</w:t>
      </w:r>
      <w:r w:rsidR="00F44971">
        <w:rPr>
          <w:rFonts w:ascii="ArialMT" w:hAnsi="ArialMT" w:cs="ArialMT"/>
          <w:sz w:val="24"/>
          <w:szCs w:val="24"/>
        </w:rPr>
        <w:t xml:space="preserve"> 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Previo a resolver se tiene en cuenta lo dispuesto en el artículo 64 del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Código General del Proceso, que en lo que concierne consagra: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-ItalicMT" w:hAnsi="Arial-ItalicMT" w:cs="Arial-ItalicMT"/>
          <w:i/>
          <w:iCs/>
        </w:rPr>
      </w:pPr>
      <w:r>
        <w:rPr>
          <w:rFonts w:ascii="Arial-BoldItalicMT" w:hAnsi="Arial-BoldItalicMT" w:cs="Arial-BoldItalicMT"/>
          <w:b/>
          <w:bCs/>
          <w:i/>
          <w:iCs/>
        </w:rPr>
        <w:t xml:space="preserve">“LLAMAMIENTO EN GARANTÍA. </w:t>
      </w:r>
      <w:r>
        <w:rPr>
          <w:rFonts w:ascii="Arial-ItalicMT" w:hAnsi="Arial-ItalicMT" w:cs="Arial-ItalicMT"/>
          <w:i/>
          <w:iCs/>
        </w:rPr>
        <w:t>Quien afirme tener derecho legal o contractual</w:t>
      </w:r>
      <w:r w:rsidR="00F4497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a exigir de otro la indemnización del perjuicio que llegare a sufrir o el reembolso</w:t>
      </w:r>
      <w:r w:rsidR="00F4497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total o parcial del pago que tuviere que hacer como resultado de la sentencia que</w:t>
      </w:r>
      <w:r w:rsidR="00F4497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se dicte en el proceso que promueva o se le promueva, o quien de acuerdo con la</w:t>
      </w:r>
      <w:r w:rsidR="00F4497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ley sustancial tenga derecho al saneamiento por evicción, podrá pedir, en la</w:t>
      </w:r>
      <w:r w:rsidR="00F4497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>demanda o dentro del término para contestarla, que en el mismo proceso se</w:t>
      </w:r>
      <w:r w:rsidR="00F44971">
        <w:rPr>
          <w:rFonts w:ascii="Arial-ItalicMT" w:hAnsi="Arial-ItalicMT" w:cs="Arial-ItalicMT"/>
          <w:i/>
          <w:iCs/>
        </w:rPr>
        <w:t xml:space="preserve"> </w:t>
      </w:r>
      <w:r>
        <w:rPr>
          <w:rFonts w:ascii="Arial-ItalicMT" w:hAnsi="Arial-ItalicMT" w:cs="Arial-ItalicMT"/>
          <w:i/>
          <w:iCs/>
        </w:rPr>
        <w:t xml:space="preserve">resuelva sobre tal relación”. </w:t>
      </w:r>
      <w:r>
        <w:rPr>
          <w:rFonts w:ascii="ArialMT" w:hAnsi="ArialMT" w:cs="ArialMT"/>
          <w:sz w:val="24"/>
          <w:szCs w:val="24"/>
        </w:rPr>
        <w:t>(Subraya fuera de texto)</w:t>
      </w:r>
      <w:r>
        <w:rPr>
          <w:rFonts w:ascii="Arial-ItalicMT" w:hAnsi="Arial-ItalicMT" w:cs="Arial-ItalicMT"/>
          <w:i/>
          <w:iCs/>
        </w:rPr>
        <w:t>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 la anterior norma, se tiene que el llamamiento en garantía surge a partir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la existencia de una obligación legal o contractual a fin de garantizar la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indemnización de un perjuicio o efectuar un pago que pudiese ser impuesto en la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sentencia que decida el proceso, misma que puede incidir precisamente en la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relación jurídica que exista entre el garante y el garantizado.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Así, el llamamiento en garantía procede cuando exista un vínculo jurídico,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entre quien efectúa el llamado y la persona a quien se llama en garantía, toda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vez que se trata de una persona distinta a las partes que integran el proceso, y</w:t>
      </w:r>
      <w:r w:rsidR="00F44971">
        <w:rPr>
          <w:rFonts w:ascii="ArialMT" w:hAnsi="ArialMT" w:cs="ArialMT"/>
          <w:sz w:val="24"/>
          <w:szCs w:val="24"/>
        </w:rPr>
        <w:t xml:space="preserve"> q</w:t>
      </w:r>
      <w:r>
        <w:rPr>
          <w:rFonts w:ascii="ArialMT" w:hAnsi="ArialMT" w:cs="ArialMT"/>
          <w:sz w:val="24"/>
          <w:szCs w:val="24"/>
        </w:rPr>
        <w:t>ue es llamada para que responda por las obligaciones, de acuerdo a la relación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existente entre él y quien lo llamó.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Ahora bien, no puede dejarse de lado que la normatividad </w:t>
      </w:r>
      <w:proofErr w:type="spellStart"/>
      <w:r>
        <w:rPr>
          <w:rFonts w:ascii="Arial-ItalicMT" w:hAnsi="Arial-ItalicMT" w:cs="Arial-ItalicMT"/>
          <w:i/>
          <w:iCs/>
          <w:sz w:val="24"/>
          <w:szCs w:val="24"/>
        </w:rPr>
        <w:t>ejusdem</w:t>
      </w:r>
      <w:proofErr w:type="spellEnd"/>
      <w:r>
        <w:rPr>
          <w:rFonts w:ascii="Arial-ItalicMT" w:hAnsi="Arial-ItalicMT" w:cs="Arial-ItalicMT"/>
          <w:i/>
          <w:iCs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es clara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en determinar la oportunidad procesal en la cual puede pedirse el llamamiento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en garantía, que no es otra distinta que en la demanda o dentro del término para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contestarla.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el caso en estudio, se tiene que la AFP demandada COLFONDOS S.A.,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persigue la revocatoria del auto opugnado, para que en su lugar, se admita 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inadmita el llamamiento en garantía que propuso respecto de la aseguradora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ALLIANZ SEGUROS DE VIDA S.A., pues si bien el escrito respectivo no fue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anexado junto con la contestación de la demanda, mediante el correo remitido al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Juzgado de Conocimiento el 5 de junio de 2023, lo cierto es que tal llamamiento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sí fue mencionado en el referido mensaje de datos, mismo que además se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adjuntó en correo del 21 de junio de símil año.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Sobre el punto se advierte que, en efecto, el 5 de junio de 2023, la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demandada COLFONDOS S.A. remitió al cognoscente mensaje de datos,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mediante el cual </w:t>
      </w:r>
      <w:r>
        <w:rPr>
          <w:rFonts w:ascii="ArialMT" w:hAnsi="ArialMT" w:cs="ArialMT"/>
          <w:sz w:val="24"/>
          <w:szCs w:val="24"/>
        </w:rPr>
        <w:lastRenderedPageBreak/>
        <w:t>pretendió radicar la contestación de la demanda y las solicitudes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llamamiento en garantía frente a los aseguradores Seguros Bolívar, Axa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Colpatria, </w:t>
      </w:r>
      <w:proofErr w:type="spellStart"/>
      <w:r>
        <w:rPr>
          <w:rFonts w:ascii="ArialMT" w:hAnsi="ArialMT" w:cs="ArialMT"/>
          <w:sz w:val="24"/>
          <w:szCs w:val="24"/>
        </w:rPr>
        <w:t>Mpfre</w:t>
      </w:r>
      <w:proofErr w:type="spellEnd"/>
      <w:r>
        <w:rPr>
          <w:rFonts w:ascii="ArialMT" w:hAnsi="ArialMT" w:cs="ArialMT"/>
          <w:sz w:val="24"/>
          <w:szCs w:val="24"/>
        </w:rPr>
        <w:t xml:space="preserve"> y Allianz, tal y como se advierte a continuación:</w:t>
      </w:r>
    </w:p>
    <w:p w:rsidR="006C62B4" w:rsidRDefault="006C62B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6C62B4" w:rsidRDefault="006C62B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noProof/>
          <w:sz w:val="24"/>
          <w:szCs w:val="24"/>
          <w:lang w:eastAsia="es-CO"/>
        </w:rPr>
      </w:pPr>
    </w:p>
    <w:p w:rsidR="002F332C" w:rsidRDefault="00322BA8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322BA8">
        <w:rPr>
          <w:rFonts w:ascii="ArialMT" w:hAnsi="ArialMT" w:cs="ArialMT"/>
          <w:noProof/>
          <w:sz w:val="24"/>
          <w:szCs w:val="24"/>
          <w:lang w:eastAsia="es-CO"/>
        </w:rPr>
        <w:drawing>
          <wp:inline distT="0" distB="0" distL="0" distR="0">
            <wp:extent cx="5247640" cy="694753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69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32C" w:rsidRDefault="002F332C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2F332C" w:rsidRDefault="002F332C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2F332C" w:rsidRDefault="002F332C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2F332C" w:rsidRDefault="002F332C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Así se advierte que, como lo indica la apelante, se mencionó en su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mensaje de datos que remitía entre otras cosas, el archivo que contenía 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llamamiento en garantía respecto de ALLIANZ SEGUROS DE VIDA S.A., sin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embargo, tal como lo acepta en su alzada, es claro que no procedió a adjuntar 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respectivo PDF, por lo que resulta acertado que el Juzgado de Conocimiento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procediera a su rechazo de plano, toda vez que el memorial contentivo del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llamamiento, ciertamente no fue allegado ante el Despacho en la oportunidad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procesal, lo cual no puede considerarse subsanado con la sola mención del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mismo, al no existir texto que permita su calificación y su notificación a la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aseguradora llamada en garantía.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Ahora, aunque la omisión anotada se atribuye a un error humano, debe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decirse que era carga de COLFONDOS S.A. asegurarse que la totalidad de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archivos a radicar fueren cargados debidamente en el mensaje de datos, ello,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antes de remitir el respectivo correo, e incluso, después de su envío ante 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Juzgado de Conocimiento, siendo por tanto responsabilidad de la parte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demandada recurrente que el archivo no fuere allegado debidamente ante el 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quo, pues era ella la parte interesada en formular el llamamiento en garantía.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ese sentido, no resultan atendibles los argumentos esbozados en 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recurso de alzada, porque lo cierto es que la falladora de primer grado sí se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pronunció sobre el llamamiento en garantía supuestamente formulado frente 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ALLIANZ SEGUROS DE VIDA S.A. en correo del 5 de junio de 2023, en el sentido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rechazarlo de plano, en tanto el escrito correspondiente no fue anexado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debidamente por la parte interesada.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9966C4" w:rsidRDefault="009966C4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Ahora bien, el lapsus de la demandada </w:t>
      </w:r>
      <w:proofErr w:type="spellStart"/>
      <w:r>
        <w:rPr>
          <w:rFonts w:ascii="ArialMT" w:hAnsi="ArialMT" w:cs="ArialMT"/>
          <w:sz w:val="24"/>
          <w:szCs w:val="24"/>
        </w:rPr>
        <w:t>Colfondos</w:t>
      </w:r>
      <w:proofErr w:type="spellEnd"/>
      <w:r>
        <w:rPr>
          <w:rFonts w:ascii="ArialMT" w:hAnsi="ArialMT" w:cs="ArialMT"/>
          <w:sz w:val="24"/>
          <w:szCs w:val="24"/>
        </w:rPr>
        <w:t xml:space="preserve"> S.A., no puede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entenderse subsanado a través del mensaje de datos remitido por la AFP en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mención el 21 de junio de 2023, pues aunque en dicho correo procedió a adjuntar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el escrito mediante el cual pretendía formular el llamamiento en garantía respecto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de ALLIANZ SEGUROS DE VIDA S.A., como se constata en el archivo 14 del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ED, lo cierto es que el mismo no podía ser considerado por el Juzgado de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Conocimiento, en tanto el término de 10 días para la contestación de la demanda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ya había vencido desde el 6 de junio de 2023, habida cuenta que la AFP fue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notificada junto con la accionada COLPENSIONES, el 18 de mayo de 2023</w:t>
      </w:r>
      <w:r w:rsidR="00F44971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(Archivo 09 del ED).</w:t>
      </w:r>
    </w:p>
    <w:p w:rsidR="00F44971" w:rsidRDefault="00F44971" w:rsidP="00E611A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91BF7" w:rsidRDefault="009966C4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Por tanto, contrario a lo indicado en la alzada, en nada erró el Juzgado de</w:t>
      </w:r>
      <w:r w:rsidR="00E0440B">
        <w:rPr>
          <w:rFonts w:ascii="ArialMT" w:hAnsi="ArialMT" w:cs="ArialMT"/>
          <w:sz w:val="24"/>
          <w:szCs w:val="24"/>
        </w:rPr>
        <w:t xml:space="preserve"> </w:t>
      </w:r>
      <w:r w:rsidR="00391BF7">
        <w:rPr>
          <w:rFonts w:ascii="ArialMT" w:hAnsi="ArialMT" w:cs="ArialMT"/>
          <w:sz w:val="24"/>
          <w:szCs w:val="24"/>
        </w:rPr>
        <w:t>c</w:t>
      </w:r>
      <w:r>
        <w:rPr>
          <w:rFonts w:ascii="ArialMT" w:hAnsi="ArialMT" w:cs="ArialMT"/>
          <w:sz w:val="24"/>
          <w:szCs w:val="24"/>
        </w:rPr>
        <w:t>onocimiento al negar de plano el llamamiento en garantía del que se viene</w:t>
      </w:r>
      <w:r w:rsidR="00B43F0F">
        <w:rPr>
          <w:rFonts w:ascii="ArialMT" w:hAnsi="ArialMT" w:cs="ArialMT"/>
          <w:sz w:val="24"/>
          <w:szCs w:val="24"/>
        </w:rPr>
        <w:t xml:space="preserve"> </w:t>
      </w:r>
      <w:r w:rsidR="00391BF7">
        <w:rPr>
          <w:rFonts w:ascii="ArialMT" w:hAnsi="ArialMT" w:cs="ArialMT"/>
          <w:sz w:val="24"/>
          <w:szCs w:val="24"/>
        </w:rPr>
        <w:t xml:space="preserve">hablando, toda vez que no fue propuesto por </w:t>
      </w:r>
      <w:proofErr w:type="spellStart"/>
      <w:r w:rsidR="00391BF7">
        <w:rPr>
          <w:rFonts w:ascii="ArialMT" w:hAnsi="ArialMT" w:cs="ArialMT"/>
          <w:sz w:val="24"/>
          <w:szCs w:val="24"/>
        </w:rPr>
        <w:t>Colfondos</w:t>
      </w:r>
      <w:proofErr w:type="spellEnd"/>
      <w:r w:rsidR="00391BF7">
        <w:rPr>
          <w:rFonts w:ascii="ArialMT" w:hAnsi="ArialMT" w:cs="ArialMT"/>
          <w:sz w:val="24"/>
          <w:szCs w:val="24"/>
        </w:rPr>
        <w:t xml:space="preserve"> S.A. dentro del término</w:t>
      </w:r>
      <w:r w:rsidR="00E0440B">
        <w:rPr>
          <w:rFonts w:ascii="ArialMT" w:hAnsi="ArialMT" w:cs="ArialMT"/>
          <w:sz w:val="24"/>
          <w:szCs w:val="24"/>
        </w:rPr>
        <w:t xml:space="preserve"> </w:t>
      </w:r>
      <w:r w:rsidR="00391BF7">
        <w:rPr>
          <w:rFonts w:ascii="ArialMT" w:hAnsi="ArialMT" w:cs="ArialMT"/>
          <w:sz w:val="24"/>
          <w:szCs w:val="24"/>
        </w:rPr>
        <w:t>legal previsto en el artículo 64 del CGP.</w:t>
      </w:r>
    </w:p>
    <w:p w:rsidR="00E0440B" w:rsidRDefault="00E0440B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91BF7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En consecuencia, se confirmará la providencia recurrida y se condena en</w:t>
      </w:r>
      <w:r w:rsidR="00E0440B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costas a la parte recurrente por cuanto no prosperó su alzada. Se fijan como</w:t>
      </w:r>
      <w:r w:rsidR="00E0440B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agencias en derecho 1 SMMLV a cargo de la recurrente.</w:t>
      </w:r>
    </w:p>
    <w:p w:rsidR="00E0440B" w:rsidRDefault="00E0440B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391BF7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 xml:space="preserve">Por lo expuesto, la </w:t>
      </w:r>
      <w:r>
        <w:rPr>
          <w:rFonts w:ascii="Arial-BoldMT" w:hAnsi="Arial-BoldMT" w:cs="Arial-BoldMT"/>
          <w:b/>
          <w:bCs/>
          <w:sz w:val="24"/>
          <w:szCs w:val="24"/>
        </w:rPr>
        <w:t>SALA DE DECISIÓN LABORAL DEL TRIBUNAL</w:t>
      </w:r>
      <w:r w:rsidR="00E0440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sz w:val="24"/>
          <w:szCs w:val="24"/>
        </w:rPr>
        <w:t>SUPERIOR DEL DISTRITO JUDICIAL DE BOGOTÁ</w:t>
      </w:r>
      <w:r>
        <w:rPr>
          <w:rFonts w:ascii="ArialMT" w:hAnsi="ArialMT" w:cs="ArialMT"/>
          <w:sz w:val="24"/>
          <w:szCs w:val="24"/>
        </w:rPr>
        <w:t>,</w:t>
      </w:r>
    </w:p>
    <w:p w:rsidR="00E0440B" w:rsidRDefault="00E0440B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91BF7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RESUELVE:</w:t>
      </w:r>
    </w:p>
    <w:p w:rsidR="00E0440B" w:rsidRDefault="00E0440B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91BF7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PRIMERO: CONFIRMAR </w:t>
      </w:r>
      <w:r>
        <w:rPr>
          <w:rFonts w:ascii="ArialMT" w:hAnsi="ArialMT" w:cs="ArialMT"/>
          <w:sz w:val="24"/>
          <w:szCs w:val="24"/>
        </w:rPr>
        <w:t>el Auto del 27 de julio de 2023, proferido por el</w:t>
      </w:r>
      <w:r w:rsidR="00E0440B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Juzgado </w:t>
      </w:r>
      <w:bookmarkStart w:id="0" w:name="_GoBack"/>
      <w:bookmarkEnd w:id="0"/>
      <w:r>
        <w:rPr>
          <w:rFonts w:ascii="ArialMT" w:hAnsi="ArialMT" w:cs="ArialMT"/>
          <w:sz w:val="24"/>
          <w:szCs w:val="24"/>
        </w:rPr>
        <w:t>Treinta y Uno (31) Laboral del Circuito de Bogotá, de conformidad con</w:t>
      </w:r>
      <w:r w:rsidR="00E0440B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lo expuesto en la parte motiva de esta providencia.</w:t>
      </w:r>
    </w:p>
    <w:p w:rsidR="00E0440B" w:rsidRDefault="00E0440B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91BF7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SEGUNDO: </w:t>
      </w:r>
      <w:r>
        <w:rPr>
          <w:rFonts w:ascii="ArialMT" w:hAnsi="ArialMT" w:cs="ArialMT"/>
          <w:sz w:val="24"/>
          <w:szCs w:val="24"/>
        </w:rPr>
        <w:t>Costas en esta instancia a cargo de la recurrente. Se fijan</w:t>
      </w:r>
      <w:r w:rsidR="00E0440B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como agencias en derecho la suma de 1 SMMLV a la fecha del pago.</w:t>
      </w:r>
    </w:p>
    <w:p w:rsidR="00E0440B" w:rsidRDefault="00E0440B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</w:p>
    <w:p w:rsidR="00391BF7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NOTIFÍQUESE Y CÚMPLASE</w:t>
      </w:r>
    </w:p>
    <w:p w:rsidR="00391BF7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Los Magistrados,</w:t>
      </w:r>
    </w:p>
    <w:p w:rsidR="00E0440B" w:rsidRDefault="00E0440B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:rsidR="009966C4" w:rsidRDefault="00391B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</w:rPr>
        <w:t>ELCY JIMENA VALENCIA CASTRILLÓN</w:t>
      </w:r>
    </w:p>
    <w:p w:rsidR="008701F7" w:rsidRDefault="008701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701F7" w:rsidRDefault="008701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701F7" w:rsidRDefault="008701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701F7" w:rsidRDefault="008701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8701F7" w:rsidRDefault="008701F7" w:rsidP="00E0440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sectPr w:rsidR="00870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C4"/>
    <w:rsid w:val="00072B83"/>
    <w:rsid w:val="001C4313"/>
    <w:rsid w:val="002F332C"/>
    <w:rsid w:val="00322BA8"/>
    <w:rsid w:val="00391BF7"/>
    <w:rsid w:val="004C33DF"/>
    <w:rsid w:val="006C62B4"/>
    <w:rsid w:val="006D7DC5"/>
    <w:rsid w:val="008701F7"/>
    <w:rsid w:val="00940469"/>
    <w:rsid w:val="009966C4"/>
    <w:rsid w:val="00B43F0F"/>
    <w:rsid w:val="00CF6F3D"/>
    <w:rsid w:val="00D4736A"/>
    <w:rsid w:val="00E0440B"/>
    <w:rsid w:val="00E611A3"/>
    <w:rsid w:val="00F4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AA09B9-0FA7-4A60-9034-2B494830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1680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17</cp:revision>
  <dcterms:created xsi:type="dcterms:W3CDTF">2023-11-10T23:43:00Z</dcterms:created>
  <dcterms:modified xsi:type="dcterms:W3CDTF">2023-11-11T13:11:00Z</dcterms:modified>
</cp:coreProperties>
</file>