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8EB4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kern w:val="0"/>
          <w:lang w:val="es-CO"/>
        </w:rPr>
      </w:pPr>
      <w:r>
        <w:rPr>
          <w:rFonts w:ascii="CenturyGothic,Bold" w:hAnsi="CenturyGothic,Bold" w:cs="CenturyGothic,Bold"/>
          <w:b/>
          <w:bCs/>
          <w:kern w:val="0"/>
          <w:lang w:val="es-CO"/>
        </w:rPr>
        <w:t>REPÚBLICA DE COLOMBIA</w:t>
      </w:r>
    </w:p>
    <w:p w14:paraId="60527CC9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kern w:val="0"/>
          <w:lang w:val="es-CO"/>
        </w:rPr>
      </w:pPr>
      <w:r>
        <w:rPr>
          <w:rFonts w:ascii="CenturyGothic,Bold" w:hAnsi="CenturyGothic,Bold" w:cs="CenturyGothic,Bold"/>
          <w:b/>
          <w:bCs/>
          <w:kern w:val="0"/>
          <w:lang w:val="es-CO"/>
        </w:rPr>
        <w:t>RAMA JUDICIAL DEL PODER PÚBLICO</w:t>
      </w:r>
    </w:p>
    <w:p w14:paraId="578A0C5A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kern w:val="0"/>
          <w:lang w:val="es-CO"/>
        </w:rPr>
      </w:pPr>
      <w:r>
        <w:rPr>
          <w:rFonts w:ascii="CenturyGothic,Bold" w:hAnsi="CenturyGothic,Bold" w:cs="CenturyGothic,Bold"/>
          <w:b/>
          <w:bCs/>
          <w:kern w:val="0"/>
          <w:lang w:val="es-CO"/>
        </w:rPr>
        <w:t>JUZGADO CUARENTA Y CUATRO CIVIL DEL CIRCUITO DE BOGOTÁ</w:t>
      </w:r>
    </w:p>
    <w:p w14:paraId="233B06A6" w14:textId="77777777" w:rsidR="00EB6BD6" w:rsidRDefault="00EB6BD6" w:rsidP="00EB6BD6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</w:p>
    <w:p w14:paraId="6608B0A9" w14:textId="439AC316" w:rsidR="00A227E7" w:rsidRDefault="00A227E7" w:rsidP="00EB6BD6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Bogotá D. C., veintinueve (29) de enero de dos mil veinticuatro (2024)</w:t>
      </w:r>
    </w:p>
    <w:p w14:paraId="766E26AC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Radicado: 11001-31-03-044-</w:t>
      </w:r>
      <w:r>
        <w:rPr>
          <w:rFonts w:ascii="CenturyGothic,Bold" w:hAnsi="CenturyGothic,Bold" w:cs="CenturyGothic,Bold"/>
          <w:b/>
          <w:bCs/>
          <w:kern w:val="0"/>
          <w:lang w:val="es-CO"/>
        </w:rPr>
        <w:t>2020</w:t>
      </w:r>
      <w:r>
        <w:rPr>
          <w:rFonts w:ascii="CenturyGothic" w:hAnsi="CenturyGothic" w:cs="CenturyGothic"/>
          <w:kern w:val="0"/>
          <w:lang w:val="es-CO"/>
        </w:rPr>
        <w:t>-</w:t>
      </w:r>
      <w:r>
        <w:rPr>
          <w:rFonts w:ascii="CenturyGothic,Bold" w:hAnsi="CenturyGothic,Bold" w:cs="CenturyGothic,Bold"/>
          <w:b/>
          <w:bCs/>
          <w:kern w:val="0"/>
          <w:lang w:val="es-CO"/>
        </w:rPr>
        <w:t>00370</w:t>
      </w:r>
      <w:r>
        <w:rPr>
          <w:rFonts w:ascii="CenturyGothic" w:hAnsi="CenturyGothic" w:cs="CenturyGothic"/>
          <w:kern w:val="0"/>
          <w:lang w:val="es-CO"/>
        </w:rPr>
        <w:t>-00</w:t>
      </w:r>
    </w:p>
    <w:p w14:paraId="43CD43E2" w14:textId="77777777" w:rsidR="00EB6BD6" w:rsidRDefault="00EB6BD6" w:rsidP="00A227E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</w:p>
    <w:p w14:paraId="45C180CA" w14:textId="77777777" w:rsidR="00EB6BD6" w:rsidRDefault="00EB6BD6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4C0386C5" w14:textId="191DEAE4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En atención al informe secretarial que precede y con el fin de continuar con el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 xml:space="preserve">trámite del </w:t>
      </w:r>
      <w:r w:rsidR="00EB6BD6">
        <w:rPr>
          <w:rFonts w:ascii="CenturyGothic" w:hAnsi="CenturyGothic" w:cs="CenturyGothic"/>
          <w:kern w:val="0"/>
          <w:lang w:val="es-CO"/>
        </w:rPr>
        <w:t>p</w:t>
      </w:r>
      <w:r>
        <w:rPr>
          <w:rFonts w:ascii="CenturyGothic" w:hAnsi="CenturyGothic" w:cs="CenturyGothic"/>
          <w:kern w:val="0"/>
          <w:lang w:val="es-CO"/>
        </w:rPr>
        <w:t>resente asunto, esta sede judicial, fija la hora de las 2 30 pm del día 5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de febrero de 2024, para continuar con la audiencia que trata el artículo 373 del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C.G. del P, donde se llevaron a cabo los alegatos de conclusión y en lo posible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sentencia. Prevéngase a los apoderados que su incomparecencia injustificada a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la diligencia les acarreará las sanciones contempladas en la ley.</w:t>
      </w:r>
    </w:p>
    <w:p w14:paraId="308EE738" w14:textId="77777777" w:rsidR="00EB6BD6" w:rsidRDefault="00EB6BD6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4B82B824" w14:textId="586E250B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 xml:space="preserve">La diligencia se llevará a cabo por medio de la plataforma Microsoft </w:t>
      </w:r>
      <w:proofErr w:type="spellStart"/>
      <w:r>
        <w:rPr>
          <w:rFonts w:ascii="CenturyGothic" w:hAnsi="CenturyGothic" w:cs="CenturyGothic"/>
          <w:kern w:val="0"/>
          <w:lang w:val="es-CO"/>
        </w:rPr>
        <w:t>Teams</w:t>
      </w:r>
      <w:proofErr w:type="spellEnd"/>
      <w:r>
        <w:rPr>
          <w:rFonts w:ascii="CenturyGothic" w:hAnsi="CenturyGothic" w:cs="CenturyGothic"/>
          <w:kern w:val="0"/>
          <w:lang w:val="es-CO"/>
        </w:rPr>
        <w:t>, según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el protocolo de audiencias dispuesto por el despacho. Lo anterior, en virtud de lo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dispuesto en el artículo 3º del Acuerdo PCSJA22-11972 de 30 de junio de 2022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expedido por el Consejo Superior de la Judicatura.</w:t>
      </w:r>
    </w:p>
    <w:p w14:paraId="711FB306" w14:textId="77777777" w:rsidR="00EB6BD6" w:rsidRDefault="00EB6BD6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7F328123" w14:textId="0742DFAE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Se requiere a las partes y a sus abogados esto para que informen inmediatamente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y antes de la fecha asignada y al correo institucional, el correo electrónico con el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que participarán en la audiencia, y luego deberán confirmar su asistencia el día</w:t>
      </w:r>
      <w:r w:rsidR="00EB6BD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anterior.</w:t>
      </w:r>
    </w:p>
    <w:p w14:paraId="131F7D5A" w14:textId="77777777" w:rsidR="00EB6BD6" w:rsidRDefault="00EB6BD6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kern w:val="0"/>
          <w:lang w:val="es-CO"/>
        </w:rPr>
      </w:pPr>
    </w:p>
    <w:p w14:paraId="6FF9732C" w14:textId="77777777" w:rsidR="00864211" w:rsidRDefault="00864211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kern w:val="0"/>
          <w:lang w:val="es-CO"/>
        </w:rPr>
      </w:pPr>
    </w:p>
    <w:p w14:paraId="4F910D15" w14:textId="50BCA45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kern w:val="0"/>
          <w:lang w:val="es-CO"/>
        </w:rPr>
      </w:pPr>
      <w:r>
        <w:rPr>
          <w:rFonts w:ascii="CenturyGothic,Bold" w:hAnsi="CenturyGothic,Bold" w:cs="CenturyGothic,Bold"/>
          <w:b/>
          <w:bCs/>
          <w:kern w:val="0"/>
          <w:lang w:val="es-CO"/>
        </w:rPr>
        <w:t>NOTIFÍQUESE y CÚMPLASE</w:t>
      </w:r>
    </w:p>
    <w:p w14:paraId="36DC7C56" w14:textId="77777777" w:rsidR="00EB6BD6" w:rsidRDefault="00EB6BD6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kern w:val="0"/>
          <w:lang w:val="es-CO"/>
        </w:rPr>
      </w:pPr>
    </w:p>
    <w:p w14:paraId="0AAFB1BA" w14:textId="575D719D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kern w:val="0"/>
          <w:lang w:val="es-CO"/>
        </w:rPr>
      </w:pPr>
      <w:r>
        <w:rPr>
          <w:rFonts w:ascii="CenturyGothic,Bold" w:hAnsi="CenturyGothic,Bold" w:cs="CenturyGothic,Bold"/>
          <w:b/>
          <w:bCs/>
          <w:kern w:val="0"/>
          <w:lang w:val="es-CO"/>
        </w:rPr>
        <w:t xml:space="preserve">MAURICIO DE LOS REYES CABEZA </w:t>
      </w:r>
      <w:proofErr w:type="spellStart"/>
      <w:r>
        <w:rPr>
          <w:rFonts w:ascii="CenturyGothic,Bold" w:hAnsi="CenturyGothic,Bold" w:cs="CenturyGothic,Bold"/>
          <w:b/>
          <w:bCs/>
          <w:kern w:val="0"/>
          <w:lang w:val="es-CO"/>
        </w:rPr>
        <w:t>CABEZA</w:t>
      </w:r>
      <w:proofErr w:type="spellEnd"/>
    </w:p>
    <w:p w14:paraId="1141F0E8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kern w:val="0"/>
          <w:lang w:val="es-CO"/>
        </w:rPr>
      </w:pPr>
      <w:r>
        <w:rPr>
          <w:rFonts w:ascii="CenturyGothic,Bold" w:hAnsi="CenturyGothic,Bold" w:cs="CenturyGothic,Bold"/>
          <w:b/>
          <w:bCs/>
          <w:kern w:val="0"/>
          <w:lang w:val="es-CO"/>
        </w:rPr>
        <w:t>JUEZ</w:t>
      </w:r>
    </w:p>
    <w:p w14:paraId="5EA76869" w14:textId="77777777" w:rsidR="00EB6BD6" w:rsidRDefault="00EB6BD6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3842EBB1" w14:textId="77777777" w:rsidR="00864211" w:rsidRDefault="00864211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29C3C0EF" w14:textId="3A18A60F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55CD63B2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 xml:space="preserve">Mauricio De Los Reyes Cabeza </w:t>
      </w:r>
      <w:proofErr w:type="spellStart"/>
      <w:r>
        <w:rPr>
          <w:rFonts w:ascii="Arial" w:hAnsi="Arial" w:cs="Arial"/>
          <w:kern w:val="0"/>
          <w:sz w:val="16"/>
          <w:szCs w:val="16"/>
          <w:lang w:val="es-CO"/>
        </w:rPr>
        <w:t>Cabeza</w:t>
      </w:r>
      <w:proofErr w:type="spellEnd"/>
    </w:p>
    <w:p w14:paraId="43767975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</w:t>
      </w:r>
    </w:p>
    <w:p w14:paraId="331E5685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2DE9FE11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044</w:t>
      </w:r>
    </w:p>
    <w:p w14:paraId="04C48C2D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03423E18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1F54C47C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12029182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ca02592d1d44231e47c0f24e6c0c4006f90b719cc4676f35c1fd3e7e0c69988e</w:t>
      </w:r>
    </w:p>
    <w:p w14:paraId="0794E526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29/01/2024 02:13:50 PM</w:t>
      </w:r>
    </w:p>
    <w:p w14:paraId="762789C4" w14:textId="77777777" w:rsidR="00A227E7" w:rsidRDefault="00A227E7" w:rsidP="00EB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kern w:val="0"/>
          <w:sz w:val="20"/>
          <w:szCs w:val="20"/>
          <w:lang w:val="es-CO"/>
        </w:rPr>
        <w:t xml:space="preserve"> documento electrónico en la siguiente URL:</w:t>
      </w:r>
    </w:p>
    <w:p w14:paraId="686E8520" w14:textId="65DD0F6C" w:rsidR="00A227E7" w:rsidRDefault="00A227E7" w:rsidP="00EB6BD6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p w14:paraId="6452BE7E" w14:textId="77777777" w:rsidR="00A227E7" w:rsidRDefault="00A227E7" w:rsidP="00EB6BD6">
      <w:pPr>
        <w:jc w:val="both"/>
      </w:pPr>
    </w:p>
    <w:p w14:paraId="4928F004" w14:textId="77777777" w:rsidR="00A227E7" w:rsidRDefault="00A227E7" w:rsidP="00EB6BD6">
      <w:pPr>
        <w:jc w:val="both"/>
      </w:pPr>
    </w:p>
    <w:p w14:paraId="29E27497" w14:textId="77777777" w:rsidR="00A227E7" w:rsidRDefault="00A227E7" w:rsidP="00EB6BD6">
      <w:pPr>
        <w:jc w:val="both"/>
      </w:pPr>
    </w:p>
    <w:p w14:paraId="5741FF3C" w14:textId="77777777" w:rsidR="00A227E7" w:rsidRDefault="00A227E7" w:rsidP="00EB6BD6">
      <w:pPr>
        <w:jc w:val="both"/>
      </w:pPr>
    </w:p>
    <w:p w14:paraId="2F00FAA5" w14:textId="77777777" w:rsidR="00A227E7" w:rsidRDefault="00A227E7" w:rsidP="00EB6BD6">
      <w:pPr>
        <w:jc w:val="both"/>
      </w:pPr>
    </w:p>
    <w:p w14:paraId="2F2ADBA9" w14:textId="77777777" w:rsidR="00A227E7" w:rsidRDefault="00A227E7" w:rsidP="00EB6BD6">
      <w:pPr>
        <w:jc w:val="both"/>
      </w:pPr>
    </w:p>
    <w:p w14:paraId="331125D1" w14:textId="77777777" w:rsidR="00A227E7" w:rsidRDefault="00A227E7" w:rsidP="00EB6BD6">
      <w:pPr>
        <w:jc w:val="both"/>
      </w:pPr>
    </w:p>
    <w:sectPr w:rsidR="00A227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3"/>
    <w:rsid w:val="006215B3"/>
    <w:rsid w:val="00737460"/>
    <w:rsid w:val="00864211"/>
    <w:rsid w:val="00A227E7"/>
    <w:rsid w:val="00B9243D"/>
    <w:rsid w:val="00C801D7"/>
    <w:rsid w:val="00DA03DC"/>
    <w:rsid w:val="00E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C83F"/>
  <w15:chartTrackingRefBased/>
  <w15:docId w15:val="{1F86DE77-26F2-43EA-93E4-DB973570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2024-01-30T21:02:00Z</dcterms:created>
  <dcterms:modified xsi:type="dcterms:W3CDTF">2024-01-30T21:08:00Z</dcterms:modified>
</cp:coreProperties>
</file>