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718DC" w14:textId="77777777" w:rsidR="00355FCD" w:rsidRPr="0044233B" w:rsidRDefault="00355FCD" w:rsidP="00355FCD">
      <w:pPr>
        <w:jc w:val="center"/>
        <w:outlineLvl w:val="0"/>
        <w:rPr>
          <w:b/>
          <w:bCs/>
          <w:lang w:val="uz-Cyrl-UZ"/>
        </w:rPr>
      </w:pPr>
      <w:r w:rsidRPr="0044233B">
        <w:rPr>
          <w:b/>
          <w:bCs/>
          <w:lang w:val="uz-Cyrl-UZ"/>
        </w:rPr>
        <w:t>REPÚBLICA DE COLOMBIA</w:t>
      </w:r>
    </w:p>
    <w:p w14:paraId="36B17FCC" w14:textId="77777777" w:rsidR="00355FCD" w:rsidRPr="0044233B" w:rsidRDefault="00355FCD" w:rsidP="00355FCD">
      <w:pPr>
        <w:jc w:val="center"/>
        <w:rPr>
          <w:b/>
          <w:lang w:val="uz-Cyrl-UZ"/>
        </w:rPr>
      </w:pPr>
      <w:r w:rsidRPr="0044233B">
        <w:rPr>
          <w:b/>
          <w:noProof/>
          <w:lang w:val="es-CO" w:eastAsia="es-CO"/>
        </w:rPr>
        <w:drawing>
          <wp:inline distT="0" distB="0" distL="0" distR="0" wp14:anchorId="43E3E029" wp14:editId="181B52F9">
            <wp:extent cx="1012190" cy="10121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2190" cy="1012190"/>
                    </a:xfrm>
                    <a:prstGeom prst="rect">
                      <a:avLst/>
                    </a:prstGeom>
                    <a:noFill/>
                  </pic:spPr>
                </pic:pic>
              </a:graphicData>
            </a:graphic>
          </wp:inline>
        </w:drawing>
      </w:r>
    </w:p>
    <w:p w14:paraId="528080B6" w14:textId="77777777" w:rsidR="00355FCD" w:rsidRPr="0044233B" w:rsidRDefault="00355FCD" w:rsidP="00355FCD">
      <w:pPr>
        <w:jc w:val="center"/>
        <w:outlineLvl w:val="0"/>
        <w:rPr>
          <w:b/>
          <w:bCs/>
          <w:lang w:val="uz-Cyrl-UZ"/>
        </w:rPr>
      </w:pPr>
      <w:r w:rsidRPr="0044233B">
        <w:rPr>
          <w:b/>
          <w:bCs/>
          <w:lang w:val="uz-Cyrl-UZ"/>
        </w:rPr>
        <w:t>CORTE CONSTITUCIONAL</w:t>
      </w:r>
    </w:p>
    <w:p w14:paraId="26D6AA86" w14:textId="77777777" w:rsidR="00355FCD" w:rsidRPr="0044233B" w:rsidRDefault="00355FCD" w:rsidP="00355FCD">
      <w:pPr>
        <w:jc w:val="center"/>
        <w:rPr>
          <w:b/>
          <w:bCs/>
          <w:lang w:val="uz-Cyrl-UZ"/>
        </w:rPr>
      </w:pPr>
      <w:r w:rsidRPr="0044233B">
        <w:rPr>
          <w:b/>
          <w:bCs/>
          <w:lang w:val="uz-Cyrl-UZ"/>
        </w:rPr>
        <w:t>SALA PLENA</w:t>
      </w:r>
    </w:p>
    <w:p w14:paraId="14589972" w14:textId="77777777" w:rsidR="00355FCD" w:rsidRPr="0044233B" w:rsidRDefault="00355FCD" w:rsidP="00355FCD">
      <w:pPr>
        <w:jc w:val="center"/>
        <w:rPr>
          <w:b/>
          <w:bCs/>
          <w:lang w:val="uz-Cyrl-UZ"/>
        </w:rPr>
      </w:pPr>
    </w:p>
    <w:p w14:paraId="260357D3" w14:textId="35F1D7DF" w:rsidR="00355FCD" w:rsidRPr="0044233B" w:rsidRDefault="00355FCD" w:rsidP="00355FCD">
      <w:pPr>
        <w:jc w:val="center"/>
        <w:outlineLvl w:val="0"/>
        <w:rPr>
          <w:b/>
          <w:color w:val="000000" w:themeColor="text1"/>
          <w:lang w:val="es-ES_tradnl"/>
        </w:rPr>
      </w:pPr>
      <w:r w:rsidRPr="0044233B">
        <w:rPr>
          <w:b/>
          <w:color w:val="000000" w:themeColor="text1"/>
          <w:lang w:val="es-ES_tradnl"/>
        </w:rPr>
        <w:t xml:space="preserve">AUTO </w:t>
      </w:r>
      <w:r w:rsidR="00C91F34">
        <w:rPr>
          <w:b/>
          <w:color w:val="000000" w:themeColor="text1"/>
          <w:lang w:val="es-ES_tradnl"/>
        </w:rPr>
        <w:t>2447</w:t>
      </w:r>
      <w:r w:rsidRPr="0044233B">
        <w:rPr>
          <w:b/>
          <w:color w:val="000000" w:themeColor="text1"/>
          <w:lang w:val="es-ES_tradnl"/>
        </w:rPr>
        <w:t xml:space="preserve"> DE 2023</w:t>
      </w:r>
    </w:p>
    <w:p w14:paraId="694CEFF9" w14:textId="77777777" w:rsidR="00355FCD" w:rsidRPr="0044233B" w:rsidRDefault="00355FCD" w:rsidP="00355FCD">
      <w:pPr>
        <w:jc w:val="center"/>
      </w:pPr>
    </w:p>
    <w:p w14:paraId="479F17BF" w14:textId="5B5713B6" w:rsidR="00355FCD" w:rsidRPr="0044233B" w:rsidRDefault="00355FCD" w:rsidP="00355FCD">
      <w:pPr>
        <w:ind w:left="3686"/>
        <w:jc w:val="both"/>
        <w:outlineLvl w:val="0"/>
      </w:pPr>
      <w:r w:rsidRPr="0044233B">
        <w:rPr>
          <w:b/>
        </w:rPr>
        <w:t>Referencia</w:t>
      </w:r>
      <w:r w:rsidRPr="0044233B">
        <w:t>: expediente CJU-</w:t>
      </w:r>
      <w:r w:rsidRPr="00F56D5B">
        <w:t>3</w:t>
      </w:r>
      <w:r>
        <w:t>473</w:t>
      </w:r>
    </w:p>
    <w:p w14:paraId="3D5ED0A1" w14:textId="77777777" w:rsidR="00355FCD" w:rsidRPr="0044233B" w:rsidRDefault="00355FCD" w:rsidP="00355FCD">
      <w:pPr>
        <w:jc w:val="both"/>
      </w:pPr>
    </w:p>
    <w:p w14:paraId="79768CF2" w14:textId="7EEB6AF1" w:rsidR="00355FCD" w:rsidRPr="0044233B" w:rsidRDefault="00355FCD" w:rsidP="00355FCD">
      <w:pPr>
        <w:ind w:left="3686"/>
        <w:jc w:val="both"/>
      </w:pPr>
      <w:bookmarkStart w:id="0" w:name="_Hlk58788681"/>
      <w:r w:rsidRPr="007337C6">
        <w:t xml:space="preserve">Conflicto de jurisdicciones </w:t>
      </w:r>
      <w:r>
        <w:t>suscitado por el</w:t>
      </w:r>
      <w:r w:rsidRPr="007337C6">
        <w:t xml:space="preserve"> Juzgado </w:t>
      </w:r>
      <w:r>
        <w:t>Veintiocho</w:t>
      </w:r>
      <w:r w:rsidRPr="007337C6">
        <w:t xml:space="preserve"> Laboral del Circuito </w:t>
      </w:r>
      <w:r>
        <w:t>d</w:t>
      </w:r>
      <w:r w:rsidRPr="007337C6">
        <w:t>e Bogotá</w:t>
      </w:r>
      <w:r>
        <w:t xml:space="preserve"> y el Juzgado Quinto Administrativo del Circuito de Bogotá, Sección Primera</w:t>
      </w:r>
    </w:p>
    <w:bookmarkEnd w:id="0"/>
    <w:p w14:paraId="540A25A9" w14:textId="77777777" w:rsidR="00355FCD" w:rsidRPr="0044233B" w:rsidRDefault="00355FCD" w:rsidP="00355FCD">
      <w:pPr>
        <w:ind w:left="3969"/>
        <w:jc w:val="both"/>
        <w:rPr>
          <w:lang w:eastAsia="es-ES_tradnl"/>
        </w:rPr>
      </w:pPr>
      <w:r w:rsidRPr="0044233B">
        <w:rPr>
          <w:rStyle w:val="FontStyle12"/>
          <w:sz w:val="28"/>
          <w:szCs w:val="28"/>
          <w:lang w:eastAsia="es-ES_tradnl"/>
        </w:rPr>
        <w:t xml:space="preserve"> </w:t>
      </w:r>
    </w:p>
    <w:p w14:paraId="2453A714" w14:textId="77777777" w:rsidR="00355FCD" w:rsidRPr="0044233B" w:rsidRDefault="00355FCD" w:rsidP="00355FCD">
      <w:pPr>
        <w:ind w:left="3686"/>
        <w:jc w:val="both"/>
        <w:rPr>
          <w:b/>
        </w:rPr>
      </w:pPr>
      <w:r w:rsidRPr="0044233B">
        <w:rPr>
          <w:b/>
        </w:rPr>
        <w:t xml:space="preserve">Magistrada ponente: </w:t>
      </w:r>
    </w:p>
    <w:p w14:paraId="383D6636" w14:textId="77777777" w:rsidR="00355FCD" w:rsidRPr="0044233B" w:rsidRDefault="00355FCD" w:rsidP="00355FCD">
      <w:pPr>
        <w:ind w:left="3686"/>
        <w:jc w:val="both"/>
        <w:outlineLvl w:val="0"/>
      </w:pPr>
      <w:r w:rsidRPr="0044233B">
        <w:t>PAOLA ANDREA MENESES MOSQUERA</w:t>
      </w:r>
    </w:p>
    <w:p w14:paraId="2686E515" w14:textId="77777777" w:rsidR="00355FCD" w:rsidRPr="0044233B" w:rsidRDefault="00355FCD" w:rsidP="00355FCD">
      <w:pPr>
        <w:jc w:val="both"/>
      </w:pPr>
    </w:p>
    <w:p w14:paraId="200F2AB3" w14:textId="0C0E9A5B" w:rsidR="00355FCD" w:rsidRPr="0044233B" w:rsidRDefault="00355FCD" w:rsidP="00355FCD">
      <w:pPr>
        <w:jc w:val="both"/>
        <w:outlineLvl w:val="0"/>
      </w:pPr>
      <w:r w:rsidRPr="0044233B">
        <w:t xml:space="preserve">Bogotá D.C., </w:t>
      </w:r>
      <w:r w:rsidR="00C91F34">
        <w:t>once</w:t>
      </w:r>
      <w:r w:rsidRPr="0044233B">
        <w:t xml:space="preserve"> (</w:t>
      </w:r>
      <w:r w:rsidR="00C91F34">
        <w:t>11</w:t>
      </w:r>
      <w:r w:rsidRPr="0044233B">
        <w:t xml:space="preserve">) de </w:t>
      </w:r>
      <w:r w:rsidR="00C91F34">
        <w:t>octu</w:t>
      </w:r>
      <w:r>
        <w:t>bre</w:t>
      </w:r>
      <w:r w:rsidRPr="0044233B">
        <w:t xml:space="preserve"> de dos mil veinti</w:t>
      </w:r>
      <w:r>
        <w:t>trés</w:t>
      </w:r>
      <w:r w:rsidRPr="0044233B">
        <w:t xml:space="preserve"> (2023)</w:t>
      </w:r>
    </w:p>
    <w:p w14:paraId="00E5E73A" w14:textId="77777777" w:rsidR="00355FCD" w:rsidRPr="0044233B" w:rsidRDefault="00355FCD" w:rsidP="00355FCD">
      <w:pPr>
        <w:pStyle w:val="Style6"/>
        <w:widowControl/>
        <w:spacing w:line="240" w:lineRule="auto"/>
        <w:rPr>
          <w:sz w:val="28"/>
          <w:szCs w:val="28"/>
        </w:rPr>
      </w:pPr>
    </w:p>
    <w:p w14:paraId="0EE45984" w14:textId="77777777" w:rsidR="00355FCD" w:rsidRPr="0044233B" w:rsidRDefault="00355FCD" w:rsidP="00355FCD">
      <w:pPr>
        <w:pStyle w:val="Style6"/>
        <w:widowControl/>
        <w:spacing w:line="240" w:lineRule="auto"/>
        <w:rPr>
          <w:rStyle w:val="FontStyle12"/>
          <w:sz w:val="28"/>
          <w:szCs w:val="28"/>
          <w:lang w:eastAsia="es-ES_tradnl"/>
        </w:rPr>
      </w:pPr>
      <w:r w:rsidRPr="0044233B">
        <w:rPr>
          <w:sz w:val="28"/>
          <w:szCs w:val="28"/>
        </w:rPr>
        <w:t>La Sala Plena de la Corte Constitucional, en cumplimiento de sus atribuciones constitucionales, en particular, la prevista por el numeral 11 del artículo 241 de la Constitución Política, profiere el siguiente</w:t>
      </w:r>
    </w:p>
    <w:p w14:paraId="694ACE54" w14:textId="77777777" w:rsidR="00355FCD" w:rsidRPr="0044233B" w:rsidRDefault="00355FCD" w:rsidP="00355FCD">
      <w:pPr>
        <w:tabs>
          <w:tab w:val="left" w:pos="6120"/>
        </w:tabs>
        <w:rPr>
          <w:lang w:eastAsia="es-ES_tradnl"/>
        </w:rPr>
      </w:pPr>
      <w:r w:rsidRPr="0044233B">
        <w:rPr>
          <w:lang w:eastAsia="es-ES_tradnl"/>
        </w:rPr>
        <w:tab/>
      </w:r>
    </w:p>
    <w:p w14:paraId="75DA6CC1" w14:textId="77777777" w:rsidR="00355FCD" w:rsidRPr="0044233B" w:rsidRDefault="00355FCD" w:rsidP="00355FCD">
      <w:pPr>
        <w:pStyle w:val="Style2"/>
        <w:widowControl/>
        <w:spacing w:line="240" w:lineRule="auto"/>
        <w:outlineLvl w:val="0"/>
        <w:rPr>
          <w:rStyle w:val="FontStyle11"/>
          <w:sz w:val="28"/>
          <w:szCs w:val="28"/>
          <w:lang w:eastAsia="es-ES_tradnl"/>
        </w:rPr>
      </w:pPr>
      <w:r w:rsidRPr="0044233B">
        <w:rPr>
          <w:rStyle w:val="FontStyle11"/>
          <w:sz w:val="28"/>
          <w:szCs w:val="28"/>
          <w:lang w:eastAsia="es-ES_tradnl"/>
        </w:rPr>
        <w:t>AUTO</w:t>
      </w:r>
    </w:p>
    <w:p w14:paraId="578B106A" w14:textId="77777777" w:rsidR="00355FCD" w:rsidRPr="0044233B" w:rsidRDefault="00355FCD" w:rsidP="00355FCD">
      <w:pPr>
        <w:rPr>
          <w:rStyle w:val="FontStyle11"/>
          <w:lang w:eastAsia="es-ES_tradnl"/>
        </w:rPr>
      </w:pPr>
    </w:p>
    <w:p w14:paraId="0D01865B" w14:textId="77777777" w:rsidR="00355FCD" w:rsidRPr="0044233B" w:rsidRDefault="00355FCD" w:rsidP="00355FCD">
      <w:pPr>
        <w:pStyle w:val="Prrafodelista"/>
        <w:widowControl w:val="0"/>
        <w:numPr>
          <w:ilvl w:val="0"/>
          <w:numId w:val="8"/>
        </w:numPr>
        <w:pBdr>
          <w:top w:val="nil"/>
          <w:left w:val="nil"/>
          <w:bottom w:val="nil"/>
          <w:right w:val="nil"/>
          <w:between w:val="nil"/>
        </w:pBdr>
        <w:rPr>
          <w:b/>
          <w:bCs/>
        </w:rPr>
      </w:pPr>
      <w:r w:rsidRPr="0044233B">
        <w:rPr>
          <w:b/>
          <w:bCs/>
        </w:rPr>
        <w:t xml:space="preserve">ANTECEDENTES </w:t>
      </w:r>
    </w:p>
    <w:p w14:paraId="0E8C0E5A" w14:textId="77777777" w:rsidR="00355FCD" w:rsidRPr="0044233B" w:rsidRDefault="00355FCD" w:rsidP="00355FCD">
      <w:pPr>
        <w:pStyle w:val="Prrafodelista"/>
        <w:ind w:left="0" w:right="-8"/>
        <w:jc w:val="both"/>
      </w:pPr>
    </w:p>
    <w:p w14:paraId="2E0F5C80" w14:textId="10F5032E" w:rsidR="00355FCD" w:rsidRPr="0044233B" w:rsidRDefault="00355FCD" w:rsidP="00355FCD">
      <w:pPr>
        <w:pStyle w:val="Prrafodelista"/>
        <w:numPr>
          <w:ilvl w:val="6"/>
          <w:numId w:val="10"/>
        </w:numPr>
        <w:ind w:left="0" w:firstLine="0"/>
        <w:jc w:val="both"/>
      </w:pPr>
      <w:r w:rsidRPr="0044233B">
        <w:t xml:space="preserve">La entidad promotora de salud </w:t>
      </w:r>
      <w:r w:rsidR="00A37DB1">
        <w:t>Coomeva EPS</w:t>
      </w:r>
      <w:r>
        <w:t xml:space="preserve"> S.</w:t>
      </w:r>
      <w:r w:rsidR="00A37DB1">
        <w:t>A.</w:t>
      </w:r>
      <w:r w:rsidRPr="0044233B">
        <w:t xml:space="preserve"> (en adelante, </w:t>
      </w:r>
      <w:r w:rsidR="00A37DB1">
        <w:t>Coomeva EPS</w:t>
      </w:r>
      <w:r w:rsidRPr="0044233B">
        <w:t>) interpuso demanda</w:t>
      </w:r>
      <w:r w:rsidR="00A37DB1">
        <w:t xml:space="preserve"> ordinaria laboral</w:t>
      </w:r>
      <w:r>
        <w:t xml:space="preserve"> </w:t>
      </w:r>
      <w:r w:rsidRPr="0044233B">
        <w:t>en contra de la Nación – Ministerio de Salud y Protección Social</w:t>
      </w:r>
      <w:r w:rsidR="00A37DB1">
        <w:t xml:space="preserve"> y otros</w:t>
      </w:r>
      <w:r>
        <w:rPr>
          <w:rStyle w:val="Refdenotaalpie"/>
        </w:rPr>
        <w:footnoteReference w:id="1"/>
      </w:r>
      <w:r w:rsidR="007D7B73">
        <w:t>.</w:t>
      </w:r>
      <w:r w:rsidRPr="0044233B">
        <w:t xml:space="preserve"> Esto, con el fin de que</w:t>
      </w:r>
      <w:r>
        <w:t xml:space="preserve"> </w:t>
      </w:r>
      <w:r w:rsidRPr="0044233B">
        <w:t>se declare</w:t>
      </w:r>
      <w:r>
        <w:t xml:space="preserve">, entre otros, </w:t>
      </w:r>
      <w:r w:rsidRPr="0044233B">
        <w:t>la</w:t>
      </w:r>
      <w:r>
        <w:t xml:space="preserve"> responsabilidad de la parte demandada</w:t>
      </w:r>
      <w:r w:rsidRPr="0044233B">
        <w:t xml:space="preserve"> </w:t>
      </w:r>
      <w:r>
        <w:t xml:space="preserve">por </w:t>
      </w:r>
      <w:r w:rsidRPr="0044233B">
        <w:t>“</w:t>
      </w:r>
      <w:r w:rsidR="00272F86">
        <w:t>el no pago de los recobros por actividades, intervenciones procedimientos, suministros, medicamentos, y demás prestaciones, NO incluidos dentro de las coberturas del Plan Obligatorio de Salud (POS), suministrados por COOMEVA EPS S.A.</w:t>
      </w:r>
      <w:r>
        <w:t>”</w:t>
      </w:r>
      <w:r>
        <w:rPr>
          <w:rStyle w:val="Refdenotaalpie"/>
        </w:rPr>
        <w:footnoteReference w:id="2"/>
      </w:r>
      <w:r>
        <w:t xml:space="preserve">. </w:t>
      </w:r>
      <w:r w:rsidR="00E26F2C">
        <w:t>C</w:t>
      </w:r>
      <w:r>
        <w:t xml:space="preserve">omo consecuencia de </w:t>
      </w:r>
      <w:r w:rsidR="008D235F">
        <w:t>lo anterior</w:t>
      </w:r>
      <w:r w:rsidR="00E26F2C">
        <w:t>, solicitó</w:t>
      </w:r>
      <w:r>
        <w:t xml:space="preserve">: </w:t>
      </w:r>
      <w:r w:rsidRPr="003C2A40">
        <w:rPr>
          <w:i/>
          <w:iCs/>
        </w:rPr>
        <w:t>(i)</w:t>
      </w:r>
      <w:r>
        <w:t xml:space="preserve"> a título de daño emergente y lucro cesante, el pago de </w:t>
      </w:r>
      <w:r w:rsidR="00272F86">
        <w:t>dieciocho mil setecientos millones trecientos sesenta y cinco mil ochocientos dos pesos ($18.700.</w:t>
      </w:r>
      <w:proofErr w:type="gramStart"/>
      <w:r w:rsidR="00272F86">
        <w:t>365.802</w:t>
      </w:r>
      <w:r w:rsidR="008D235F">
        <w:t>.oo</w:t>
      </w:r>
      <w:proofErr w:type="gramEnd"/>
      <w:r w:rsidR="00272F86">
        <w:t>)</w:t>
      </w:r>
      <w:r w:rsidR="008D235F">
        <w:t>,</w:t>
      </w:r>
      <w:r w:rsidR="00272F86">
        <w:t xml:space="preserve"> </w:t>
      </w:r>
      <w:r>
        <w:t>“</w:t>
      </w:r>
      <w:r w:rsidR="006B2DB8">
        <w:t xml:space="preserve">por el no pago de los 21.008 recobros integrados </w:t>
      </w:r>
      <w:r w:rsidR="006B2DB8">
        <w:lastRenderedPageBreak/>
        <w:t>por 29.904 ítems</w:t>
      </w:r>
      <w:r>
        <w:t>”</w:t>
      </w:r>
      <w:r>
        <w:rPr>
          <w:rStyle w:val="Refdenotaalpie"/>
        </w:rPr>
        <w:footnoteReference w:id="3"/>
      </w:r>
      <w:r w:rsidR="006B2DB8">
        <w:t xml:space="preserve"> y </w:t>
      </w:r>
      <w:r w:rsidR="00A63D1B">
        <w:t xml:space="preserve">el </w:t>
      </w:r>
      <w:r>
        <w:t>“</w:t>
      </w:r>
      <w:r w:rsidR="006B2DB8">
        <w:t>pago de intereses moratorios</w:t>
      </w:r>
      <w:r>
        <w:t>”</w:t>
      </w:r>
      <w:r>
        <w:rPr>
          <w:rStyle w:val="Refdenotaalpie"/>
        </w:rPr>
        <w:footnoteReference w:id="4"/>
      </w:r>
      <w:r w:rsidR="00D038D5">
        <w:t>, y</w:t>
      </w:r>
      <w:r w:rsidR="00C22DBD">
        <w:t xml:space="preserve"> </w:t>
      </w:r>
      <w:r w:rsidRPr="007254CD">
        <w:rPr>
          <w:i/>
          <w:iCs/>
        </w:rPr>
        <w:t>(ii)</w:t>
      </w:r>
      <w:r>
        <w:rPr>
          <w:i/>
          <w:iCs/>
        </w:rPr>
        <w:t xml:space="preserve"> </w:t>
      </w:r>
      <w:r>
        <w:t>la indexación y/o corrección monetaria de las sumas pretendidas</w:t>
      </w:r>
      <w:r w:rsidR="00C22DBD">
        <w:t>.</w:t>
      </w:r>
    </w:p>
    <w:p w14:paraId="1E5C711F" w14:textId="77777777" w:rsidR="00355FCD" w:rsidRPr="0044233B" w:rsidRDefault="00355FCD" w:rsidP="00355FCD">
      <w:pPr>
        <w:pStyle w:val="Prrafodelista"/>
        <w:ind w:left="0"/>
        <w:jc w:val="both"/>
      </w:pPr>
    </w:p>
    <w:p w14:paraId="5B6C64D6" w14:textId="217ACCFB" w:rsidR="00355FCD" w:rsidRDefault="00355FCD" w:rsidP="00355FCD">
      <w:pPr>
        <w:pStyle w:val="Prrafodelista"/>
        <w:numPr>
          <w:ilvl w:val="6"/>
          <w:numId w:val="10"/>
        </w:numPr>
        <w:ind w:left="0" w:firstLine="0"/>
        <w:jc w:val="both"/>
      </w:pPr>
      <w:r w:rsidRPr="0044233B">
        <w:t>Por reparto, el asunto le correspondió a</w:t>
      </w:r>
      <w:r>
        <w:t xml:space="preserve">l </w:t>
      </w:r>
      <w:r w:rsidRPr="0044233B">
        <w:t xml:space="preserve">Juzgado </w:t>
      </w:r>
      <w:r w:rsidR="00C22DBD">
        <w:t>Veintiocho Laboral del Circuito</w:t>
      </w:r>
      <w:r>
        <w:t xml:space="preserve"> de Bogotá</w:t>
      </w:r>
      <w:r w:rsidRPr="0044233B">
        <w:t xml:space="preserve">. El </w:t>
      </w:r>
      <w:r w:rsidR="00C22DBD">
        <w:t>3</w:t>
      </w:r>
      <w:r>
        <w:t>1</w:t>
      </w:r>
      <w:r w:rsidRPr="0044233B">
        <w:t xml:space="preserve"> de </w:t>
      </w:r>
      <w:r>
        <w:t xml:space="preserve">mayo </w:t>
      </w:r>
      <w:r w:rsidRPr="0044233B">
        <w:t>de 20</w:t>
      </w:r>
      <w:r>
        <w:t>1</w:t>
      </w:r>
      <w:r w:rsidR="00C22DBD">
        <w:t>8</w:t>
      </w:r>
      <w:r w:rsidRPr="0044233B">
        <w:t xml:space="preserve">, ese despacho resolvió remitir el proceso al Centro de Servicios Administrativos de Bogotá, con el fin de que fuera repartido entre los juzgados </w:t>
      </w:r>
      <w:r w:rsidR="00C22DBD">
        <w:t>Administrativos</w:t>
      </w:r>
      <w:r w:rsidRPr="0044233B">
        <w:t xml:space="preserve"> del Circuito Judicial. Argumentó que</w:t>
      </w:r>
      <w:r>
        <w:t xml:space="preserve"> “</w:t>
      </w:r>
      <w:r w:rsidR="00C22DBD">
        <w:t xml:space="preserve">teniendo en cuenta que las pretensiones objeto de estudio se encuentran relacionadas con servicios de salud NO incluidos en el Plan Obligatorio de Salud NO POS, y con la declaratoria de responsabilidad del Estado, </w:t>
      </w:r>
      <w:r w:rsidR="00C342AB">
        <w:t>[…]</w:t>
      </w:r>
      <w:r w:rsidR="00C22DBD">
        <w:t>la competencia para conocer de la presente demanda le corresponde a la Jurisdicción Contenciosa Administrativa</w:t>
      </w:r>
      <w:r>
        <w:t>”</w:t>
      </w:r>
      <w:r>
        <w:rPr>
          <w:rStyle w:val="Refdenotaalpie"/>
        </w:rPr>
        <w:footnoteReference w:id="5"/>
      </w:r>
      <w:r>
        <w:t xml:space="preserve">. </w:t>
      </w:r>
      <w:r w:rsidR="00C342AB">
        <w:t>Como fundamento</w:t>
      </w:r>
      <w:r w:rsidR="00885A5D">
        <w:t xml:space="preserve">, el juez </w:t>
      </w:r>
      <w:r w:rsidR="00C342AB">
        <w:t>invocó</w:t>
      </w:r>
      <w:r w:rsidR="00885A5D">
        <w:t xml:space="preserve"> el </w:t>
      </w:r>
      <w:r w:rsidR="00C342AB">
        <w:t>auto proferido en el radicado</w:t>
      </w:r>
      <w:r w:rsidR="00E26F2C">
        <w:t xml:space="preserve"> 110010230000201201700200-1 por</w:t>
      </w:r>
      <w:r w:rsidR="00885A5D">
        <w:t xml:space="preserve"> la Sala Plena de la Corte Suprema de Justicia. </w:t>
      </w:r>
    </w:p>
    <w:p w14:paraId="686556E2" w14:textId="77777777" w:rsidR="00355FCD" w:rsidRDefault="00355FCD" w:rsidP="00355FCD">
      <w:pPr>
        <w:pStyle w:val="Prrafodelista"/>
        <w:ind w:left="0"/>
        <w:jc w:val="both"/>
      </w:pPr>
    </w:p>
    <w:p w14:paraId="12C30095" w14:textId="24A71153" w:rsidR="00355FCD" w:rsidRDefault="00355FCD" w:rsidP="00355FCD">
      <w:pPr>
        <w:pStyle w:val="Prrafodelista"/>
        <w:numPr>
          <w:ilvl w:val="6"/>
          <w:numId w:val="10"/>
        </w:numPr>
        <w:ind w:left="0" w:firstLine="0"/>
        <w:jc w:val="both"/>
      </w:pPr>
      <w:bookmarkStart w:id="1" w:name="_Hlk58847734"/>
      <w:bookmarkStart w:id="2" w:name="_Hlk58860728"/>
      <w:r w:rsidRPr="0044233B">
        <w:t xml:space="preserve">El proceso fue asignado, por reparto, al Juzgado </w:t>
      </w:r>
      <w:r w:rsidR="00885A5D">
        <w:t>Treinta y Cuatro Administrativo</w:t>
      </w:r>
      <w:r>
        <w:t xml:space="preserve"> de Bogotá</w:t>
      </w:r>
      <w:r w:rsidR="00885A5D">
        <w:t>, Sección Tercera</w:t>
      </w:r>
      <w:r w:rsidRPr="0044233B">
        <w:t xml:space="preserve">. El </w:t>
      </w:r>
      <w:r w:rsidR="00885A5D">
        <w:t>27</w:t>
      </w:r>
      <w:r w:rsidRPr="0044233B">
        <w:t xml:space="preserve"> de </w:t>
      </w:r>
      <w:r w:rsidR="00885A5D">
        <w:t>julio</w:t>
      </w:r>
      <w:r>
        <w:t xml:space="preserve"> </w:t>
      </w:r>
      <w:r w:rsidRPr="0044233B">
        <w:t>de 20</w:t>
      </w:r>
      <w:r>
        <w:t>1</w:t>
      </w:r>
      <w:r w:rsidR="00885A5D">
        <w:t>8</w:t>
      </w:r>
      <w:r w:rsidRPr="0044233B">
        <w:t>, la referida autoridad resolvió</w:t>
      </w:r>
      <w:r w:rsidRPr="0044233B">
        <w:rPr>
          <w:i/>
        </w:rPr>
        <w:t xml:space="preserve"> (i) </w:t>
      </w:r>
      <w:r w:rsidRPr="0044233B">
        <w:t xml:space="preserve">declarar </w:t>
      </w:r>
      <w:r w:rsidR="00805E34">
        <w:t>la falta de</w:t>
      </w:r>
      <w:r w:rsidRPr="0044233B">
        <w:t xml:space="preserve"> jurisdicción para conocer el asunto, </w:t>
      </w:r>
      <w:r w:rsidRPr="0044233B">
        <w:rPr>
          <w:i/>
        </w:rPr>
        <w:t>(ii)</w:t>
      </w:r>
      <w:r w:rsidRPr="0044233B">
        <w:t xml:space="preserve"> suscitar conflicto negativo de jurisdicciones y </w:t>
      </w:r>
      <w:r w:rsidRPr="0044233B">
        <w:rPr>
          <w:i/>
        </w:rPr>
        <w:t>(iii)</w:t>
      </w:r>
      <w:r w:rsidRPr="0044233B">
        <w:t xml:space="preserve"> remitir el expediente a</w:t>
      </w:r>
      <w:r>
        <w:t xml:space="preserve"> la</w:t>
      </w:r>
      <w:r w:rsidRPr="0044233B">
        <w:t xml:space="preserve"> </w:t>
      </w:r>
      <w:r>
        <w:t>Sala Jurisdiccional Disciplinaria del Consejo Superior de la Judicatura</w:t>
      </w:r>
      <w:r w:rsidRPr="0044233B">
        <w:t xml:space="preserve">. Argumentó que </w:t>
      </w:r>
      <w:r w:rsidR="00B22A9D">
        <w:t>no tiene</w:t>
      </w:r>
      <w:r>
        <w:t xml:space="preserve"> competencia para conocer de la referida causa, por</w:t>
      </w:r>
      <w:r w:rsidR="00040C53">
        <w:t>que “la Sala Jurisdiccional Disciplinaria del Consejo Superior de la Judicatura al decidir conflicto</w:t>
      </w:r>
      <w:r w:rsidR="00B22A9D">
        <w:t>[s]</w:t>
      </w:r>
      <w:r w:rsidR="00040C53">
        <w:t xml:space="preserve"> de jurisdicciones en materia de recobros, ha señalado que las controversias propias del Sistema de Seguridad Social Integral </w:t>
      </w:r>
      <w:r w:rsidR="00B94A54">
        <w:t>s</w:t>
      </w:r>
      <w:r w:rsidR="00040C53">
        <w:t>on de competencia de la jurisdicción ordinaria laboral</w:t>
      </w:r>
      <w:r>
        <w:t>”</w:t>
      </w:r>
      <w:r>
        <w:rPr>
          <w:rStyle w:val="Refdenotaalpie"/>
        </w:rPr>
        <w:footnoteReference w:id="6"/>
      </w:r>
      <w:r w:rsidRPr="00D232BB">
        <w:t>.</w:t>
      </w:r>
      <w:bookmarkEnd w:id="1"/>
      <w:bookmarkEnd w:id="2"/>
      <w:r w:rsidR="00040C53">
        <w:t xml:space="preserve"> Para llegar a esta conclusión se apoyó en el artículo 104 del Código de Procedimiento Administrativo y de lo Contencioso Administrativo (en adelante, CPACA) y en </w:t>
      </w:r>
      <w:r w:rsidR="002501BF">
        <w:t xml:space="preserve">la providencia proferida en por la </w:t>
      </w:r>
      <w:r w:rsidR="00040C53">
        <w:t>Sala Jurisdiccional Disciplinaria del Consejo Superior de la Judicatura</w:t>
      </w:r>
      <w:r w:rsidR="002501BF">
        <w:t xml:space="preserve"> </w:t>
      </w:r>
      <w:r w:rsidR="004A5384">
        <w:t xml:space="preserve">en </w:t>
      </w:r>
      <w:r w:rsidR="002501BF">
        <w:t>el proceso núm. 110010102000201302347-00</w:t>
      </w:r>
      <w:r w:rsidR="00040C53">
        <w:t>.</w:t>
      </w:r>
    </w:p>
    <w:p w14:paraId="5DFA1DDB" w14:textId="77777777" w:rsidR="00355FCD" w:rsidRDefault="00355FCD" w:rsidP="00355FCD">
      <w:pPr>
        <w:pStyle w:val="Prrafodelista"/>
        <w:ind w:left="0"/>
        <w:jc w:val="both"/>
      </w:pPr>
    </w:p>
    <w:p w14:paraId="5F585092" w14:textId="1B8A6E3A" w:rsidR="00355FCD" w:rsidRPr="001709FE" w:rsidRDefault="00355FCD" w:rsidP="00355FCD">
      <w:pPr>
        <w:pStyle w:val="Prrafodelista"/>
        <w:numPr>
          <w:ilvl w:val="6"/>
          <w:numId w:val="10"/>
        </w:numPr>
        <w:ind w:left="0" w:firstLine="0"/>
        <w:jc w:val="both"/>
      </w:pPr>
      <w:r w:rsidRPr="001709FE">
        <w:t xml:space="preserve">Por medio de auto del </w:t>
      </w:r>
      <w:r w:rsidR="00E9058F">
        <w:t>18</w:t>
      </w:r>
      <w:r w:rsidRPr="001709FE">
        <w:t xml:space="preserve"> de </w:t>
      </w:r>
      <w:r w:rsidR="00E9058F">
        <w:t>diciembre</w:t>
      </w:r>
      <w:r w:rsidRPr="001709FE">
        <w:t xml:space="preserve"> de 201</w:t>
      </w:r>
      <w:r w:rsidR="00E9058F">
        <w:t>8</w:t>
      </w:r>
      <w:r w:rsidRPr="001709FE">
        <w:rPr>
          <w:rStyle w:val="Refdenotaalpie"/>
        </w:rPr>
        <w:footnoteReference w:id="7"/>
      </w:r>
      <w:r w:rsidRPr="001709FE">
        <w:t xml:space="preserve">, la Sala Jurisdiccional Disciplinaria del Consejo Superior de la Judicatura dirimió el conflicto negativo de jurisdicciones suscitado entre el Juzgado </w:t>
      </w:r>
      <w:r w:rsidR="00E9058F">
        <w:t>Treinta y Cuatro</w:t>
      </w:r>
      <w:r w:rsidRPr="001709FE">
        <w:t xml:space="preserve"> Administrativ</w:t>
      </w:r>
      <w:r>
        <w:t>o</w:t>
      </w:r>
      <w:r w:rsidRPr="001709FE">
        <w:t xml:space="preserve"> del Circuito de Bogotá</w:t>
      </w:r>
      <w:r w:rsidR="00666EEC">
        <w:t>,</w:t>
      </w:r>
      <w:r w:rsidRPr="001709FE">
        <w:t xml:space="preserve"> </w:t>
      </w:r>
      <w:r w:rsidR="00E9058F">
        <w:t>Sección Tercera</w:t>
      </w:r>
      <w:r w:rsidR="00666EEC">
        <w:t>,</w:t>
      </w:r>
      <w:r w:rsidR="00E9058F">
        <w:t xml:space="preserve"> </w:t>
      </w:r>
      <w:r w:rsidRPr="001709FE">
        <w:t xml:space="preserve">y el Juzgado </w:t>
      </w:r>
      <w:r w:rsidR="000045D6">
        <w:t>Veintiocho</w:t>
      </w:r>
      <w:r w:rsidRPr="001709FE">
        <w:t xml:space="preserve"> Laboral del Circuito de Bogotá, asignando el conocimiento del caso a </w:t>
      </w:r>
      <w:r>
        <w:t>este último</w:t>
      </w:r>
      <w:r w:rsidRPr="001709FE">
        <w:t>. La Sala arribó a tal conclusión tras considerar que “</w:t>
      </w:r>
      <w:r w:rsidR="000045D6">
        <w:t xml:space="preserve">la controversia se suscitó entre una entidad administrativa prestadora del servicio de salud de carácter particular y una entidad pública, situación </w:t>
      </w:r>
      <w:proofErr w:type="gramStart"/>
      <w:r w:rsidR="000045D6">
        <w:t>que</w:t>
      </w:r>
      <w:proofErr w:type="gramEnd"/>
      <w:r w:rsidR="000045D6">
        <w:t xml:space="preserve"> sin lugar a dudas, se enmarca en lo normado y ya referido numeral 4 del artículo 2 del Código Procesal del Trabajo y de la Seguridad Social, modificado por el artículo 622 del C.G.P., pues dicha controversia es propia del Sistema de Seguridad Social Integral</w:t>
      </w:r>
      <w:r w:rsidRPr="001709FE">
        <w:t>”</w:t>
      </w:r>
      <w:r>
        <w:rPr>
          <w:rStyle w:val="Refdenotaalpie"/>
        </w:rPr>
        <w:footnoteReference w:id="8"/>
      </w:r>
      <w:r w:rsidRPr="001709FE">
        <w:t>.</w:t>
      </w:r>
    </w:p>
    <w:p w14:paraId="5A17CE19" w14:textId="77777777" w:rsidR="00355FCD" w:rsidRPr="0044233B" w:rsidRDefault="00355FCD" w:rsidP="00355FCD">
      <w:pPr>
        <w:pStyle w:val="Prrafodelista"/>
        <w:ind w:left="0"/>
        <w:jc w:val="both"/>
      </w:pPr>
    </w:p>
    <w:p w14:paraId="6BFDBDD5" w14:textId="51223DD1" w:rsidR="00355FCD" w:rsidRDefault="00355FCD" w:rsidP="00355FCD">
      <w:pPr>
        <w:pStyle w:val="Prrafodelista"/>
        <w:numPr>
          <w:ilvl w:val="6"/>
          <w:numId w:val="10"/>
        </w:numPr>
        <w:ind w:left="0" w:firstLine="0"/>
        <w:jc w:val="both"/>
      </w:pPr>
      <w:r>
        <w:lastRenderedPageBreak/>
        <w:t xml:space="preserve">Mediante providencia del </w:t>
      </w:r>
      <w:r w:rsidR="00A432B7">
        <w:t>12</w:t>
      </w:r>
      <w:r>
        <w:t xml:space="preserve"> de</w:t>
      </w:r>
      <w:r w:rsidR="00A432B7">
        <w:t xml:space="preserve"> abril</w:t>
      </w:r>
      <w:r>
        <w:t xml:space="preserve"> de 20</w:t>
      </w:r>
      <w:r w:rsidR="00A432B7">
        <w:t>19</w:t>
      </w:r>
      <w:r>
        <w:t xml:space="preserve">, el </w:t>
      </w:r>
      <w:r w:rsidRPr="001709FE">
        <w:t>Juzgado</w:t>
      </w:r>
      <w:r w:rsidR="00A432B7">
        <w:t xml:space="preserve"> Veintiocho</w:t>
      </w:r>
      <w:r>
        <w:t xml:space="preserve"> </w:t>
      </w:r>
      <w:r w:rsidRPr="001709FE">
        <w:t>Laboral del Circuito de Bogotá</w:t>
      </w:r>
      <w:r>
        <w:t xml:space="preserve"> admitió la demanda presentada por </w:t>
      </w:r>
      <w:r w:rsidR="00A432B7">
        <w:t>Coomeva EPS</w:t>
      </w:r>
      <w:r>
        <w:rPr>
          <w:rStyle w:val="Refdenotaalpie"/>
        </w:rPr>
        <w:footnoteReference w:id="9"/>
      </w:r>
      <w:r>
        <w:t xml:space="preserve">. </w:t>
      </w:r>
      <w:r w:rsidR="00666EEC">
        <w:t>Posteriormente</w:t>
      </w:r>
      <w:r>
        <w:t xml:space="preserve">, </w:t>
      </w:r>
      <w:r w:rsidR="001C1B57">
        <w:t>con</w:t>
      </w:r>
      <w:r>
        <w:t xml:space="preserve"> auto del </w:t>
      </w:r>
      <w:r w:rsidR="00211F90">
        <w:t>13</w:t>
      </w:r>
      <w:r>
        <w:t xml:space="preserve"> de </w:t>
      </w:r>
      <w:r w:rsidR="00211F90">
        <w:t>mayo</w:t>
      </w:r>
      <w:r>
        <w:t xml:space="preserve"> de </w:t>
      </w:r>
      <w:r w:rsidR="00211F90">
        <w:t>2022</w:t>
      </w:r>
      <w:r w:rsidR="00211F90">
        <w:rPr>
          <w:rStyle w:val="Refdenotaalpie"/>
        </w:rPr>
        <w:footnoteReference w:id="10"/>
      </w:r>
      <w:r>
        <w:t xml:space="preserve">, el juzgado </w:t>
      </w:r>
      <w:r w:rsidR="00211F90">
        <w:t>decidió declarar nuevamente conflicto de jurisdicción y enviar el expediente al centro de servicios de los juzgados administrativos. En esta ocasión argument</w:t>
      </w:r>
      <w:r w:rsidR="00977318">
        <w:t>ó</w:t>
      </w:r>
      <w:r w:rsidR="00211F90">
        <w:t xml:space="preserve"> que “las peticiones corresponden a prestaciones económicas, y no, propiamente a una prestación de servicios conforme lo preceptuado en el numeral 4 del artículo 2 del CPT y de la SS, modificado por el artículo 2 de la Ley 712 de 2001”</w:t>
      </w:r>
      <w:r w:rsidR="00211F90">
        <w:rPr>
          <w:rStyle w:val="Refdenotaalpie"/>
        </w:rPr>
        <w:footnoteReference w:id="11"/>
      </w:r>
      <w:r w:rsidR="00211F90">
        <w:t xml:space="preserve">. </w:t>
      </w:r>
      <w:r w:rsidR="00977318">
        <w:t>E</w:t>
      </w:r>
      <w:r w:rsidR="00211F90">
        <w:t xml:space="preserve">l juez apoyó su decisión en el Auto 389 de 2021 de la Corte Constitucional. </w:t>
      </w:r>
    </w:p>
    <w:p w14:paraId="60C15AD4" w14:textId="77777777" w:rsidR="00211F90" w:rsidRPr="000B5548" w:rsidRDefault="00211F90" w:rsidP="00211F90">
      <w:pPr>
        <w:pStyle w:val="Prrafodelista"/>
        <w:ind w:left="0"/>
        <w:jc w:val="both"/>
      </w:pPr>
    </w:p>
    <w:p w14:paraId="4205A455" w14:textId="081B41F4" w:rsidR="00355FCD" w:rsidRDefault="00211F90" w:rsidP="00355FCD">
      <w:pPr>
        <w:pStyle w:val="Prrafodelista"/>
        <w:numPr>
          <w:ilvl w:val="6"/>
          <w:numId w:val="10"/>
        </w:numPr>
        <w:ind w:left="0" w:firstLine="0"/>
        <w:jc w:val="both"/>
      </w:pPr>
      <w:r>
        <w:t>Por reparto, el expediente correspondió al Juzgado Quinto Administrativo del Circuito de Bogotá</w:t>
      </w:r>
      <w:r w:rsidR="00EF123B">
        <w:t>,</w:t>
      </w:r>
      <w:r>
        <w:t xml:space="preserve"> Sección Primera. Ese despacho</w:t>
      </w:r>
      <w:r w:rsidR="00EF123B">
        <w:t>,</w:t>
      </w:r>
      <w:r>
        <w:t xml:space="preserve"> mediante auto de 1</w:t>
      </w:r>
      <w:r w:rsidR="00355FCD">
        <w:t xml:space="preserve">3 de </w:t>
      </w:r>
      <w:r>
        <w:t>diciembre</w:t>
      </w:r>
      <w:r w:rsidR="00355FCD">
        <w:t xml:space="preserve"> de 202</w:t>
      </w:r>
      <w:r>
        <w:t>2</w:t>
      </w:r>
      <w:r w:rsidR="00DA330C">
        <w:rPr>
          <w:rStyle w:val="Refdenotaalpie"/>
        </w:rPr>
        <w:footnoteReference w:id="12"/>
      </w:r>
      <w:r w:rsidR="00EF123B">
        <w:t>,</w:t>
      </w:r>
      <w:r w:rsidR="00355FCD">
        <w:t xml:space="preserve"> resolvió </w:t>
      </w:r>
      <w:r w:rsidR="00DA330C" w:rsidRPr="00DA330C">
        <w:rPr>
          <w:i/>
          <w:iCs/>
        </w:rPr>
        <w:t>(i)</w:t>
      </w:r>
      <w:r w:rsidR="00DA330C">
        <w:t xml:space="preserve"> declarar la falta de jurisdicción para conocer del asunto; </w:t>
      </w:r>
      <w:r w:rsidR="00DA330C" w:rsidRPr="00DA330C">
        <w:rPr>
          <w:i/>
          <w:iCs/>
        </w:rPr>
        <w:t>(ii)</w:t>
      </w:r>
      <w:r w:rsidR="00DA330C">
        <w:t xml:space="preserve"> proponer conflicto de jurisdicción y </w:t>
      </w:r>
      <w:r w:rsidR="007A5A67">
        <w:rPr>
          <w:i/>
        </w:rPr>
        <w:t xml:space="preserve">(iii) </w:t>
      </w:r>
      <w:r w:rsidR="00DA330C">
        <w:t>enviar el expediente a la Corte Constitucional</w:t>
      </w:r>
      <w:r w:rsidR="007A5A67">
        <w:t xml:space="preserve"> para que dirimiera el referido conflicto</w:t>
      </w:r>
      <w:r w:rsidR="00DA330C">
        <w:t>. Como fundamento de su decisión</w:t>
      </w:r>
      <w:r w:rsidR="006566B2">
        <w:t>,</w:t>
      </w:r>
      <w:r w:rsidR="00DA330C">
        <w:t xml:space="preserve"> argumentó que </w:t>
      </w:r>
      <w:r w:rsidR="00355FCD">
        <w:t>“</w:t>
      </w:r>
      <w:r w:rsidR="00DA330C" w:rsidRPr="00DA330C">
        <w:t>la decisión que adoptó el Juzgado 28 Laboral del Circuito Judicial de Bogotá de remitir el asunto de la referencia a los Juzgados Administrativos de Bogotá por falta de jurisdicción, desconoce la determinación judicial adoptada por quien para efectos del conflicto de competencias era su superior y afecta el principio de seguridad jurídica que rige la administración de justicia</w:t>
      </w:r>
      <w:r w:rsidR="00355FCD">
        <w:t>”</w:t>
      </w:r>
      <w:r w:rsidR="00355FCD">
        <w:rPr>
          <w:rStyle w:val="Refdenotaalpie"/>
        </w:rPr>
        <w:footnoteReference w:id="13"/>
      </w:r>
      <w:r w:rsidR="00355FCD" w:rsidRPr="00B2600B">
        <w:t>.</w:t>
      </w:r>
      <w:r w:rsidR="00DA330C">
        <w:t xml:space="preserve"> </w:t>
      </w:r>
      <w:r w:rsidR="00EC60B2">
        <w:t>Adicionalmente,</w:t>
      </w:r>
      <w:r w:rsidR="00DA330C">
        <w:t xml:space="preserve"> el juez </w:t>
      </w:r>
      <w:r w:rsidR="00EC60B2">
        <w:t>invocó</w:t>
      </w:r>
      <w:r w:rsidR="00DA330C">
        <w:t xml:space="preserve"> la </w:t>
      </w:r>
      <w:r w:rsidR="00940108">
        <w:t>S</w:t>
      </w:r>
      <w:r w:rsidR="00DA330C">
        <w:t>entencia T-806 de 2000 y el artículo 139 del Código General del Proceso</w:t>
      </w:r>
      <w:r w:rsidR="00940108">
        <w:t xml:space="preserve"> (en adelante, CGP)</w:t>
      </w:r>
      <w:r w:rsidR="00DA330C">
        <w:t>.</w:t>
      </w:r>
    </w:p>
    <w:p w14:paraId="31335A5E" w14:textId="77777777" w:rsidR="00DA330C" w:rsidRPr="00B2600B" w:rsidRDefault="00DA330C" w:rsidP="00DA330C">
      <w:pPr>
        <w:pStyle w:val="Prrafodelista"/>
        <w:ind w:left="0"/>
        <w:jc w:val="both"/>
      </w:pPr>
    </w:p>
    <w:p w14:paraId="6D7E2027" w14:textId="7A1CC377" w:rsidR="00355FCD" w:rsidRPr="0044233B" w:rsidRDefault="00355FCD" w:rsidP="00355FCD">
      <w:pPr>
        <w:pStyle w:val="Prrafodelista"/>
        <w:numPr>
          <w:ilvl w:val="6"/>
          <w:numId w:val="10"/>
        </w:numPr>
        <w:ind w:left="0" w:firstLine="0"/>
        <w:jc w:val="both"/>
      </w:pPr>
      <w:r w:rsidRPr="0044233B">
        <w:rPr>
          <w:lang w:val="es-ES_tradnl"/>
        </w:rPr>
        <w:t xml:space="preserve">El </w:t>
      </w:r>
      <w:r w:rsidR="00DA330C">
        <w:rPr>
          <w:lang w:val="es-ES_tradnl"/>
        </w:rPr>
        <w:t>5</w:t>
      </w:r>
      <w:r w:rsidRPr="0044233B">
        <w:rPr>
          <w:lang w:val="es-ES_tradnl"/>
        </w:rPr>
        <w:t xml:space="preserve"> de </w:t>
      </w:r>
      <w:r w:rsidR="00DA330C">
        <w:rPr>
          <w:lang w:val="es-ES_tradnl"/>
        </w:rPr>
        <w:t>julio</w:t>
      </w:r>
      <w:r>
        <w:rPr>
          <w:lang w:val="es-ES_tradnl"/>
        </w:rPr>
        <w:t xml:space="preserve"> </w:t>
      </w:r>
      <w:r w:rsidRPr="0044233B">
        <w:rPr>
          <w:lang w:val="es-ES_tradnl"/>
        </w:rPr>
        <w:t xml:space="preserve">de 2023, el expediente fue asignado al despacho de la magistrada sustanciadora. Luego, el </w:t>
      </w:r>
      <w:r w:rsidR="00DA330C">
        <w:rPr>
          <w:lang w:val="es-ES_tradnl"/>
        </w:rPr>
        <w:t>7</w:t>
      </w:r>
      <w:r w:rsidRPr="0044233B">
        <w:rPr>
          <w:lang w:val="es-ES_tradnl"/>
        </w:rPr>
        <w:t xml:space="preserve"> de </w:t>
      </w:r>
      <w:r w:rsidR="00DA330C">
        <w:rPr>
          <w:lang w:val="es-ES_tradnl"/>
        </w:rPr>
        <w:t>julio</w:t>
      </w:r>
      <w:r>
        <w:rPr>
          <w:lang w:val="es-ES_tradnl"/>
        </w:rPr>
        <w:t xml:space="preserve"> </w:t>
      </w:r>
      <w:r w:rsidRPr="0044233B">
        <w:rPr>
          <w:lang w:val="es-ES_tradnl"/>
        </w:rPr>
        <w:t>2023, la Secretaría General de la Corte Constitucional lo remitió al referido despacho</w:t>
      </w:r>
      <w:r w:rsidRPr="0044233B">
        <w:rPr>
          <w:rStyle w:val="Refdenotaalpie"/>
          <w:lang w:val="es-ES_tradnl"/>
        </w:rPr>
        <w:footnoteReference w:id="14"/>
      </w:r>
      <w:r w:rsidRPr="0044233B">
        <w:t xml:space="preserve">. </w:t>
      </w:r>
    </w:p>
    <w:p w14:paraId="1AA46724" w14:textId="77777777" w:rsidR="00355FCD" w:rsidRPr="0044233B" w:rsidRDefault="00355FCD" w:rsidP="00355FCD">
      <w:pPr>
        <w:ind w:right="-6"/>
        <w:jc w:val="both"/>
        <w:rPr>
          <w:lang w:val="es-CO"/>
        </w:rPr>
      </w:pPr>
    </w:p>
    <w:p w14:paraId="30158401" w14:textId="77777777" w:rsidR="00355FCD" w:rsidRPr="0044233B" w:rsidRDefault="00355FCD" w:rsidP="00355FCD">
      <w:pPr>
        <w:pStyle w:val="Prrafodelista"/>
        <w:numPr>
          <w:ilvl w:val="0"/>
          <w:numId w:val="1"/>
        </w:numPr>
        <w:rPr>
          <w:b/>
          <w:bCs/>
          <w:lang w:val="es-CO"/>
        </w:rPr>
      </w:pPr>
      <w:r w:rsidRPr="0044233B">
        <w:rPr>
          <w:b/>
          <w:bCs/>
          <w:lang w:val="es-CO"/>
        </w:rPr>
        <w:t xml:space="preserve">CONSIDERACIONES </w:t>
      </w:r>
    </w:p>
    <w:p w14:paraId="4475EF7B" w14:textId="77777777" w:rsidR="00355FCD" w:rsidRPr="0044233B" w:rsidRDefault="00355FCD" w:rsidP="00355FCD">
      <w:pPr>
        <w:ind w:right="-6"/>
        <w:jc w:val="both"/>
        <w:rPr>
          <w:lang w:val="es-CO"/>
        </w:rPr>
      </w:pPr>
    </w:p>
    <w:p w14:paraId="7B7128B5" w14:textId="77777777" w:rsidR="00355FCD" w:rsidRPr="005218A4" w:rsidRDefault="00355FCD" w:rsidP="00355FCD">
      <w:pPr>
        <w:pStyle w:val="Prrafodelista"/>
        <w:numPr>
          <w:ilvl w:val="6"/>
          <w:numId w:val="10"/>
        </w:numPr>
        <w:ind w:left="0" w:right="49" w:firstLine="0"/>
        <w:jc w:val="both"/>
        <w:rPr>
          <w:i/>
          <w:iCs/>
          <w:color w:val="000000" w:themeColor="text1"/>
          <w:lang w:val="uz-Cyrl-UZ"/>
        </w:rPr>
      </w:pPr>
      <w:r w:rsidRPr="005218A4">
        <w:rPr>
          <w:i/>
          <w:color w:val="000000" w:themeColor="text1"/>
          <w:shd w:val="clear" w:color="auto" w:fill="FFFFFF"/>
          <w:lang w:val="es-ES_tradnl"/>
        </w:rPr>
        <w:t xml:space="preserve">La cosa juzgada en los conflictos de jurisdicciones. </w:t>
      </w:r>
      <w:r w:rsidRPr="005218A4">
        <w:rPr>
          <w:iCs/>
          <w:color w:val="000000" w:themeColor="text1"/>
          <w:shd w:val="clear" w:color="auto" w:fill="FFFFFF"/>
        </w:rPr>
        <w:t xml:space="preserve">En el </w:t>
      </w:r>
      <w:r w:rsidRPr="005218A4">
        <w:rPr>
          <w:b/>
          <w:bCs/>
          <w:iCs/>
          <w:color w:val="000000" w:themeColor="text1"/>
          <w:shd w:val="clear" w:color="auto" w:fill="FFFFFF"/>
        </w:rPr>
        <w:t>Auto</w:t>
      </w:r>
      <w:r w:rsidRPr="005218A4">
        <w:rPr>
          <w:iCs/>
          <w:color w:val="000000" w:themeColor="text1"/>
          <w:shd w:val="clear" w:color="auto" w:fill="FFFFFF"/>
        </w:rPr>
        <w:t xml:space="preserve"> </w:t>
      </w:r>
      <w:r w:rsidRPr="005218A4">
        <w:rPr>
          <w:b/>
          <w:bCs/>
          <w:iCs/>
          <w:color w:val="000000" w:themeColor="text1"/>
          <w:shd w:val="clear" w:color="auto" w:fill="FFFFFF"/>
        </w:rPr>
        <w:t>1071 de 2021</w:t>
      </w:r>
      <w:r w:rsidRPr="005218A4">
        <w:rPr>
          <w:iCs/>
          <w:color w:val="000000" w:themeColor="text1"/>
          <w:shd w:val="clear" w:color="auto" w:fill="FFFFFF"/>
        </w:rPr>
        <w:t>, la Corte Constitucional explicó que en los conflictos que se presentan entre jurisdicciones es posible encontrar configurada la cosa juzgada en aquellos casos en los que ya se ha dirimido la competencia en anterior oportunidad; en tal evento, no puede plantearse un nuevo conflicto de jurisdicciones. Pero, si no se encuentran acreditados los elementos de la cosa juzgada, se estaría ante un nuevo conflicto de jurisdicciones, respecto del cual la Corte sí debería pronunciarse. La Sala Plena determinó que para que se configure la cosa juzgada deben concurrir los siguientes elementos: “</w:t>
      </w:r>
      <w:r w:rsidRPr="005218A4">
        <w:rPr>
          <w:i/>
          <w:color w:val="000000" w:themeColor="text1"/>
          <w:shd w:val="clear" w:color="auto" w:fill="FFFFFF"/>
        </w:rPr>
        <w:t xml:space="preserve">(i) </w:t>
      </w:r>
      <w:r w:rsidRPr="005218A4">
        <w:rPr>
          <w:iCs/>
          <w:color w:val="000000" w:themeColor="text1"/>
          <w:shd w:val="clear" w:color="auto" w:fill="FFFFFF"/>
        </w:rPr>
        <w:t xml:space="preserve">identidad de objeto quiere decir que la controversia se trabe respecto del mismo proceso judicial; </w:t>
      </w:r>
      <w:r w:rsidRPr="005218A4">
        <w:rPr>
          <w:i/>
          <w:color w:val="000000" w:themeColor="text1"/>
          <w:shd w:val="clear" w:color="auto" w:fill="FFFFFF"/>
        </w:rPr>
        <w:t>(ii)</w:t>
      </w:r>
      <w:r w:rsidRPr="005218A4">
        <w:rPr>
          <w:iCs/>
          <w:color w:val="000000" w:themeColor="text1"/>
          <w:shd w:val="clear" w:color="auto" w:fill="FFFFFF"/>
        </w:rPr>
        <w:t xml:space="preserve"> identidad de </w:t>
      </w:r>
      <w:r w:rsidRPr="005218A4">
        <w:rPr>
          <w:i/>
          <w:color w:val="000000" w:themeColor="text1"/>
          <w:shd w:val="clear" w:color="auto" w:fill="FFFFFF"/>
        </w:rPr>
        <w:t>causa petendi</w:t>
      </w:r>
      <w:r w:rsidRPr="005218A4">
        <w:rPr>
          <w:iCs/>
          <w:color w:val="000000" w:themeColor="text1"/>
          <w:shd w:val="clear" w:color="auto" w:fill="FFFFFF"/>
        </w:rPr>
        <w:t xml:space="preserve"> supone que las razones que fundamentan el conflicto de competencia sean similares; e </w:t>
      </w:r>
      <w:r w:rsidRPr="005218A4">
        <w:rPr>
          <w:i/>
          <w:color w:val="000000" w:themeColor="text1"/>
          <w:shd w:val="clear" w:color="auto" w:fill="FFFFFF"/>
        </w:rPr>
        <w:t>(iii)</w:t>
      </w:r>
      <w:r w:rsidRPr="005218A4">
        <w:rPr>
          <w:iCs/>
          <w:color w:val="000000" w:themeColor="text1"/>
          <w:shd w:val="clear" w:color="auto" w:fill="FFFFFF"/>
        </w:rPr>
        <w:t xml:space="preserve"> identidad de partes que se refiere a que están involucradas las mismas autoridades judiciales”.</w:t>
      </w:r>
    </w:p>
    <w:p w14:paraId="3F339E97" w14:textId="77777777" w:rsidR="00355FCD" w:rsidRPr="005218A4" w:rsidRDefault="00355FCD" w:rsidP="00355FCD">
      <w:pPr>
        <w:pStyle w:val="Prrafodelista"/>
        <w:ind w:left="0" w:right="49"/>
        <w:jc w:val="both"/>
        <w:rPr>
          <w:i/>
          <w:iCs/>
          <w:color w:val="000000" w:themeColor="text1"/>
          <w:lang w:val="uz-Cyrl-UZ"/>
        </w:rPr>
      </w:pPr>
    </w:p>
    <w:p w14:paraId="3A57E3FE" w14:textId="77777777" w:rsidR="00355FCD" w:rsidRPr="0000620A" w:rsidRDefault="00355FCD" w:rsidP="00355FCD">
      <w:pPr>
        <w:pStyle w:val="Prrafodelista"/>
        <w:numPr>
          <w:ilvl w:val="6"/>
          <w:numId w:val="10"/>
        </w:numPr>
        <w:ind w:left="0" w:right="49" w:firstLine="0"/>
        <w:jc w:val="both"/>
        <w:rPr>
          <w:i/>
          <w:iCs/>
          <w:color w:val="000000" w:themeColor="text1"/>
          <w:lang w:val="uz-Cyrl-UZ"/>
        </w:rPr>
      </w:pPr>
      <w:r w:rsidRPr="005218A4">
        <w:rPr>
          <w:color w:val="000000"/>
          <w:shd w:val="clear" w:color="auto" w:fill="FFFFFF"/>
        </w:rPr>
        <w:t xml:space="preserve">Además, en el </w:t>
      </w:r>
      <w:r w:rsidRPr="005218A4">
        <w:rPr>
          <w:b/>
          <w:bCs/>
          <w:shd w:val="clear" w:color="auto" w:fill="FFFFFF"/>
        </w:rPr>
        <w:t>Auto 711 de 2021</w:t>
      </w:r>
      <w:r w:rsidRPr="005218A4">
        <w:rPr>
          <w:shd w:val="clear" w:color="auto" w:fill="FFFFFF"/>
        </w:rPr>
        <w:t xml:space="preserve">, </w:t>
      </w:r>
      <w:r w:rsidRPr="005218A4">
        <w:rPr>
          <w:color w:val="000000"/>
          <w:shd w:val="clear" w:color="auto" w:fill="FFFFFF"/>
        </w:rPr>
        <w:t>la Corte señaló que “[l]as decisiones adoptadas por el Consejo Superior de la Judicatura durante el período en el cual la Corte Constitucional no había asumido la competencia para resolver los conflictos de jurisdicción, gozan del principio de intangibilidad, que prohíbe al juez que dictó el fallo revocarlo o reformarlo. La improcedencia de un nuevo pronunciamiento de fondo sobre el caso sometido a consideración de esta Corporación responde a la necesidad de protección de la confianza legítima en el ordenamiento jurídico. Si una providencia judicial se encuentra en firme, produce el efecto de cosa juzgada, bien porque no contempla ningún tipo de recurso, o bien porque no se recurrió en su momento”.</w:t>
      </w:r>
    </w:p>
    <w:p w14:paraId="58D258A5" w14:textId="77777777" w:rsidR="00355FCD" w:rsidRPr="0000620A" w:rsidRDefault="00355FCD" w:rsidP="00355FCD">
      <w:pPr>
        <w:pStyle w:val="Prrafodelista"/>
        <w:rPr>
          <w:i/>
          <w:iCs/>
          <w:color w:val="000000" w:themeColor="text1"/>
          <w:lang w:val="uz-Cyrl-UZ"/>
        </w:rPr>
      </w:pPr>
    </w:p>
    <w:p w14:paraId="189F95D3" w14:textId="77777777" w:rsidR="00355FCD" w:rsidRPr="00C20203" w:rsidRDefault="00355FCD" w:rsidP="00355FCD">
      <w:pPr>
        <w:pStyle w:val="Prrafodelista"/>
        <w:numPr>
          <w:ilvl w:val="6"/>
          <w:numId w:val="10"/>
        </w:numPr>
        <w:ind w:left="0" w:right="49" w:firstLine="0"/>
        <w:jc w:val="both"/>
        <w:rPr>
          <w:i/>
          <w:iCs/>
          <w:color w:val="000000" w:themeColor="text1"/>
          <w:lang w:val="uz-Cyrl-UZ"/>
        </w:rPr>
      </w:pPr>
      <w:r w:rsidRPr="005218A4">
        <w:rPr>
          <w:i/>
          <w:color w:val="000000" w:themeColor="text1"/>
          <w:shd w:val="clear" w:color="auto" w:fill="FFFFFF"/>
          <w:lang w:val="es-ES_tradnl"/>
        </w:rPr>
        <w:t>La cosa juzgada en los conflictos de jurisdicciones</w:t>
      </w:r>
      <w:r>
        <w:rPr>
          <w:i/>
          <w:color w:val="000000" w:themeColor="text1"/>
          <w:shd w:val="clear" w:color="auto" w:fill="FFFFFF"/>
          <w:lang w:val="es-ES_tradnl"/>
        </w:rPr>
        <w:t xml:space="preserve"> relacionados con </w:t>
      </w:r>
      <w:r>
        <w:rPr>
          <w:i/>
          <w:color w:val="000000" w:themeColor="text1"/>
          <w:shd w:val="clear" w:color="auto" w:fill="FFFFFF"/>
        </w:rPr>
        <w:t xml:space="preserve">procesos por </w:t>
      </w:r>
      <w:r w:rsidRPr="00D76C7E">
        <w:rPr>
          <w:i/>
          <w:color w:val="000000" w:themeColor="text1"/>
          <w:shd w:val="clear" w:color="auto" w:fill="FFFFFF"/>
        </w:rPr>
        <w:t>el pago de recobros judiciales al Estado</w:t>
      </w:r>
      <w:r>
        <w:rPr>
          <w:i/>
          <w:color w:val="000000" w:themeColor="text1"/>
          <w:shd w:val="clear" w:color="auto" w:fill="FFFFFF"/>
        </w:rPr>
        <w:t>.</w:t>
      </w:r>
      <w:r>
        <w:rPr>
          <w:i/>
          <w:color w:val="000000" w:themeColor="text1"/>
          <w:shd w:val="clear" w:color="auto" w:fill="FFFFFF"/>
          <w:lang w:val="es-ES_tradnl"/>
        </w:rPr>
        <w:t xml:space="preserve"> </w:t>
      </w:r>
      <w:r>
        <w:rPr>
          <w:color w:val="000000" w:themeColor="text1"/>
          <w:lang w:val="es-ES_tradnl"/>
        </w:rPr>
        <w:t xml:space="preserve">Mediante el </w:t>
      </w:r>
      <w:r w:rsidRPr="007C0768">
        <w:rPr>
          <w:b/>
          <w:bCs/>
          <w:color w:val="000000" w:themeColor="text1"/>
          <w:lang w:val="es-ES_tradnl"/>
        </w:rPr>
        <w:t>Auto 1942 de 2023</w:t>
      </w:r>
      <w:r w:rsidRPr="007C0768">
        <w:rPr>
          <w:rStyle w:val="Refdenotaalpie"/>
          <w:color w:val="000000" w:themeColor="text1"/>
          <w:lang w:val="es-ES_tradnl"/>
        </w:rPr>
        <w:footnoteReference w:id="15"/>
      </w:r>
      <w:r>
        <w:rPr>
          <w:color w:val="000000" w:themeColor="text1"/>
          <w:lang w:val="es-ES_tradnl"/>
        </w:rPr>
        <w:t xml:space="preserve">, la Sala Plena adoptó las reglas de transición para aplicar la regla de competencia establecida en el </w:t>
      </w:r>
      <w:r w:rsidRPr="0000620A">
        <w:rPr>
          <w:b/>
          <w:bCs/>
          <w:color w:val="000000" w:themeColor="text1"/>
          <w:lang w:val="es-ES_tradnl"/>
        </w:rPr>
        <w:t>Auto 389 de 2021</w:t>
      </w:r>
      <w:r w:rsidRPr="0000620A">
        <w:rPr>
          <w:color w:val="000000" w:themeColor="text1"/>
          <w:lang w:val="es-ES_tradnl"/>
        </w:rPr>
        <w:t xml:space="preserve">, </w:t>
      </w:r>
      <w:r>
        <w:rPr>
          <w:color w:val="000000" w:themeColor="text1"/>
          <w:lang w:val="es-ES_tradnl"/>
        </w:rPr>
        <w:t xml:space="preserve">en relación </w:t>
      </w:r>
      <w:r w:rsidRPr="0000620A">
        <w:rPr>
          <w:iCs/>
          <w:color w:val="000000" w:themeColor="text1"/>
          <w:shd w:val="clear" w:color="auto" w:fill="FFFFFF"/>
          <w:lang w:val="es-ES_tradnl"/>
        </w:rPr>
        <w:t xml:space="preserve">con </w:t>
      </w:r>
      <w:r w:rsidRPr="0000620A">
        <w:rPr>
          <w:iCs/>
          <w:color w:val="000000" w:themeColor="text1"/>
          <w:shd w:val="clear" w:color="auto" w:fill="FFFFFF"/>
        </w:rPr>
        <w:t xml:space="preserve">procesos </w:t>
      </w:r>
      <w:r>
        <w:rPr>
          <w:iCs/>
          <w:color w:val="000000" w:themeColor="text1"/>
          <w:shd w:val="clear" w:color="auto" w:fill="FFFFFF"/>
        </w:rPr>
        <w:t xml:space="preserve">adelantados </w:t>
      </w:r>
      <w:r w:rsidRPr="0000620A">
        <w:rPr>
          <w:iCs/>
          <w:color w:val="000000" w:themeColor="text1"/>
          <w:shd w:val="clear" w:color="auto" w:fill="FFFFFF"/>
        </w:rPr>
        <w:t>por el pago de recobros judiciales al Estado</w:t>
      </w:r>
      <w:r>
        <w:rPr>
          <w:color w:val="000000" w:themeColor="text1"/>
          <w:lang w:val="es-ES_tradnl"/>
        </w:rPr>
        <w:t xml:space="preserve">. En el referido auto, la Sala Plena advirtió que no era posible reabrir debates definidos por la </w:t>
      </w:r>
      <w:r w:rsidRPr="005218A4">
        <w:rPr>
          <w:shd w:val="clear" w:color="auto" w:fill="FFFFFF"/>
          <w:lang w:val="es-ES_tradnl"/>
        </w:rPr>
        <w:t>Sala Jurisdiccional Disciplinaria del</w:t>
      </w:r>
      <w:r>
        <w:rPr>
          <w:color w:val="000000" w:themeColor="text1"/>
          <w:lang w:val="es-ES_tradnl"/>
        </w:rPr>
        <w:t xml:space="preserve"> Consejo Superior de la Judicatura</w:t>
      </w:r>
      <w:r w:rsidRPr="008C514F">
        <w:rPr>
          <w:color w:val="000000" w:themeColor="text1"/>
          <w:lang w:val="es-ES_tradnl"/>
        </w:rPr>
        <w:t xml:space="preserve">. </w:t>
      </w:r>
      <w:r>
        <w:rPr>
          <w:color w:val="000000" w:themeColor="text1"/>
          <w:lang w:val="es-ES_tradnl"/>
        </w:rPr>
        <w:t>En efecto, señaló</w:t>
      </w:r>
      <w:r w:rsidRPr="008C514F">
        <w:rPr>
          <w:color w:val="000000" w:themeColor="text1"/>
          <w:lang w:val="es-ES_tradnl"/>
        </w:rPr>
        <w:t xml:space="preserve"> que </w:t>
      </w:r>
      <w:r>
        <w:rPr>
          <w:color w:val="000000" w:themeColor="text1"/>
          <w:lang w:val="es-ES_tradnl"/>
        </w:rPr>
        <w:t>l</w:t>
      </w:r>
      <w:r w:rsidRPr="008C514F">
        <w:rPr>
          <w:color w:val="000000" w:themeColor="text1"/>
          <w:lang w:val="es-ES_tradnl"/>
        </w:rPr>
        <w:t>as reglas</w:t>
      </w:r>
      <w:r>
        <w:rPr>
          <w:color w:val="000000" w:themeColor="text1"/>
          <w:lang w:val="es-ES_tradnl"/>
        </w:rPr>
        <w:t xml:space="preserve"> transición no</w:t>
      </w:r>
      <w:r w:rsidRPr="008C514F">
        <w:rPr>
          <w:color w:val="000000" w:themeColor="text1"/>
          <w:lang w:val="es-ES_tradnl"/>
        </w:rPr>
        <w:t xml:space="preserve"> </w:t>
      </w:r>
      <w:r>
        <w:rPr>
          <w:color w:val="000000" w:themeColor="text1"/>
          <w:lang w:val="es-ES_tradnl"/>
        </w:rPr>
        <w:t xml:space="preserve">aplicaban </w:t>
      </w:r>
      <w:r w:rsidRPr="008C514F">
        <w:rPr>
          <w:color w:val="000000" w:themeColor="text1"/>
          <w:lang w:val="es-ES_tradnl"/>
        </w:rPr>
        <w:t xml:space="preserve">“para los procesos en los que el Consejo Superior de la Judicatura haya dirimido un conflicto entre jurisdicciones indicando que la autoridad judicial competente era la ordinaria, especialidad laboral”. Esto, por cuanto tales decisiones hicieron tránsito a cosa juzgada. </w:t>
      </w:r>
      <w:r>
        <w:rPr>
          <w:color w:val="000000" w:themeColor="text1"/>
          <w:lang w:val="es-ES_tradnl"/>
        </w:rPr>
        <w:t xml:space="preserve">Además, </w:t>
      </w:r>
      <w:r w:rsidRPr="008C514F">
        <w:rPr>
          <w:color w:val="000000" w:themeColor="text1"/>
          <w:lang w:val="es-ES_tradnl"/>
        </w:rPr>
        <w:t xml:space="preserve">explicó que “de este fenómeno </w:t>
      </w:r>
      <w:r w:rsidRPr="008C514F">
        <w:rPr>
          <w:lang w:val="uz-Cyrl-UZ" w:eastAsia="uz-Cyrl-UZ"/>
        </w:rPr>
        <w:t xml:space="preserve">jurídico se deriva entonces la prohibición a los funcionarios judiciales de proveer nuevamente sobre lo ya resuelto, de manera que no resulta posible que, como consecuencia de la expedición del Auto 389 de 2021 o </w:t>
      </w:r>
      <w:r>
        <w:rPr>
          <w:lang w:val="uz-Cyrl-UZ" w:eastAsia="uz-Cyrl-UZ"/>
        </w:rPr>
        <w:t>[del Auto 1942 de 2023]</w:t>
      </w:r>
      <w:r w:rsidRPr="008C514F">
        <w:rPr>
          <w:lang w:val="uz-Cyrl-UZ" w:eastAsia="uz-Cyrl-UZ"/>
        </w:rPr>
        <w:t xml:space="preserve"> se pretenda reabrir debates que ya fueron resueltos por el Consejo Superior de la Judicatura, incluso, si la decisión fue contraria a la establecida en el referido Auto 389”.</w:t>
      </w:r>
    </w:p>
    <w:p w14:paraId="3D437800" w14:textId="77777777" w:rsidR="00355FCD" w:rsidRPr="005218A4" w:rsidRDefault="00355FCD" w:rsidP="00355FCD">
      <w:pPr>
        <w:pStyle w:val="Prrafodelista"/>
        <w:ind w:left="0" w:right="49"/>
        <w:jc w:val="both"/>
        <w:rPr>
          <w:i/>
          <w:iCs/>
          <w:color w:val="000000" w:themeColor="text1"/>
          <w:lang w:val="uz-Cyrl-UZ"/>
        </w:rPr>
      </w:pPr>
    </w:p>
    <w:p w14:paraId="605F6241" w14:textId="1476E338" w:rsidR="00355FCD" w:rsidRPr="005218A4" w:rsidRDefault="00355FCD" w:rsidP="00355FCD">
      <w:pPr>
        <w:pStyle w:val="Prrafodelista"/>
        <w:numPr>
          <w:ilvl w:val="6"/>
          <w:numId w:val="10"/>
        </w:numPr>
        <w:ind w:left="0" w:right="49" w:firstLine="0"/>
        <w:jc w:val="both"/>
        <w:rPr>
          <w:i/>
          <w:iCs/>
          <w:color w:val="000000" w:themeColor="text1"/>
          <w:lang w:val="uz-Cyrl-UZ"/>
        </w:rPr>
      </w:pPr>
      <w:r w:rsidRPr="005218A4">
        <w:rPr>
          <w:i/>
          <w:iCs/>
          <w:shd w:val="clear" w:color="auto" w:fill="FFFFFF"/>
          <w:lang w:val="es-ES_tradnl"/>
        </w:rPr>
        <w:t>En el caso sub examine se configuró el fenómeno de la cosa juzgada.</w:t>
      </w:r>
      <w:r w:rsidRPr="005218A4">
        <w:rPr>
          <w:shd w:val="clear" w:color="auto" w:fill="FFFFFF"/>
          <w:lang w:val="es-ES_tradnl"/>
        </w:rPr>
        <w:t xml:space="preserve"> La Corte Constitucional advierte que, el </w:t>
      </w:r>
      <w:r w:rsidR="00C528BE">
        <w:t>18</w:t>
      </w:r>
      <w:r w:rsidRPr="001709FE">
        <w:t xml:space="preserve"> de </w:t>
      </w:r>
      <w:r w:rsidR="00C528BE">
        <w:t>diciembre</w:t>
      </w:r>
      <w:r w:rsidRPr="001709FE">
        <w:t xml:space="preserve"> de 201</w:t>
      </w:r>
      <w:r w:rsidR="00C528BE">
        <w:t>8</w:t>
      </w:r>
      <w:r w:rsidRPr="005218A4">
        <w:rPr>
          <w:shd w:val="clear" w:color="auto" w:fill="FFFFFF"/>
          <w:lang w:val="es-ES_tradnl"/>
        </w:rPr>
        <w:t xml:space="preserve">, la </w:t>
      </w:r>
      <w:bookmarkStart w:id="3" w:name="_Hlk146274539"/>
      <w:r w:rsidRPr="005218A4">
        <w:rPr>
          <w:shd w:val="clear" w:color="auto" w:fill="FFFFFF"/>
          <w:lang w:val="es-ES_tradnl"/>
        </w:rPr>
        <w:t xml:space="preserve">Sala Jurisdiccional Disciplinaria del </w:t>
      </w:r>
      <w:bookmarkEnd w:id="3"/>
      <w:r w:rsidRPr="005218A4">
        <w:rPr>
          <w:shd w:val="clear" w:color="auto" w:fill="FFFFFF"/>
          <w:lang w:val="es-ES_tradnl"/>
        </w:rPr>
        <w:t xml:space="preserve">Consejo Superior de la Judicatura dirimió el conflicto de competencias entre el </w:t>
      </w:r>
      <w:r w:rsidRPr="005218A4">
        <w:t xml:space="preserve">Juzgado </w:t>
      </w:r>
      <w:r w:rsidR="00597BC7">
        <w:t>Veintiocho</w:t>
      </w:r>
      <w:r w:rsidRPr="005218A4">
        <w:t xml:space="preserve"> Laboral del Circuito de Bogotá</w:t>
      </w:r>
      <w:r>
        <w:t xml:space="preserve"> ―jurisdicción ordinaria―</w:t>
      </w:r>
      <w:r w:rsidRPr="005218A4">
        <w:t xml:space="preserve"> y el Juzgado Treinta y </w:t>
      </w:r>
      <w:r w:rsidR="00597BC7">
        <w:t>Cuatro</w:t>
      </w:r>
      <w:r w:rsidRPr="005218A4">
        <w:t xml:space="preserve"> Administrativo de esa misma ciudad</w:t>
      </w:r>
      <w:r>
        <w:t xml:space="preserve"> ―jurisdicción </w:t>
      </w:r>
      <w:r w:rsidR="00597BC7">
        <w:t xml:space="preserve">de lo </w:t>
      </w:r>
      <w:r>
        <w:t>contencioso</w:t>
      </w:r>
      <w:r w:rsidR="00597BC7">
        <w:t xml:space="preserve"> </w:t>
      </w:r>
      <w:r>
        <w:t>administrativ</w:t>
      </w:r>
      <w:r w:rsidR="00597BC7">
        <w:t>o</w:t>
      </w:r>
      <w:r>
        <w:t>―</w:t>
      </w:r>
      <w:r w:rsidRPr="005218A4">
        <w:rPr>
          <w:shd w:val="clear" w:color="auto" w:fill="FFFFFF"/>
          <w:lang w:val="es-ES_tradnl"/>
        </w:rPr>
        <w:t xml:space="preserve">. En dicha oportunidad, </w:t>
      </w:r>
      <w:r>
        <w:rPr>
          <w:shd w:val="clear" w:color="auto" w:fill="FFFFFF"/>
          <w:lang w:val="es-ES_tradnl"/>
        </w:rPr>
        <w:t xml:space="preserve">la referida Sala </w:t>
      </w:r>
      <w:r w:rsidRPr="005218A4">
        <w:rPr>
          <w:shd w:val="clear" w:color="auto" w:fill="FFFFFF"/>
          <w:lang w:val="es-ES_tradnl"/>
        </w:rPr>
        <w:t xml:space="preserve">asignó el conocimiento del proceso al </w:t>
      </w:r>
      <w:r w:rsidRPr="005218A4">
        <w:t xml:space="preserve">Juzgado </w:t>
      </w:r>
      <w:r w:rsidR="00597BC7">
        <w:t>Veintiocho</w:t>
      </w:r>
      <w:r w:rsidRPr="005218A4">
        <w:t xml:space="preserve"> Laboral del Circuito de Bogotá </w:t>
      </w:r>
      <w:r w:rsidRPr="005218A4">
        <w:rPr>
          <w:shd w:val="clear" w:color="auto" w:fill="FFFFFF"/>
          <w:lang w:val="es-ES_tradnl"/>
        </w:rPr>
        <w:t>(</w:t>
      </w:r>
      <w:r w:rsidRPr="005218A4">
        <w:rPr>
          <w:i/>
          <w:iCs/>
          <w:shd w:val="clear" w:color="auto" w:fill="FFFFFF"/>
          <w:lang w:val="es-ES_tradnl"/>
        </w:rPr>
        <w:t>supra</w:t>
      </w:r>
      <w:r>
        <w:rPr>
          <w:shd w:val="clear" w:color="auto" w:fill="FFFFFF"/>
          <w:lang w:val="es-ES_tradnl"/>
        </w:rPr>
        <w:t xml:space="preserve">, </w:t>
      </w:r>
      <w:r w:rsidRPr="005218A4">
        <w:rPr>
          <w:shd w:val="clear" w:color="auto" w:fill="FFFFFF"/>
          <w:lang w:val="es-ES_tradnl"/>
        </w:rPr>
        <w:t>pár</w:t>
      </w:r>
      <w:r w:rsidR="00597BC7">
        <w:rPr>
          <w:shd w:val="clear" w:color="auto" w:fill="FFFFFF"/>
          <w:lang w:val="es-ES_tradnl"/>
        </w:rPr>
        <w:t>r</w:t>
      </w:r>
      <w:r w:rsidRPr="005218A4">
        <w:rPr>
          <w:shd w:val="clear" w:color="auto" w:fill="FFFFFF"/>
          <w:lang w:val="es-ES_tradnl"/>
        </w:rPr>
        <w:t xml:space="preserve">. 4). </w:t>
      </w:r>
      <w:r>
        <w:rPr>
          <w:shd w:val="clear" w:color="auto" w:fill="FFFFFF"/>
          <w:lang w:val="es-ES_tradnl"/>
        </w:rPr>
        <w:t xml:space="preserve">Teniendo en cuenta lo anterior, </w:t>
      </w:r>
      <w:r w:rsidRPr="005218A4">
        <w:rPr>
          <w:shd w:val="clear" w:color="auto" w:fill="FFFFFF"/>
          <w:lang w:val="es-ES_tradnl"/>
        </w:rPr>
        <w:t>la Sala Plena</w:t>
      </w:r>
      <w:r>
        <w:rPr>
          <w:shd w:val="clear" w:color="auto" w:fill="FFFFFF"/>
          <w:lang w:val="es-ES_tradnl"/>
        </w:rPr>
        <w:t xml:space="preserve"> considera que </w:t>
      </w:r>
      <w:r w:rsidRPr="005218A4">
        <w:rPr>
          <w:shd w:val="clear" w:color="auto" w:fill="FFFFFF"/>
          <w:lang w:val="es-ES_tradnl"/>
        </w:rPr>
        <w:t>se configur</w:t>
      </w:r>
      <w:r>
        <w:rPr>
          <w:shd w:val="clear" w:color="auto" w:fill="FFFFFF"/>
          <w:lang w:val="es-ES_tradnl"/>
        </w:rPr>
        <w:t>a</w:t>
      </w:r>
      <w:r w:rsidRPr="005218A4">
        <w:rPr>
          <w:shd w:val="clear" w:color="auto" w:fill="FFFFFF"/>
          <w:lang w:val="es-ES_tradnl"/>
        </w:rPr>
        <w:t xml:space="preserve"> el fenómeno de cosa juzgada</w:t>
      </w:r>
      <w:r>
        <w:rPr>
          <w:shd w:val="clear" w:color="auto" w:fill="FFFFFF"/>
          <w:lang w:val="es-ES_tradnl"/>
        </w:rPr>
        <w:t xml:space="preserve"> frente al auto proferido el 1</w:t>
      </w:r>
      <w:r w:rsidR="00597BC7">
        <w:rPr>
          <w:shd w:val="clear" w:color="auto" w:fill="FFFFFF"/>
          <w:lang w:val="es-ES_tradnl"/>
        </w:rPr>
        <w:t>8</w:t>
      </w:r>
      <w:r>
        <w:rPr>
          <w:shd w:val="clear" w:color="auto" w:fill="FFFFFF"/>
          <w:lang w:val="es-ES_tradnl"/>
        </w:rPr>
        <w:t xml:space="preserve"> de </w:t>
      </w:r>
      <w:r w:rsidR="00597BC7">
        <w:rPr>
          <w:shd w:val="clear" w:color="auto" w:fill="FFFFFF"/>
          <w:lang w:val="es-ES_tradnl"/>
        </w:rPr>
        <w:t>diciembre</w:t>
      </w:r>
      <w:r>
        <w:rPr>
          <w:shd w:val="clear" w:color="auto" w:fill="FFFFFF"/>
          <w:lang w:val="es-ES_tradnl"/>
        </w:rPr>
        <w:t xml:space="preserve"> de 201</w:t>
      </w:r>
      <w:r w:rsidR="00597BC7">
        <w:rPr>
          <w:shd w:val="clear" w:color="auto" w:fill="FFFFFF"/>
          <w:lang w:val="es-ES_tradnl"/>
        </w:rPr>
        <w:t>8</w:t>
      </w:r>
      <w:r>
        <w:rPr>
          <w:shd w:val="clear" w:color="auto" w:fill="FFFFFF"/>
          <w:lang w:val="es-ES_tradnl"/>
        </w:rPr>
        <w:t xml:space="preserve"> por la extinta Sala Jurisdiccional Disciplinaria</w:t>
      </w:r>
      <w:r w:rsidRPr="005218A4">
        <w:rPr>
          <w:shd w:val="clear" w:color="auto" w:fill="FFFFFF"/>
          <w:lang w:val="es-ES_tradnl"/>
        </w:rPr>
        <w:t>, por las siguientes razones:</w:t>
      </w:r>
    </w:p>
    <w:p w14:paraId="464931AD" w14:textId="77777777" w:rsidR="00355FCD" w:rsidRDefault="00355FCD" w:rsidP="00355FCD">
      <w:pPr>
        <w:pStyle w:val="Prrafodelista"/>
        <w:ind w:left="0" w:right="49"/>
        <w:jc w:val="both"/>
        <w:rPr>
          <w:i/>
          <w:iCs/>
          <w:color w:val="000000" w:themeColor="text1"/>
          <w:lang w:val="uz-Cyrl-UZ"/>
        </w:rPr>
      </w:pPr>
    </w:p>
    <w:p w14:paraId="0103A06E" w14:textId="22279F2C" w:rsidR="00355FCD" w:rsidRDefault="00355FCD" w:rsidP="00355FCD">
      <w:pPr>
        <w:pStyle w:val="Prrafodelista"/>
        <w:numPr>
          <w:ilvl w:val="0"/>
          <w:numId w:val="11"/>
        </w:numPr>
        <w:jc w:val="both"/>
        <w:rPr>
          <w:color w:val="000000" w:themeColor="text1"/>
          <w:lang w:val="es-ES_tradnl"/>
        </w:rPr>
      </w:pPr>
      <w:r w:rsidRPr="00281D9E">
        <w:rPr>
          <w:i/>
          <w:iCs/>
          <w:color w:val="000000" w:themeColor="text1"/>
          <w:lang w:val="es-ES_tradnl"/>
        </w:rPr>
        <w:t>Identidad de objeto.</w:t>
      </w:r>
      <w:r w:rsidRPr="00281D9E">
        <w:rPr>
          <w:color w:val="000000" w:themeColor="text1"/>
          <w:lang w:val="es-ES_tradnl"/>
        </w:rPr>
        <w:t xml:space="preserve"> Se presenta identidad de objeto, en tanto que el asunto </w:t>
      </w:r>
      <w:r w:rsidRPr="00281D9E">
        <w:rPr>
          <w:i/>
          <w:iCs/>
          <w:color w:val="000000" w:themeColor="text1"/>
          <w:lang w:val="es-ES_tradnl"/>
        </w:rPr>
        <w:t>sub examine</w:t>
      </w:r>
      <w:r w:rsidRPr="00281D9E">
        <w:rPr>
          <w:color w:val="000000" w:themeColor="text1"/>
          <w:lang w:val="es-ES_tradnl"/>
        </w:rPr>
        <w:t xml:space="preserve"> es el mismo respecto del cual se pronunció la Sala Jurisdiccional Disciplinaria en el auto de </w:t>
      </w:r>
      <w:r w:rsidRPr="001709FE">
        <w:t>1</w:t>
      </w:r>
      <w:r w:rsidR="00597BC7">
        <w:t>8</w:t>
      </w:r>
      <w:r w:rsidRPr="001709FE">
        <w:t xml:space="preserve"> de </w:t>
      </w:r>
      <w:r w:rsidR="00597BC7">
        <w:t>diciembre</w:t>
      </w:r>
      <w:r w:rsidRPr="001709FE">
        <w:t xml:space="preserve"> de 201</w:t>
      </w:r>
      <w:r w:rsidR="00597BC7">
        <w:t>8</w:t>
      </w:r>
      <w:r w:rsidRPr="00281D9E">
        <w:rPr>
          <w:color w:val="000000" w:themeColor="text1"/>
          <w:lang w:val="es-ES_tradnl"/>
        </w:rPr>
        <w:t xml:space="preserve">. </w:t>
      </w:r>
      <w:r>
        <w:rPr>
          <w:color w:val="000000" w:themeColor="text1"/>
          <w:lang w:val="es-ES_tradnl"/>
        </w:rPr>
        <w:t xml:space="preserve">En concreto, se refiere a </w:t>
      </w:r>
      <w:r w:rsidRPr="00281D9E">
        <w:rPr>
          <w:color w:val="000000" w:themeColor="text1"/>
          <w:lang w:val="es-ES_tradnl"/>
        </w:rPr>
        <w:t xml:space="preserve">la demanda interpuesta por </w:t>
      </w:r>
      <w:r w:rsidR="00597BC7">
        <w:rPr>
          <w:color w:val="000000" w:themeColor="text1"/>
          <w:lang w:val="es-ES_tradnl"/>
        </w:rPr>
        <w:t>Coomeva</w:t>
      </w:r>
      <w:r>
        <w:rPr>
          <w:color w:val="000000" w:themeColor="text1"/>
          <w:lang w:val="es-ES_tradnl"/>
        </w:rPr>
        <w:t xml:space="preserve"> EPS</w:t>
      </w:r>
      <w:r w:rsidRPr="00281D9E">
        <w:rPr>
          <w:color w:val="000000" w:themeColor="text1"/>
          <w:lang w:val="es-ES_tradnl"/>
        </w:rPr>
        <w:t xml:space="preserve"> en contra de</w:t>
      </w:r>
      <w:r>
        <w:rPr>
          <w:color w:val="000000" w:themeColor="text1"/>
          <w:lang w:val="es-ES_tradnl"/>
        </w:rPr>
        <w:t xml:space="preserve"> </w:t>
      </w:r>
      <w:r>
        <w:t>la Nación – Ministerio de Salud y Protección Social</w:t>
      </w:r>
      <w:r w:rsidR="00597BC7">
        <w:t xml:space="preserve"> y otros</w:t>
      </w:r>
      <w:r w:rsidRPr="00281D9E">
        <w:rPr>
          <w:color w:val="000000" w:themeColor="text1"/>
          <w:lang w:val="es-ES_tradnl"/>
        </w:rPr>
        <w:t>, por el</w:t>
      </w:r>
      <w:r>
        <w:rPr>
          <w:color w:val="000000" w:themeColor="text1"/>
          <w:lang w:val="es-ES_tradnl"/>
        </w:rPr>
        <w:t xml:space="preserve"> no </w:t>
      </w:r>
      <w:r w:rsidRPr="00281D9E">
        <w:rPr>
          <w:color w:val="000000" w:themeColor="text1"/>
          <w:lang w:val="es-ES_tradnl"/>
        </w:rPr>
        <w:t>reconocimiento y pago de recobros por servicios no incluidos en el POS, hoy PBS.</w:t>
      </w:r>
    </w:p>
    <w:p w14:paraId="032E42A1" w14:textId="77777777" w:rsidR="00355FCD" w:rsidRPr="00281D9E" w:rsidRDefault="00355FCD" w:rsidP="00355FCD">
      <w:pPr>
        <w:jc w:val="both"/>
        <w:rPr>
          <w:color w:val="000000" w:themeColor="text1"/>
          <w:lang w:val="es-ES_tradnl"/>
        </w:rPr>
      </w:pPr>
    </w:p>
    <w:p w14:paraId="20BEC37A" w14:textId="28270E1C" w:rsidR="00355FCD" w:rsidRPr="00141EF1" w:rsidRDefault="00355FCD" w:rsidP="00355FCD">
      <w:pPr>
        <w:pStyle w:val="Prrafodelista"/>
        <w:numPr>
          <w:ilvl w:val="0"/>
          <w:numId w:val="11"/>
        </w:numPr>
        <w:jc w:val="both"/>
        <w:rPr>
          <w:color w:val="000000" w:themeColor="text1"/>
          <w:lang w:val="es-ES_tradnl"/>
        </w:rPr>
      </w:pPr>
      <w:r w:rsidRPr="00141EF1">
        <w:rPr>
          <w:i/>
          <w:iCs/>
          <w:shd w:val="clear" w:color="auto" w:fill="FFFFFF"/>
          <w:lang w:val="es-ES_tradnl"/>
        </w:rPr>
        <w:t>Identidad de partes</w:t>
      </w:r>
      <w:r w:rsidRPr="00141EF1">
        <w:rPr>
          <w:shd w:val="clear" w:color="auto" w:fill="FFFFFF"/>
          <w:lang w:val="es-ES_tradnl"/>
        </w:rPr>
        <w:t xml:space="preserve">. </w:t>
      </w:r>
      <w:r w:rsidR="00DE1E12">
        <w:rPr>
          <w:shd w:val="clear" w:color="auto" w:fill="FFFFFF"/>
          <w:lang w:val="es-ES_tradnl"/>
        </w:rPr>
        <w:t>E</w:t>
      </w:r>
      <w:r w:rsidRPr="00141EF1">
        <w:rPr>
          <w:shd w:val="clear" w:color="auto" w:fill="FFFFFF"/>
          <w:lang w:val="es-ES_tradnl"/>
        </w:rPr>
        <w:t xml:space="preserve">n este caso el </w:t>
      </w:r>
      <w:r w:rsidRPr="00141EF1">
        <w:t xml:space="preserve">Juzgado </w:t>
      </w:r>
      <w:r w:rsidR="00597BC7">
        <w:t>Veintiocho</w:t>
      </w:r>
      <w:r w:rsidRPr="00141EF1">
        <w:t xml:space="preserve"> Laboral del Circuito de Bogotá </w:t>
      </w:r>
      <w:r w:rsidR="004A5384">
        <w:t>declaró</w:t>
      </w:r>
      <w:r w:rsidR="00597BC7">
        <w:t xml:space="preserve"> nuevamente el conflicto de jurisdicción y el expediente fue asignado por reparto al Juzgado Quinto Administrativo del Circuito de Bogotá Sección Primera, que </w:t>
      </w:r>
      <w:r w:rsidR="004A5384">
        <w:t>aceptó</w:t>
      </w:r>
      <w:r w:rsidR="00597BC7">
        <w:t xml:space="preserve"> el conflicto de jurisdicción y envió el expediente </w:t>
      </w:r>
      <w:r w:rsidR="004A5384">
        <w:t>a la Corte Constitucional.</w:t>
      </w:r>
      <w:r w:rsidRPr="00141EF1">
        <w:t xml:space="preserve"> </w:t>
      </w:r>
      <w:r w:rsidR="00DE1E12">
        <w:t>Al respecto, la Sala precisa que l</w:t>
      </w:r>
      <w:r w:rsidR="00597BC7">
        <w:t>a primer</w:t>
      </w:r>
      <w:r w:rsidR="004A5384">
        <w:t>a</w:t>
      </w:r>
      <w:r w:rsidRPr="00141EF1">
        <w:t xml:space="preserve"> autoridad judicial es la misma que trabó el conflicto negativo de jurisdicciones que fue resuelto por </w:t>
      </w:r>
      <w:r w:rsidRPr="00141EF1">
        <w:rPr>
          <w:shd w:val="clear" w:color="auto" w:fill="FFFFFF"/>
          <w:lang w:val="es-ES_tradnl"/>
        </w:rPr>
        <w:t xml:space="preserve">la Sala Jurisdiccional Disciplinaria del Consejo Superior de la Judicatura mediante providencia del </w:t>
      </w:r>
      <w:bookmarkStart w:id="4" w:name="_Hlk146275228"/>
      <w:r w:rsidRPr="00141EF1">
        <w:t>1</w:t>
      </w:r>
      <w:r w:rsidR="00597BC7">
        <w:t>8</w:t>
      </w:r>
      <w:r w:rsidRPr="00141EF1">
        <w:t xml:space="preserve"> de </w:t>
      </w:r>
      <w:r w:rsidR="00597BC7">
        <w:t>diciembre</w:t>
      </w:r>
      <w:r w:rsidRPr="00141EF1">
        <w:t xml:space="preserve"> de 201</w:t>
      </w:r>
      <w:bookmarkEnd w:id="4"/>
      <w:r w:rsidR="00597BC7">
        <w:t>8</w:t>
      </w:r>
      <w:r w:rsidRPr="00141EF1">
        <w:t>.</w:t>
      </w:r>
      <w:r>
        <w:t xml:space="preserve"> Asimismo, dicha controversia se suscitó con una autoridad judicial de la jurisdicción de lo contencioso administrativo</w:t>
      </w:r>
      <w:r w:rsidR="00597BC7">
        <w:t xml:space="preserve"> (Juzgado Treinta y Cuatro Administrativo del Circuito de Bogotá Sección Tercera)</w:t>
      </w:r>
      <w:r>
        <w:t>, con respecto a la cual se suscit</w:t>
      </w:r>
      <w:r w:rsidR="00597BC7">
        <w:t>ó</w:t>
      </w:r>
      <w:r>
        <w:t xml:space="preserve"> el conflicto objeto de este pronunciamiento.</w:t>
      </w:r>
    </w:p>
    <w:p w14:paraId="515DEC02" w14:textId="77777777" w:rsidR="00355FCD" w:rsidRPr="00141EF1" w:rsidRDefault="00355FCD" w:rsidP="00355FCD">
      <w:pPr>
        <w:pStyle w:val="Prrafodelista"/>
        <w:ind w:left="1080"/>
        <w:jc w:val="both"/>
        <w:rPr>
          <w:color w:val="000000" w:themeColor="text1"/>
          <w:lang w:val="es-ES_tradnl"/>
        </w:rPr>
      </w:pPr>
    </w:p>
    <w:p w14:paraId="1B33DB43" w14:textId="009AC51B" w:rsidR="00355FCD" w:rsidRPr="00141EF1" w:rsidRDefault="00355FCD" w:rsidP="00355FCD">
      <w:pPr>
        <w:pStyle w:val="Prrafodelista"/>
        <w:numPr>
          <w:ilvl w:val="0"/>
          <w:numId w:val="11"/>
        </w:numPr>
        <w:jc w:val="both"/>
        <w:rPr>
          <w:color w:val="000000" w:themeColor="text1"/>
          <w:lang w:val="es-ES_tradnl"/>
        </w:rPr>
      </w:pPr>
      <w:r w:rsidRPr="00141EF1">
        <w:rPr>
          <w:i/>
          <w:iCs/>
          <w:shd w:val="clear" w:color="auto" w:fill="FFFFFF"/>
          <w:lang w:val="es-ES_tradnl"/>
        </w:rPr>
        <w:t xml:space="preserve">Identidad de causa petendi. </w:t>
      </w:r>
      <w:r w:rsidRPr="00141EF1">
        <w:rPr>
          <w:shd w:val="clear" w:color="auto" w:fill="FFFFFF"/>
          <w:lang w:val="es-ES_tradnl"/>
        </w:rPr>
        <w:t xml:space="preserve">La Sala reconoce </w:t>
      </w:r>
      <w:r w:rsidR="00597BC7" w:rsidRPr="00141EF1">
        <w:rPr>
          <w:shd w:val="clear" w:color="auto" w:fill="FFFFFF"/>
          <w:lang w:val="es-ES_tradnl"/>
        </w:rPr>
        <w:t>que</w:t>
      </w:r>
      <w:r w:rsidRPr="00141EF1">
        <w:rPr>
          <w:shd w:val="clear" w:color="auto" w:fill="FFFFFF"/>
          <w:lang w:val="es-ES_tradnl"/>
        </w:rPr>
        <w:t xml:space="preserve"> en el conflicto</w:t>
      </w:r>
      <w:r>
        <w:rPr>
          <w:shd w:val="clear" w:color="auto" w:fill="FFFFFF"/>
          <w:lang w:val="es-ES_tradnl"/>
        </w:rPr>
        <w:t xml:space="preserve"> de jurisdicciones resuelto mediante el auto </w:t>
      </w:r>
      <w:r w:rsidRPr="00141EF1">
        <w:rPr>
          <w:shd w:val="clear" w:color="auto" w:fill="FFFFFF"/>
          <w:lang w:val="es-ES_tradnl"/>
        </w:rPr>
        <w:t xml:space="preserve">del </w:t>
      </w:r>
      <w:r w:rsidRPr="00141EF1">
        <w:t>1</w:t>
      </w:r>
      <w:r w:rsidR="00597BC7">
        <w:t>8</w:t>
      </w:r>
      <w:r w:rsidRPr="00141EF1">
        <w:t xml:space="preserve"> de </w:t>
      </w:r>
      <w:r w:rsidR="00597BC7">
        <w:t>diciembre</w:t>
      </w:r>
      <w:r w:rsidRPr="00141EF1">
        <w:t xml:space="preserve"> de 201</w:t>
      </w:r>
      <w:r w:rsidR="00597BC7">
        <w:t>8</w:t>
      </w:r>
      <w:r w:rsidRPr="00141EF1">
        <w:rPr>
          <w:shd w:val="clear" w:color="auto" w:fill="FFFFFF"/>
          <w:lang w:val="es-ES_tradnl"/>
        </w:rPr>
        <w:t xml:space="preserve"> las autoridades judiciales cuestionaron la competencia con fundamento en normas de competencia previstas por el CPACA y el CPTSS, así como en providencias dictadas por la Sala Jurisdiccional Disciplinaria del Consejo Superior de la Judicatura. En esta oportunidad, la motivación para rehusar la competencia para conocer la demanda interpuesta por </w:t>
      </w:r>
      <w:r w:rsidR="007E4971">
        <w:rPr>
          <w:shd w:val="clear" w:color="auto" w:fill="FFFFFF"/>
          <w:lang w:val="es-ES_tradnl"/>
        </w:rPr>
        <w:t>Coomeva</w:t>
      </w:r>
      <w:r w:rsidRPr="00141EF1">
        <w:rPr>
          <w:shd w:val="clear" w:color="auto" w:fill="FFFFFF"/>
          <w:lang w:val="es-ES_tradnl"/>
        </w:rPr>
        <w:t xml:space="preserve"> EPS se basó en el Auto </w:t>
      </w:r>
      <w:r w:rsidR="007E4971">
        <w:rPr>
          <w:shd w:val="clear" w:color="auto" w:fill="FFFFFF"/>
          <w:lang w:val="es-ES_tradnl"/>
        </w:rPr>
        <w:t>389</w:t>
      </w:r>
      <w:r w:rsidRPr="00141EF1">
        <w:rPr>
          <w:shd w:val="clear" w:color="auto" w:fill="FFFFFF"/>
          <w:lang w:val="es-ES_tradnl"/>
        </w:rPr>
        <w:t xml:space="preserve"> de 2021, dictado por la Corte Constitucional (</w:t>
      </w:r>
      <w:r w:rsidRPr="00141EF1">
        <w:rPr>
          <w:i/>
          <w:iCs/>
          <w:shd w:val="clear" w:color="auto" w:fill="FFFFFF"/>
          <w:lang w:val="es-ES_tradnl"/>
        </w:rPr>
        <w:t>supra</w:t>
      </w:r>
      <w:r w:rsidRPr="00141EF1">
        <w:rPr>
          <w:shd w:val="clear" w:color="auto" w:fill="FFFFFF"/>
          <w:lang w:val="es-ES_tradnl"/>
        </w:rPr>
        <w:t>, pár</w:t>
      </w:r>
      <w:r w:rsidR="007E4971">
        <w:rPr>
          <w:shd w:val="clear" w:color="auto" w:fill="FFFFFF"/>
          <w:lang w:val="es-ES_tradnl"/>
        </w:rPr>
        <w:t>r</w:t>
      </w:r>
      <w:r w:rsidRPr="00141EF1">
        <w:rPr>
          <w:shd w:val="clear" w:color="auto" w:fill="FFFFFF"/>
          <w:lang w:val="es-ES_tradnl"/>
        </w:rPr>
        <w:t xml:space="preserve">. </w:t>
      </w:r>
      <w:r w:rsidR="007E4971">
        <w:rPr>
          <w:shd w:val="clear" w:color="auto" w:fill="FFFFFF"/>
          <w:lang w:val="es-ES_tradnl"/>
        </w:rPr>
        <w:t>5</w:t>
      </w:r>
      <w:r w:rsidRPr="00141EF1">
        <w:rPr>
          <w:shd w:val="clear" w:color="auto" w:fill="FFFFFF"/>
          <w:lang w:val="es-ES_tradnl"/>
        </w:rPr>
        <w:t xml:space="preserve">). Sin </w:t>
      </w:r>
      <w:r w:rsidR="00E132CD">
        <w:rPr>
          <w:shd w:val="clear" w:color="auto" w:fill="FFFFFF"/>
          <w:lang w:val="es-ES_tradnl"/>
        </w:rPr>
        <w:t>perjuicio de lo anterior</w:t>
      </w:r>
      <w:r w:rsidRPr="00141EF1">
        <w:rPr>
          <w:shd w:val="clear" w:color="auto" w:fill="FFFFFF"/>
          <w:lang w:val="es-ES_tradnl"/>
        </w:rPr>
        <w:t xml:space="preserve">, para la Sala, “aun cuando existe este pronunciamiento de la Corte Constitucional, lo cierto es </w:t>
      </w:r>
      <w:r w:rsidR="007E4971" w:rsidRPr="00141EF1">
        <w:rPr>
          <w:shd w:val="clear" w:color="auto" w:fill="FFFFFF"/>
          <w:lang w:val="es-ES_tradnl"/>
        </w:rPr>
        <w:t>que,</w:t>
      </w:r>
      <w:r w:rsidRPr="00141EF1">
        <w:rPr>
          <w:shd w:val="clear" w:color="auto" w:fill="FFFFFF"/>
          <w:lang w:val="es-ES_tradnl"/>
        </w:rPr>
        <w:t xml:space="preserve"> para la causa actual, la Sala Jurisdiccional Disciplinaria del Consejo Superior de la Judicatura, autoridad judicial competente para ese momento, ya había adoptado una decisión definitiva, inmutable y vinculante, y no podía presentarse nuevamente el debate”</w:t>
      </w:r>
      <w:r>
        <w:rPr>
          <w:rStyle w:val="Refdenotaalpie"/>
          <w:shd w:val="clear" w:color="auto" w:fill="FFFFFF"/>
          <w:lang w:val="es-ES_tradnl"/>
        </w:rPr>
        <w:footnoteReference w:id="16"/>
      </w:r>
      <w:r w:rsidRPr="00141EF1">
        <w:rPr>
          <w:shd w:val="clear" w:color="auto" w:fill="FFFFFF"/>
          <w:lang w:val="es-ES_tradnl"/>
        </w:rPr>
        <w:t xml:space="preserve">. </w:t>
      </w:r>
    </w:p>
    <w:p w14:paraId="2F6F62EC" w14:textId="77777777" w:rsidR="00355FCD" w:rsidRPr="00571F2C" w:rsidRDefault="00355FCD" w:rsidP="00355FCD">
      <w:pPr>
        <w:pStyle w:val="Prrafodelista"/>
        <w:ind w:left="1080" w:right="49"/>
        <w:jc w:val="both"/>
        <w:rPr>
          <w:shd w:val="clear" w:color="auto" w:fill="FFFFFF"/>
          <w:lang w:val="es-ES_tradnl"/>
        </w:rPr>
      </w:pPr>
    </w:p>
    <w:p w14:paraId="5F32B972" w14:textId="2FAB21FF" w:rsidR="00355FCD" w:rsidRPr="008C2820" w:rsidRDefault="00355FCD" w:rsidP="00355FCD">
      <w:pPr>
        <w:pStyle w:val="Prrafodelista"/>
        <w:ind w:left="1080" w:right="49"/>
        <w:jc w:val="both"/>
        <w:rPr>
          <w:i/>
          <w:iCs/>
          <w:color w:val="000000" w:themeColor="text1"/>
          <w:lang w:val="uz-Cyrl-UZ"/>
        </w:rPr>
      </w:pPr>
      <w:r>
        <w:rPr>
          <w:color w:val="000000" w:themeColor="text1"/>
          <w:lang w:val="es-ES_tradnl"/>
        </w:rPr>
        <w:t xml:space="preserve">Por lo demás, de conformidad con el </w:t>
      </w:r>
      <w:r w:rsidRPr="007C0768">
        <w:rPr>
          <w:b/>
          <w:bCs/>
          <w:color w:val="000000" w:themeColor="text1"/>
          <w:lang w:val="es-ES_tradnl"/>
        </w:rPr>
        <w:t>Auto 1942 de 2023</w:t>
      </w:r>
      <w:r w:rsidRPr="007C0768">
        <w:rPr>
          <w:rStyle w:val="Refdenotaalpie"/>
          <w:color w:val="000000" w:themeColor="text1"/>
          <w:lang w:val="es-ES_tradnl"/>
        </w:rPr>
        <w:footnoteReference w:id="17"/>
      </w:r>
      <w:r>
        <w:rPr>
          <w:color w:val="000000" w:themeColor="text1"/>
          <w:lang w:val="es-ES_tradnl"/>
        </w:rPr>
        <w:t>, no es posible desconocer la decisión adoptada el 1</w:t>
      </w:r>
      <w:r w:rsidR="007E4971">
        <w:rPr>
          <w:color w:val="000000" w:themeColor="text1"/>
          <w:lang w:val="es-ES_tradnl"/>
        </w:rPr>
        <w:t>8</w:t>
      </w:r>
      <w:r>
        <w:rPr>
          <w:color w:val="000000" w:themeColor="text1"/>
          <w:lang w:val="es-ES_tradnl"/>
        </w:rPr>
        <w:t xml:space="preserve"> de </w:t>
      </w:r>
      <w:r w:rsidR="007E4971">
        <w:rPr>
          <w:color w:val="000000" w:themeColor="text1"/>
          <w:lang w:val="es-ES_tradnl"/>
        </w:rPr>
        <w:t>diciembre</w:t>
      </w:r>
      <w:r>
        <w:rPr>
          <w:color w:val="000000" w:themeColor="text1"/>
          <w:lang w:val="es-ES_tradnl"/>
        </w:rPr>
        <w:t xml:space="preserve"> de 201</w:t>
      </w:r>
      <w:r w:rsidR="007E4971">
        <w:rPr>
          <w:color w:val="000000" w:themeColor="text1"/>
          <w:lang w:val="es-ES_tradnl"/>
        </w:rPr>
        <w:t>8</w:t>
      </w:r>
      <w:r>
        <w:rPr>
          <w:color w:val="000000" w:themeColor="text1"/>
          <w:lang w:val="es-ES_tradnl"/>
        </w:rPr>
        <w:t xml:space="preserve"> por la Sala Jurisdiccional Disciplinaria en el asunto </w:t>
      </w:r>
      <w:r>
        <w:rPr>
          <w:i/>
          <w:iCs/>
          <w:color w:val="000000" w:themeColor="text1"/>
          <w:lang w:val="es-ES_tradnl"/>
        </w:rPr>
        <w:t xml:space="preserve">sub </w:t>
      </w:r>
      <w:r w:rsidRPr="00C20203">
        <w:rPr>
          <w:i/>
          <w:iCs/>
          <w:color w:val="000000" w:themeColor="text1"/>
          <w:lang w:val="es-ES_tradnl"/>
        </w:rPr>
        <w:t>examine</w:t>
      </w:r>
      <w:r>
        <w:rPr>
          <w:color w:val="000000" w:themeColor="text1"/>
          <w:lang w:val="es-ES_tradnl"/>
        </w:rPr>
        <w:t>. Pues, dicha decisión hizo tránsito a cosa juzgada y, como consecuencia, su respeto permite garantizar el principio de seguridad jurídica</w:t>
      </w:r>
      <w:r w:rsidRPr="008C514F">
        <w:rPr>
          <w:lang w:val="uz-Cyrl-UZ" w:eastAsia="uz-Cyrl-UZ"/>
        </w:rPr>
        <w:t>.</w:t>
      </w:r>
      <w:bookmarkStart w:id="5" w:name="_Hlk56588488"/>
    </w:p>
    <w:p w14:paraId="38012FB8" w14:textId="77777777" w:rsidR="00355FCD" w:rsidRPr="008C2820" w:rsidRDefault="00355FCD" w:rsidP="00355FCD">
      <w:pPr>
        <w:pStyle w:val="Prrafodelista"/>
        <w:ind w:left="0" w:right="49"/>
        <w:jc w:val="both"/>
        <w:rPr>
          <w:color w:val="000000" w:themeColor="text1"/>
          <w:lang w:val="uz-Cyrl-UZ"/>
        </w:rPr>
      </w:pPr>
    </w:p>
    <w:p w14:paraId="20906F80" w14:textId="061665EA" w:rsidR="00355FCD" w:rsidRPr="00141EF1" w:rsidRDefault="00355FCD" w:rsidP="00355FCD">
      <w:pPr>
        <w:pStyle w:val="Prrafodelista"/>
        <w:numPr>
          <w:ilvl w:val="6"/>
          <w:numId w:val="10"/>
        </w:numPr>
        <w:ind w:left="0" w:right="49" w:firstLine="0"/>
        <w:jc w:val="both"/>
        <w:rPr>
          <w:i/>
          <w:iCs/>
          <w:color w:val="000000" w:themeColor="text1"/>
          <w:lang w:val="uz-Cyrl-UZ"/>
        </w:rPr>
      </w:pPr>
      <w:r w:rsidRPr="00141EF1">
        <w:rPr>
          <w:lang w:val="es-ES_tradnl"/>
        </w:rPr>
        <w:t xml:space="preserve">Por las razones expuestas, la Sala Plena considera que, por medio del </w:t>
      </w:r>
      <w:r>
        <w:rPr>
          <w:lang w:val="es-ES_tradnl"/>
        </w:rPr>
        <w:t>a</w:t>
      </w:r>
      <w:r w:rsidRPr="00141EF1">
        <w:rPr>
          <w:lang w:val="es-ES_tradnl"/>
        </w:rPr>
        <w:t xml:space="preserve">uto de </w:t>
      </w:r>
      <w:r w:rsidRPr="00141EF1">
        <w:t>1</w:t>
      </w:r>
      <w:r w:rsidR="007E4971">
        <w:t>8</w:t>
      </w:r>
      <w:r w:rsidRPr="00141EF1">
        <w:t xml:space="preserve"> de </w:t>
      </w:r>
      <w:r w:rsidR="007E4971">
        <w:t>diciembre</w:t>
      </w:r>
      <w:r w:rsidRPr="00141EF1">
        <w:t xml:space="preserve"> de 201</w:t>
      </w:r>
      <w:r w:rsidR="007E4971">
        <w:t>8</w:t>
      </w:r>
      <w:r w:rsidRPr="00141EF1">
        <w:rPr>
          <w:lang w:val="es-ES_tradnl"/>
        </w:rPr>
        <w:t xml:space="preserve">, la Sala Jurisdiccional </w:t>
      </w:r>
      <w:r w:rsidRPr="00141EF1">
        <w:rPr>
          <w:shd w:val="clear" w:color="auto" w:fill="FFFFFF"/>
          <w:lang w:val="es-ES_tradnl"/>
        </w:rPr>
        <w:t xml:space="preserve">Disciplinaria </w:t>
      </w:r>
      <w:r w:rsidRPr="00141EF1">
        <w:rPr>
          <w:lang w:val="es-ES_tradnl"/>
        </w:rPr>
        <w:t xml:space="preserve">del Consejo Superior de la Judicatura dirimió el conflicto de jurisdicciones </w:t>
      </w:r>
      <w:r w:rsidR="00613F70">
        <w:rPr>
          <w:i/>
          <w:lang w:val="es-ES_tradnl"/>
        </w:rPr>
        <w:t>sub examine</w:t>
      </w:r>
      <w:r w:rsidR="00613F70">
        <w:rPr>
          <w:lang w:val="es-ES_tradnl"/>
        </w:rPr>
        <w:t>;</w:t>
      </w:r>
      <w:r w:rsidRPr="00141EF1">
        <w:rPr>
          <w:lang w:val="es-ES_tradnl"/>
        </w:rPr>
        <w:t xml:space="preserve"> decisión que hizo tránsito a cosa juzgada. En ese sentido, ordenará estarse a lo resuelto en dicha providencia, por lo que remitirá el expediente al Juzgado </w:t>
      </w:r>
      <w:r w:rsidR="007E4971">
        <w:rPr>
          <w:lang w:val="es-ES_tradnl"/>
        </w:rPr>
        <w:t>Veintiocho</w:t>
      </w:r>
      <w:r w:rsidRPr="00141EF1">
        <w:rPr>
          <w:lang w:val="es-ES_tradnl"/>
        </w:rPr>
        <w:t xml:space="preserve"> Laboral </w:t>
      </w:r>
      <w:r w:rsidRPr="00141EF1">
        <w:t xml:space="preserve">del Circuito </w:t>
      </w:r>
      <w:r w:rsidRPr="00141EF1">
        <w:rPr>
          <w:lang w:val="es-ES_tradnl"/>
        </w:rPr>
        <w:t>de Bogotá.</w:t>
      </w:r>
    </w:p>
    <w:p w14:paraId="60124A2E" w14:textId="068DF644" w:rsidR="00355FCD" w:rsidRDefault="00355FCD" w:rsidP="00355FCD">
      <w:pPr>
        <w:ind w:right="-8"/>
        <w:jc w:val="both"/>
        <w:rPr>
          <w:i/>
          <w:lang w:val="es-ES_tradnl"/>
        </w:rPr>
      </w:pPr>
    </w:p>
    <w:p w14:paraId="0F2D48B3" w14:textId="77777777" w:rsidR="00B00564" w:rsidRPr="008C2820" w:rsidRDefault="00B00564" w:rsidP="00355FCD">
      <w:pPr>
        <w:ind w:right="-8"/>
        <w:jc w:val="both"/>
        <w:rPr>
          <w:i/>
          <w:lang w:val="es-ES_tradnl"/>
        </w:rPr>
      </w:pPr>
    </w:p>
    <w:bookmarkEnd w:id="5"/>
    <w:p w14:paraId="38B4A7E5" w14:textId="77777777" w:rsidR="00355FCD" w:rsidRPr="0044233B" w:rsidRDefault="00355FCD" w:rsidP="00355FCD">
      <w:pPr>
        <w:pStyle w:val="Prrafodelista"/>
        <w:numPr>
          <w:ilvl w:val="0"/>
          <w:numId w:val="1"/>
        </w:numPr>
        <w:ind w:right="-6"/>
        <w:jc w:val="both"/>
        <w:rPr>
          <w:b/>
          <w:bCs/>
          <w:shd w:val="clear" w:color="auto" w:fill="FFFFFF"/>
          <w:lang w:val="es-ES_tradnl"/>
        </w:rPr>
      </w:pPr>
      <w:r w:rsidRPr="0044233B">
        <w:rPr>
          <w:b/>
          <w:bCs/>
          <w:shd w:val="clear" w:color="auto" w:fill="FFFFFF"/>
          <w:lang w:val="es-ES_tradnl"/>
        </w:rPr>
        <w:t xml:space="preserve">DECISIÓN </w:t>
      </w:r>
    </w:p>
    <w:p w14:paraId="0599C639" w14:textId="77777777" w:rsidR="00355FCD" w:rsidRPr="0044233B" w:rsidRDefault="00355FCD" w:rsidP="00355FCD">
      <w:pPr>
        <w:ind w:right="-6"/>
        <w:jc w:val="both"/>
        <w:rPr>
          <w:shd w:val="clear" w:color="auto" w:fill="FFFFFF"/>
          <w:lang w:val="es-ES_tradnl"/>
        </w:rPr>
      </w:pPr>
    </w:p>
    <w:p w14:paraId="77563DDD" w14:textId="77777777" w:rsidR="00355FCD" w:rsidRPr="0044233B" w:rsidRDefault="00355FCD" w:rsidP="00355FCD">
      <w:pPr>
        <w:jc w:val="both"/>
        <w:rPr>
          <w:lang w:val="es-ES_tradnl"/>
        </w:rPr>
      </w:pPr>
      <w:r w:rsidRPr="0044233B">
        <w:rPr>
          <w:lang w:val="es-ES_tradnl"/>
        </w:rPr>
        <w:t>En mérito de lo expuesto, la Sala Plena de la Corte Constitucional,</w:t>
      </w:r>
    </w:p>
    <w:p w14:paraId="32168F20" w14:textId="77777777" w:rsidR="00355FCD" w:rsidRPr="0044233B" w:rsidRDefault="00355FCD" w:rsidP="00355FCD">
      <w:pPr>
        <w:jc w:val="both"/>
      </w:pPr>
    </w:p>
    <w:p w14:paraId="267D801D" w14:textId="77777777" w:rsidR="00355FCD" w:rsidRPr="0044233B" w:rsidRDefault="00355FCD" w:rsidP="00355FCD">
      <w:pPr>
        <w:ind w:right="-235"/>
        <w:jc w:val="center"/>
        <w:outlineLvl w:val="0"/>
        <w:rPr>
          <w:b/>
        </w:rPr>
      </w:pPr>
      <w:r w:rsidRPr="0044233B">
        <w:rPr>
          <w:b/>
        </w:rPr>
        <w:t>RESUELVE</w:t>
      </w:r>
      <w:r w:rsidRPr="0044233B">
        <w:t xml:space="preserve"> </w:t>
      </w:r>
    </w:p>
    <w:p w14:paraId="37A8A8EF" w14:textId="77777777" w:rsidR="00355FCD" w:rsidRPr="0044233B" w:rsidRDefault="00355FCD" w:rsidP="00355FCD">
      <w:pPr>
        <w:ind w:right="-235"/>
        <w:jc w:val="both"/>
        <w:rPr>
          <w:b/>
        </w:rPr>
      </w:pPr>
    </w:p>
    <w:p w14:paraId="5C65AED7" w14:textId="07061FA0" w:rsidR="00355FCD" w:rsidRPr="00141EF1" w:rsidRDefault="00355FCD" w:rsidP="00355FCD">
      <w:pPr>
        <w:pStyle w:val="Prrafodelista"/>
        <w:ind w:left="0" w:right="49"/>
        <w:jc w:val="both"/>
        <w:rPr>
          <w:i/>
          <w:iCs/>
          <w:color w:val="000000" w:themeColor="text1"/>
          <w:lang w:val="uz-Cyrl-UZ"/>
        </w:rPr>
      </w:pPr>
      <w:r w:rsidRPr="0044233B">
        <w:rPr>
          <w:b/>
        </w:rPr>
        <w:t xml:space="preserve">Primero. - </w:t>
      </w:r>
      <w:r>
        <w:rPr>
          <w:b/>
          <w:lang w:val="es-ES_tradnl"/>
        </w:rPr>
        <w:t xml:space="preserve">ESTARSE A LO RESUELTO </w:t>
      </w:r>
      <w:r>
        <w:rPr>
          <w:bCs/>
          <w:lang w:val="es-ES_tradnl"/>
        </w:rPr>
        <w:t xml:space="preserve">por el Consejo Superior de la Judicatura en el </w:t>
      </w:r>
      <w:r>
        <w:t xml:space="preserve">auto </w:t>
      </w:r>
      <w:r>
        <w:rPr>
          <w:shd w:val="clear" w:color="auto" w:fill="FFFFFF"/>
          <w:lang w:val="es-ES_tradnl"/>
        </w:rPr>
        <w:t xml:space="preserve">del </w:t>
      </w:r>
      <w:r>
        <w:t xml:space="preserve">18 de diciembre de 2018, en el cual la Sala Jurisdiccional Disciplinaria del Consejo Superior de la Judicatura </w:t>
      </w:r>
      <w:r>
        <w:rPr>
          <w:bCs/>
          <w:lang w:val="es-ES_tradnl"/>
        </w:rPr>
        <w:t xml:space="preserve">decidió que la competencia para conocer de este asunto correspondía al </w:t>
      </w:r>
      <w:r>
        <w:rPr>
          <w:shd w:val="clear" w:color="auto" w:fill="FFFFFF"/>
          <w:lang w:val="es-ES_tradnl"/>
        </w:rPr>
        <w:t xml:space="preserve">Juzgado Veintiocho Laboral </w:t>
      </w:r>
      <w:r w:rsidRPr="00141EF1">
        <w:t>del Circuito</w:t>
      </w:r>
      <w:r>
        <w:rPr>
          <w:shd w:val="clear" w:color="auto" w:fill="FFFFFF"/>
          <w:lang w:val="es-ES_tradnl"/>
        </w:rPr>
        <w:t xml:space="preserve"> de Bogotá.</w:t>
      </w:r>
    </w:p>
    <w:p w14:paraId="43F15C06" w14:textId="77777777" w:rsidR="00355FCD" w:rsidRPr="0044233B" w:rsidRDefault="00355FCD" w:rsidP="00355FCD">
      <w:pPr>
        <w:jc w:val="both"/>
      </w:pPr>
    </w:p>
    <w:p w14:paraId="1D643DEE" w14:textId="4331B28E" w:rsidR="00355FCD" w:rsidRPr="0044233B" w:rsidRDefault="00355FCD" w:rsidP="00355FCD">
      <w:pPr>
        <w:jc w:val="both"/>
      </w:pPr>
      <w:r w:rsidRPr="0044233B">
        <w:rPr>
          <w:b/>
        </w:rPr>
        <w:t>Segundo. - REMITIR</w:t>
      </w:r>
      <w:r w:rsidRPr="0044233B">
        <w:t xml:space="preserve"> el expediente CJU-</w:t>
      </w:r>
      <w:r>
        <w:t>3473</w:t>
      </w:r>
      <w:r w:rsidRPr="0044233B">
        <w:t xml:space="preserve"> al </w:t>
      </w:r>
      <w:r w:rsidRPr="00141EF1">
        <w:rPr>
          <w:lang w:val="es-ES_tradnl"/>
        </w:rPr>
        <w:t xml:space="preserve">Juzgado </w:t>
      </w:r>
      <w:r>
        <w:rPr>
          <w:lang w:val="es-ES_tradnl"/>
        </w:rPr>
        <w:t>Veintiocho</w:t>
      </w:r>
      <w:r w:rsidRPr="00141EF1">
        <w:rPr>
          <w:lang w:val="es-ES_tradnl"/>
        </w:rPr>
        <w:t xml:space="preserve"> Laboral </w:t>
      </w:r>
      <w:r w:rsidRPr="00141EF1">
        <w:t xml:space="preserve">del Circuito </w:t>
      </w:r>
      <w:r w:rsidRPr="00141EF1">
        <w:rPr>
          <w:lang w:val="es-ES_tradnl"/>
        </w:rPr>
        <w:t>de Bogotá</w:t>
      </w:r>
      <w:r w:rsidRPr="0044233B">
        <w:t xml:space="preserve"> para lo de su competencia y para que comunique la presente decisión a los interesados en este trámite.</w:t>
      </w:r>
    </w:p>
    <w:p w14:paraId="29A88E95" w14:textId="77777777" w:rsidR="00355FCD" w:rsidRPr="0044233B" w:rsidRDefault="00355FCD" w:rsidP="00355FCD">
      <w:pPr>
        <w:jc w:val="both"/>
        <w:rPr>
          <w:b/>
        </w:rPr>
      </w:pPr>
    </w:p>
    <w:p w14:paraId="4272A9AB" w14:textId="77777777" w:rsidR="00355FCD" w:rsidRPr="006D3EF2" w:rsidRDefault="00355FCD" w:rsidP="00355FCD">
      <w:pPr>
        <w:outlineLvl w:val="0"/>
        <w:rPr>
          <w:i/>
          <w:lang w:val="es-ES_tradnl"/>
        </w:rPr>
      </w:pPr>
      <w:r w:rsidRPr="0044233B">
        <w:t>Notifíquese, comuníquese y cúmplase,</w:t>
      </w:r>
    </w:p>
    <w:p w14:paraId="717C0297" w14:textId="7CFB1FE4" w:rsidR="002A48A1" w:rsidRDefault="002A48A1" w:rsidP="00355FCD"/>
    <w:p w14:paraId="490364E4" w14:textId="22424A6F" w:rsidR="00541818" w:rsidRDefault="00541818" w:rsidP="00355FCD"/>
    <w:p w14:paraId="642E425D" w14:textId="51ABA732" w:rsidR="00541818" w:rsidRDefault="00541818" w:rsidP="00355FCD"/>
    <w:p w14:paraId="7D0C0869" w14:textId="13E24AF0" w:rsidR="00541818" w:rsidRDefault="00541818" w:rsidP="00541818">
      <w:pPr>
        <w:jc w:val="center"/>
      </w:pPr>
      <w:r w:rsidRPr="00541818">
        <w:t>DIANA FAJARDO RIVERA</w:t>
      </w:r>
    </w:p>
    <w:p w14:paraId="6B619295" w14:textId="76D62DC9" w:rsidR="00541818" w:rsidRDefault="00541818" w:rsidP="00541818">
      <w:pPr>
        <w:jc w:val="center"/>
      </w:pPr>
      <w:r w:rsidRPr="00541818">
        <w:t>Presidenta</w:t>
      </w:r>
    </w:p>
    <w:p w14:paraId="11A76AD0" w14:textId="78FE086A" w:rsidR="00541818" w:rsidRDefault="00541818" w:rsidP="00541818">
      <w:pPr>
        <w:jc w:val="center"/>
      </w:pPr>
    </w:p>
    <w:p w14:paraId="4495CD2F" w14:textId="41ED5585" w:rsidR="00541818" w:rsidRDefault="00541818" w:rsidP="00541818">
      <w:pPr>
        <w:jc w:val="center"/>
      </w:pPr>
    </w:p>
    <w:p w14:paraId="48F6BA2A" w14:textId="3C50B7D9" w:rsidR="00541818" w:rsidRDefault="00541818" w:rsidP="00541818">
      <w:pPr>
        <w:jc w:val="center"/>
      </w:pPr>
    </w:p>
    <w:p w14:paraId="0A5EFC34" w14:textId="49627931" w:rsidR="00541818" w:rsidRDefault="00541818" w:rsidP="00541818">
      <w:pPr>
        <w:jc w:val="center"/>
      </w:pPr>
      <w:r w:rsidRPr="00541818">
        <w:t>NATALIA ÁNGEL CABO</w:t>
      </w:r>
    </w:p>
    <w:p w14:paraId="61D022AB" w14:textId="02920B70" w:rsidR="00541818" w:rsidRDefault="00541818" w:rsidP="00541818">
      <w:pPr>
        <w:jc w:val="center"/>
      </w:pPr>
      <w:r w:rsidRPr="00541818">
        <w:t>Magistrada</w:t>
      </w:r>
    </w:p>
    <w:p w14:paraId="37CD820F" w14:textId="23E6BE60" w:rsidR="00541818" w:rsidRDefault="00541818" w:rsidP="00541818">
      <w:pPr>
        <w:jc w:val="center"/>
      </w:pPr>
    </w:p>
    <w:p w14:paraId="6622245E" w14:textId="46DA0C87" w:rsidR="00541818" w:rsidRDefault="00541818" w:rsidP="00541818">
      <w:pPr>
        <w:jc w:val="center"/>
      </w:pPr>
    </w:p>
    <w:p w14:paraId="361F83D7" w14:textId="72119F0D" w:rsidR="00541818" w:rsidRDefault="00541818" w:rsidP="00541818">
      <w:pPr>
        <w:jc w:val="center"/>
      </w:pPr>
    </w:p>
    <w:p w14:paraId="31BC67CC" w14:textId="40A4FD4E" w:rsidR="00541818" w:rsidRDefault="00541818" w:rsidP="00541818">
      <w:pPr>
        <w:jc w:val="center"/>
      </w:pPr>
      <w:r w:rsidRPr="00541818">
        <w:t>JUAN CARLOS CORTÉS GONZÁLEZ</w:t>
      </w:r>
    </w:p>
    <w:p w14:paraId="14966158" w14:textId="5D19C23A" w:rsidR="00541818" w:rsidRDefault="00541818" w:rsidP="00541818">
      <w:pPr>
        <w:jc w:val="center"/>
      </w:pPr>
      <w:r w:rsidRPr="00541818">
        <w:t>Magistrado</w:t>
      </w:r>
    </w:p>
    <w:p w14:paraId="403D1339" w14:textId="312F32E2" w:rsidR="00541818" w:rsidRDefault="00541818" w:rsidP="00541818">
      <w:pPr>
        <w:jc w:val="center"/>
      </w:pPr>
    </w:p>
    <w:p w14:paraId="7ABFD666" w14:textId="2C910024" w:rsidR="00541818" w:rsidRDefault="00541818" w:rsidP="00541818">
      <w:pPr>
        <w:jc w:val="center"/>
      </w:pPr>
    </w:p>
    <w:p w14:paraId="51BF2CEF" w14:textId="2E2BAE15" w:rsidR="00541818" w:rsidRDefault="00541818" w:rsidP="00541818">
      <w:pPr>
        <w:jc w:val="center"/>
      </w:pPr>
    </w:p>
    <w:p w14:paraId="4FBD6DEE" w14:textId="73DD50FE" w:rsidR="00541818" w:rsidRDefault="00541818" w:rsidP="00541818">
      <w:pPr>
        <w:jc w:val="center"/>
      </w:pPr>
      <w:r w:rsidRPr="00541818">
        <w:t xml:space="preserve">JORGE ENRIQUE IBÁÑEZ NAJAR </w:t>
      </w:r>
    </w:p>
    <w:p w14:paraId="0C790F05" w14:textId="4CDE7DE1" w:rsidR="00541818" w:rsidRDefault="00541818" w:rsidP="00541818">
      <w:pPr>
        <w:jc w:val="center"/>
      </w:pPr>
      <w:r w:rsidRPr="00541818">
        <w:t>Magistrado</w:t>
      </w:r>
    </w:p>
    <w:p w14:paraId="0E900286" w14:textId="7055F5FB" w:rsidR="00541818" w:rsidRDefault="00541818" w:rsidP="00541818">
      <w:pPr>
        <w:jc w:val="center"/>
      </w:pPr>
    </w:p>
    <w:p w14:paraId="2CCA9AA4" w14:textId="739B542D" w:rsidR="00541818" w:rsidRDefault="00541818" w:rsidP="00541818">
      <w:pPr>
        <w:jc w:val="center"/>
      </w:pPr>
    </w:p>
    <w:p w14:paraId="28F930F2" w14:textId="7AD76B48" w:rsidR="00541818" w:rsidRDefault="00541818" w:rsidP="00541818">
      <w:pPr>
        <w:jc w:val="center"/>
      </w:pPr>
    </w:p>
    <w:p w14:paraId="1273677E" w14:textId="181A6AD7" w:rsidR="00541818" w:rsidRDefault="00541818" w:rsidP="00541818">
      <w:pPr>
        <w:jc w:val="center"/>
      </w:pPr>
      <w:r w:rsidRPr="00541818">
        <w:t>ALEJANDRO LINARES CANTILLO</w:t>
      </w:r>
    </w:p>
    <w:p w14:paraId="4881864F" w14:textId="234A17C8" w:rsidR="00541818" w:rsidRDefault="00541818" w:rsidP="00541818">
      <w:pPr>
        <w:jc w:val="center"/>
      </w:pPr>
      <w:r w:rsidRPr="00541818">
        <w:t>Magistrado</w:t>
      </w:r>
    </w:p>
    <w:p w14:paraId="6C7F2A6C" w14:textId="3CAB5EA3" w:rsidR="00541818" w:rsidRDefault="00541818" w:rsidP="00541818">
      <w:pPr>
        <w:jc w:val="center"/>
      </w:pPr>
    </w:p>
    <w:p w14:paraId="155A7825" w14:textId="4ABFF09E" w:rsidR="00541818" w:rsidRDefault="00541818" w:rsidP="00541818">
      <w:pPr>
        <w:jc w:val="center"/>
      </w:pPr>
    </w:p>
    <w:p w14:paraId="407EBAAF" w14:textId="58CCAAE2" w:rsidR="00541818" w:rsidRDefault="00541818" w:rsidP="00541818">
      <w:pPr>
        <w:jc w:val="center"/>
      </w:pPr>
    </w:p>
    <w:p w14:paraId="2DC01326" w14:textId="32882579" w:rsidR="00541818" w:rsidRDefault="00541818" w:rsidP="00541818">
      <w:pPr>
        <w:jc w:val="center"/>
      </w:pPr>
      <w:r w:rsidRPr="00541818">
        <w:t>ANTONIO JOSÉ LIZARAZO OCAMPO</w:t>
      </w:r>
    </w:p>
    <w:p w14:paraId="2C126A2D" w14:textId="1F321AE0" w:rsidR="00541818" w:rsidRDefault="00541818" w:rsidP="00541818">
      <w:pPr>
        <w:jc w:val="center"/>
      </w:pPr>
      <w:r w:rsidRPr="00541818">
        <w:t>Magistrado</w:t>
      </w:r>
    </w:p>
    <w:p w14:paraId="603DC47C" w14:textId="342B22C3" w:rsidR="00541818" w:rsidRDefault="00541818" w:rsidP="00541818">
      <w:pPr>
        <w:jc w:val="center"/>
      </w:pPr>
    </w:p>
    <w:p w14:paraId="75E169D4" w14:textId="63A5E5CC" w:rsidR="00541818" w:rsidRDefault="00541818" w:rsidP="00541818">
      <w:pPr>
        <w:jc w:val="center"/>
      </w:pPr>
    </w:p>
    <w:p w14:paraId="6E6D9FA5" w14:textId="7E92634A" w:rsidR="00541818" w:rsidRDefault="00541818" w:rsidP="00541818">
      <w:pPr>
        <w:jc w:val="center"/>
      </w:pPr>
    </w:p>
    <w:p w14:paraId="0AFD5824" w14:textId="0D053306" w:rsidR="00541818" w:rsidRDefault="00541818" w:rsidP="00541818">
      <w:pPr>
        <w:jc w:val="center"/>
      </w:pPr>
      <w:r w:rsidRPr="00541818">
        <w:t>PAOLA ANDREA MENESES MOSQUERA</w:t>
      </w:r>
    </w:p>
    <w:p w14:paraId="1B8328E6" w14:textId="467EB8C1" w:rsidR="00541818" w:rsidRDefault="00541818" w:rsidP="00541818">
      <w:pPr>
        <w:jc w:val="center"/>
      </w:pPr>
      <w:r w:rsidRPr="00541818">
        <w:t>Magistrada</w:t>
      </w:r>
    </w:p>
    <w:p w14:paraId="06829531" w14:textId="205C49A5" w:rsidR="00541818" w:rsidRDefault="00541818" w:rsidP="00541818">
      <w:pPr>
        <w:jc w:val="center"/>
      </w:pPr>
    </w:p>
    <w:p w14:paraId="0F8200BB" w14:textId="0962CBD8" w:rsidR="00541818" w:rsidRDefault="00541818" w:rsidP="00541818">
      <w:pPr>
        <w:jc w:val="center"/>
      </w:pPr>
    </w:p>
    <w:p w14:paraId="2E32E301" w14:textId="713B666A" w:rsidR="00541818" w:rsidRDefault="00541818" w:rsidP="00541818">
      <w:pPr>
        <w:jc w:val="center"/>
      </w:pPr>
    </w:p>
    <w:p w14:paraId="17DD503F" w14:textId="4E92C1F0" w:rsidR="00541818" w:rsidRDefault="00541818" w:rsidP="00541818">
      <w:pPr>
        <w:jc w:val="center"/>
      </w:pPr>
      <w:r w:rsidRPr="00541818">
        <w:t>CRISTINA PARDO SCHLESINGER</w:t>
      </w:r>
    </w:p>
    <w:p w14:paraId="6F26ED46" w14:textId="44997877" w:rsidR="00541818" w:rsidRDefault="00541818" w:rsidP="00541818">
      <w:pPr>
        <w:jc w:val="center"/>
      </w:pPr>
      <w:r w:rsidRPr="00541818">
        <w:t>Magistrada</w:t>
      </w:r>
    </w:p>
    <w:p w14:paraId="4EAF37B5" w14:textId="16D97563" w:rsidR="00541818" w:rsidRDefault="00541818" w:rsidP="00541818">
      <w:pPr>
        <w:jc w:val="center"/>
      </w:pPr>
    </w:p>
    <w:p w14:paraId="2F791BC0" w14:textId="542A64D9" w:rsidR="00541818" w:rsidRDefault="00541818" w:rsidP="00541818">
      <w:pPr>
        <w:jc w:val="center"/>
      </w:pPr>
    </w:p>
    <w:p w14:paraId="796BB956" w14:textId="34B216A6" w:rsidR="00541818" w:rsidRDefault="00541818" w:rsidP="00541818">
      <w:pPr>
        <w:jc w:val="center"/>
      </w:pPr>
    </w:p>
    <w:p w14:paraId="16F6D86C" w14:textId="1DD5AADA" w:rsidR="00541818" w:rsidRDefault="00541818" w:rsidP="00541818">
      <w:pPr>
        <w:jc w:val="center"/>
      </w:pPr>
      <w:r w:rsidRPr="00541818">
        <w:t>JOSE FERNANDO REYES CUARTAS</w:t>
      </w:r>
    </w:p>
    <w:p w14:paraId="2908411E" w14:textId="4EC24A94" w:rsidR="00541818" w:rsidRDefault="00541818" w:rsidP="00541818">
      <w:pPr>
        <w:jc w:val="center"/>
      </w:pPr>
      <w:r w:rsidRPr="00541818">
        <w:t>Magistrado</w:t>
      </w:r>
    </w:p>
    <w:p w14:paraId="0EB3E6C3" w14:textId="7F9EFBEB" w:rsidR="00541818" w:rsidRDefault="00541818" w:rsidP="00541818">
      <w:pPr>
        <w:jc w:val="center"/>
      </w:pPr>
    </w:p>
    <w:p w14:paraId="11336B39" w14:textId="7CA51F21" w:rsidR="00541818" w:rsidRDefault="00541818" w:rsidP="00541818">
      <w:pPr>
        <w:jc w:val="center"/>
      </w:pPr>
    </w:p>
    <w:p w14:paraId="65A82262" w14:textId="7E3BEAEE" w:rsidR="00541818" w:rsidRDefault="00541818" w:rsidP="00541818">
      <w:pPr>
        <w:jc w:val="center"/>
      </w:pPr>
    </w:p>
    <w:p w14:paraId="27BFAEBB" w14:textId="230108D4" w:rsidR="00541818" w:rsidRDefault="00541818" w:rsidP="00541818">
      <w:pPr>
        <w:jc w:val="center"/>
      </w:pPr>
      <w:r w:rsidRPr="00541818">
        <w:t>ANDREA LILIANA ROMERO LOPEZ</w:t>
      </w:r>
    </w:p>
    <w:p w14:paraId="79BC69A1" w14:textId="7F89CC76" w:rsidR="00541818" w:rsidRDefault="00541818" w:rsidP="00541818">
      <w:pPr>
        <w:jc w:val="center"/>
      </w:pPr>
      <w:r w:rsidRPr="00541818">
        <w:t>Secretaria General</w:t>
      </w:r>
    </w:p>
    <w:p w14:paraId="6475C6CC" w14:textId="15586ABC" w:rsidR="00541818" w:rsidRDefault="00541818" w:rsidP="00541818">
      <w:pPr>
        <w:jc w:val="center"/>
      </w:pPr>
    </w:p>
    <w:p w14:paraId="7C0373FA" w14:textId="6645D59C" w:rsidR="00541818" w:rsidRDefault="00541818" w:rsidP="00541818">
      <w:pPr>
        <w:jc w:val="center"/>
      </w:pPr>
    </w:p>
    <w:p w14:paraId="2020A3E8" w14:textId="1F3CB3C8" w:rsidR="00541818" w:rsidRDefault="00541818" w:rsidP="00541818">
      <w:pPr>
        <w:jc w:val="center"/>
      </w:pPr>
    </w:p>
    <w:p w14:paraId="76C9B17B" w14:textId="32AAB3DF" w:rsidR="00541818" w:rsidRDefault="00541818" w:rsidP="00541818">
      <w:pPr>
        <w:jc w:val="center"/>
      </w:pPr>
    </w:p>
    <w:p w14:paraId="313C02D8" w14:textId="308766CE" w:rsidR="00541818" w:rsidRDefault="00541818" w:rsidP="00541818">
      <w:pPr>
        <w:jc w:val="center"/>
      </w:pPr>
    </w:p>
    <w:p w14:paraId="557FB956" w14:textId="77777777" w:rsidR="00541818" w:rsidRPr="00541818" w:rsidRDefault="00541818" w:rsidP="00541818">
      <w:pPr>
        <w:jc w:val="center"/>
      </w:pPr>
    </w:p>
    <w:sectPr w:rsidR="00541818" w:rsidRPr="00541818" w:rsidSect="008D235F">
      <w:headerReference w:type="default" r:id="rId12"/>
      <w:pgSz w:w="12240" w:h="18720" w:code="14"/>
      <w:pgMar w:top="1418" w:right="1588" w:bottom="1418" w:left="158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38F77" w14:textId="77777777" w:rsidR="00FC5DD0" w:rsidRDefault="00FC5DD0" w:rsidP="00860EF1">
      <w:r>
        <w:separator/>
      </w:r>
    </w:p>
  </w:endnote>
  <w:endnote w:type="continuationSeparator" w:id="0">
    <w:p w14:paraId="1DB521ED" w14:textId="77777777" w:rsidR="00FC5DD0" w:rsidRDefault="00FC5DD0" w:rsidP="00860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C9D97" w14:textId="77777777" w:rsidR="00FC5DD0" w:rsidRDefault="00FC5DD0" w:rsidP="00860EF1">
      <w:r>
        <w:separator/>
      </w:r>
    </w:p>
  </w:footnote>
  <w:footnote w:type="continuationSeparator" w:id="0">
    <w:p w14:paraId="213508DE" w14:textId="77777777" w:rsidR="00FC5DD0" w:rsidRDefault="00FC5DD0" w:rsidP="00860EF1">
      <w:r>
        <w:continuationSeparator/>
      </w:r>
    </w:p>
  </w:footnote>
  <w:footnote w:id="1">
    <w:p w14:paraId="6B4AD845" w14:textId="6250AEDB" w:rsidR="004A5384" w:rsidRPr="00674394" w:rsidRDefault="004A5384" w:rsidP="00355FCD">
      <w:pPr>
        <w:pStyle w:val="Textonotapie"/>
        <w:jc w:val="both"/>
        <w:rPr>
          <w:lang w:val="es-CO"/>
        </w:rPr>
      </w:pPr>
      <w:r>
        <w:rPr>
          <w:rStyle w:val="Refdenotaalpie"/>
        </w:rPr>
        <w:footnoteRef/>
      </w:r>
      <w:r>
        <w:t xml:space="preserve"> Coomeva</w:t>
      </w:r>
      <w:r w:rsidRPr="0000620A">
        <w:t xml:space="preserve"> EPS</w:t>
      </w:r>
      <w:r w:rsidRPr="0000620A">
        <w:rPr>
          <w:iCs/>
        </w:rPr>
        <w:t xml:space="preserve"> señala que el proceso se relaciona con la prestación de servicios en salud no incluidos en el POS (hoy PBS)</w:t>
      </w:r>
      <w:r>
        <w:rPr>
          <w:iCs/>
        </w:rPr>
        <w:t>,</w:t>
      </w:r>
      <w:r w:rsidRPr="0000620A">
        <w:rPr>
          <w:iCs/>
        </w:rPr>
        <w:t xml:space="preserve"> ordenados por sentencias de tutela y por los comités técnico-científicos. Relató que solicitó los recobros por los servicios prestados ante </w:t>
      </w:r>
      <w:r>
        <w:rPr>
          <w:iCs/>
        </w:rPr>
        <w:t xml:space="preserve">La Nación – Ministerio de Salud y Protección Social, la Unión temporal Fosyga 2014, ADRES y el </w:t>
      </w:r>
      <w:r w:rsidRPr="0000620A">
        <w:rPr>
          <w:iCs/>
        </w:rPr>
        <w:t>Consorcio</w:t>
      </w:r>
      <w:r>
        <w:rPr>
          <w:iCs/>
        </w:rPr>
        <w:t xml:space="preserve"> SAYP 2011</w:t>
      </w:r>
      <w:r w:rsidRPr="0000620A">
        <w:rPr>
          <w:iCs/>
        </w:rPr>
        <w:t>, pero que ninguna fue aprobada</w:t>
      </w:r>
      <w:r>
        <w:rPr>
          <w:iCs/>
        </w:rPr>
        <w:t xml:space="preserve">. Cfr. </w:t>
      </w:r>
      <w:r w:rsidRPr="00D54C18">
        <w:t>Expediente digital.</w:t>
      </w:r>
      <w:r>
        <w:t xml:space="preserve"> </w:t>
      </w:r>
      <w:r w:rsidRPr="00272F86">
        <w:t>01Cuaderno1.PDF</w:t>
      </w:r>
      <w:r>
        <w:t>., p. 8.</w:t>
      </w:r>
    </w:p>
  </w:footnote>
  <w:footnote w:id="2">
    <w:p w14:paraId="3157C9A6" w14:textId="04F11BAF" w:rsidR="004A5384" w:rsidRPr="00962C5E" w:rsidRDefault="004A5384" w:rsidP="00355FCD">
      <w:pPr>
        <w:pStyle w:val="Textonotapie"/>
        <w:jc w:val="both"/>
        <w:rPr>
          <w:lang w:val="es-CO"/>
        </w:rPr>
      </w:pPr>
      <w:r>
        <w:rPr>
          <w:rStyle w:val="Refdenotaalpie"/>
        </w:rPr>
        <w:footnoteRef/>
      </w:r>
      <w:r>
        <w:t xml:space="preserve"> </w:t>
      </w:r>
      <w:r>
        <w:rPr>
          <w:lang w:val="es-CO"/>
        </w:rPr>
        <w:t>Ib.</w:t>
      </w:r>
      <w:r>
        <w:t>, p. 5.</w:t>
      </w:r>
    </w:p>
  </w:footnote>
  <w:footnote w:id="3">
    <w:p w14:paraId="0FDFC571" w14:textId="5C83B1B2" w:rsidR="004A5384" w:rsidRPr="007254CD" w:rsidRDefault="004A5384" w:rsidP="00355FCD">
      <w:pPr>
        <w:pStyle w:val="Textonotapie"/>
        <w:jc w:val="both"/>
        <w:rPr>
          <w:lang w:val="es-CO"/>
        </w:rPr>
      </w:pPr>
      <w:r>
        <w:rPr>
          <w:rStyle w:val="Refdenotaalpie"/>
        </w:rPr>
        <w:footnoteRef/>
      </w:r>
      <w:r>
        <w:t xml:space="preserve"> Ib.</w:t>
      </w:r>
    </w:p>
  </w:footnote>
  <w:footnote w:id="4">
    <w:p w14:paraId="16A63541" w14:textId="1608B7B2" w:rsidR="004A5384" w:rsidRPr="007254CD" w:rsidRDefault="004A5384" w:rsidP="00355FCD">
      <w:pPr>
        <w:pStyle w:val="Textonotapie"/>
        <w:jc w:val="both"/>
        <w:rPr>
          <w:lang w:val="es-CO"/>
        </w:rPr>
      </w:pPr>
      <w:r>
        <w:rPr>
          <w:rStyle w:val="Refdenotaalpie"/>
        </w:rPr>
        <w:footnoteRef/>
      </w:r>
      <w:r>
        <w:t xml:space="preserve"> </w:t>
      </w:r>
      <w:r>
        <w:rPr>
          <w:lang w:val="es-CO"/>
        </w:rPr>
        <w:t>Ib., p. 46.</w:t>
      </w:r>
    </w:p>
  </w:footnote>
  <w:footnote w:id="5">
    <w:p w14:paraId="37CDE9E7" w14:textId="5252AA48" w:rsidR="004A5384" w:rsidRPr="00674394" w:rsidRDefault="004A5384" w:rsidP="00355FCD">
      <w:pPr>
        <w:pStyle w:val="Textonotapie"/>
        <w:jc w:val="both"/>
        <w:rPr>
          <w:lang w:val="en-US"/>
        </w:rPr>
      </w:pPr>
      <w:r>
        <w:rPr>
          <w:rStyle w:val="Refdenotaalpie"/>
        </w:rPr>
        <w:footnoteRef/>
      </w:r>
      <w:r w:rsidRPr="00674394">
        <w:rPr>
          <w:lang w:val="en-US"/>
        </w:rPr>
        <w:t xml:space="preserve"> Ib., </w:t>
      </w:r>
      <w:r>
        <w:rPr>
          <w:lang w:val="en-US"/>
        </w:rPr>
        <w:t>p. 338</w:t>
      </w:r>
      <w:r w:rsidRPr="00674394">
        <w:rPr>
          <w:lang w:val="en-US"/>
        </w:rPr>
        <w:t>.</w:t>
      </w:r>
    </w:p>
  </w:footnote>
  <w:footnote w:id="6">
    <w:p w14:paraId="3C014D67" w14:textId="1AA13DC1" w:rsidR="004A5384" w:rsidRPr="00D232BB" w:rsidRDefault="004A5384" w:rsidP="00355FCD">
      <w:pPr>
        <w:pStyle w:val="Textonotapie"/>
        <w:jc w:val="both"/>
      </w:pPr>
      <w:r>
        <w:rPr>
          <w:rStyle w:val="Refdenotaalpie"/>
        </w:rPr>
        <w:footnoteRef/>
      </w:r>
      <w:r>
        <w:t xml:space="preserve"> </w:t>
      </w:r>
      <w:r>
        <w:rPr>
          <w:lang w:val="es-CO"/>
        </w:rPr>
        <w:t>Ib., p. 343.</w:t>
      </w:r>
    </w:p>
  </w:footnote>
  <w:footnote w:id="7">
    <w:p w14:paraId="1903487B" w14:textId="15220ACD" w:rsidR="004A5384" w:rsidRPr="001709FE" w:rsidRDefault="004A5384" w:rsidP="00355FCD">
      <w:pPr>
        <w:pStyle w:val="Textonotapie"/>
        <w:jc w:val="both"/>
      </w:pPr>
      <w:r>
        <w:rPr>
          <w:rStyle w:val="Refdenotaalpie"/>
        </w:rPr>
        <w:footnoteRef/>
      </w:r>
      <w:r>
        <w:t xml:space="preserve"> </w:t>
      </w:r>
      <w:r w:rsidRPr="00D54C18">
        <w:t>Expediente digital.</w:t>
      </w:r>
      <w:r>
        <w:t xml:space="preserve"> </w:t>
      </w:r>
      <w:r w:rsidRPr="00E9058F">
        <w:t>07SalaDisciplinario.PDF</w:t>
      </w:r>
      <w:r>
        <w:t>., pp. 58 – 79.</w:t>
      </w:r>
    </w:p>
  </w:footnote>
  <w:footnote w:id="8">
    <w:p w14:paraId="2E0044EA" w14:textId="69B7DACB" w:rsidR="004A5384" w:rsidRPr="00674394" w:rsidRDefault="004A5384" w:rsidP="00355FCD">
      <w:pPr>
        <w:pStyle w:val="Textonotapie"/>
        <w:rPr>
          <w:lang w:val="es-CO"/>
        </w:rPr>
      </w:pPr>
      <w:r>
        <w:rPr>
          <w:rStyle w:val="Refdenotaalpie"/>
        </w:rPr>
        <w:footnoteRef/>
      </w:r>
      <w:r>
        <w:t xml:space="preserve"> Ib., p. 73.</w:t>
      </w:r>
    </w:p>
  </w:footnote>
  <w:footnote w:id="9">
    <w:p w14:paraId="5B60A19E" w14:textId="75552A9E" w:rsidR="004A5384" w:rsidRPr="00A82338" w:rsidRDefault="004A5384" w:rsidP="00355FCD">
      <w:pPr>
        <w:pStyle w:val="Textonotapie"/>
        <w:jc w:val="both"/>
      </w:pPr>
      <w:r>
        <w:rPr>
          <w:rStyle w:val="Refdenotaalpie"/>
        </w:rPr>
        <w:footnoteRef/>
      </w:r>
      <w:r>
        <w:t xml:space="preserve"> </w:t>
      </w:r>
      <w:r w:rsidRPr="00D54C18">
        <w:t>Expediente digital.</w:t>
      </w:r>
      <w:r>
        <w:t xml:space="preserve"> </w:t>
      </w:r>
      <w:r w:rsidRPr="00F304A4">
        <w:t>01Cuaderno1.PDF</w:t>
      </w:r>
      <w:r>
        <w:t>., p. 346.</w:t>
      </w:r>
    </w:p>
  </w:footnote>
  <w:footnote w:id="10">
    <w:p w14:paraId="4F842E64" w14:textId="65383570" w:rsidR="004A5384" w:rsidRPr="00211F90" w:rsidRDefault="004A5384">
      <w:pPr>
        <w:pStyle w:val="Textonotapie"/>
        <w:rPr>
          <w:lang w:val="es-CO"/>
        </w:rPr>
      </w:pPr>
      <w:r>
        <w:rPr>
          <w:rStyle w:val="Refdenotaalpie"/>
        </w:rPr>
        <w:footnoteRef/>
      </w:r>
      <w:r>
        <w:t xml:space="preserve"> </w:t>
      </w:r>
      <w:r>
        <w:rPr>
          <w:lang w:val="es-CO"/>
        </w:rPr>
        <w:t xml:space="preserve">Expediente digital. </w:t>
      </w:r>
      <w:r w:rsidRPr="00211F90">
        <w:rPr>
          <w:lang w:val="es-CO"/>
        </w:rPr>
        <w:t>10AutoRemite.pdf</w:t>
      </w:r>
      <w:r>
        <w:rPr>
          <w:lang w:val="es-CO"/>
        </w:rPr>
        <w:t>.</w:t>
      </w:r>
    </w:p>
  </w:footnote>
  <w:footnote w:id="11">
    <w:p w14:paraId="75458329" w14:textId="2750F9B5" w:rsidR="004A5384" w:rsidRPr="00211F90" w:rsidRDefault="004A5384">
      <w:pPr>
        <w:pStyle w:val="Textonotapie"/>
        <w:rPr>
          <w:lang w:val="es-CO"/>
        </w:rPr>
      </w:pPr>
      <w:r>
        <w:rPr>
          <w:rStyle w:val="Refdenotaalpie"/>
        </w:rPr>
        <w:footnoteRef/>
      </w:r>
      <w:r>
        <w:t xml:space="preserve"> </w:t>
      </w:r>
      <w:r>
        <w:rPr>
          <w:lang w:val="es-CO"/>
        </w:rPr>
        <w:t>Ib., p. 6.</w:t>
      </w:r>
    </w:p>
  </w:footnote>
  <w:footnote w:id="12">
    <w:p w14:paraId="0FC0A046" w14:textId="14A1DC25" w:rsidR="004A5384" w:rsidRPr="00DA330C" w:rsidRDefault="004A5384">
      <w:pPr>
        <w:pStyle w:val="Textonotapie"/>
        <w:rPr>
          <w:lang w:val="es-CO"/>
        </w:rPr>
      </w:pPr>
      <w:r>
        <w:rPr>
          <w:rStyle w:val="Refdenotaalpie"/>
        </w:rPr>
        <w:footnoteRef/>
      </w:r>
      <w:r>
        <w:t xml:space="preserve"> </w:t>
      </w:r>
      <w:r>
        <w:rPr>
          <w:lang w:val="es-CO"/>
        </w:rPr>
        <w:t xml:space="preserve">Expediente digital. </w:t>
      </w:r>
      <w:r w:rsidRPr="00DA330C">
        <w:rPr>
          <w:lang w:val="es-CO"/>
        </w:rPr>
        <w:t>13ProponeConflicto.pdf</w:t>
      </w:r>
      <w:r>
        <w:rPr>
          <w:lang w:val="es-CO"/>
        </w:rPr>
        <w:t>.</w:t>
      </w:r>
    </w:p>
  </w:footnote>
  <w:footnote w:id="13">
    <w:p w14:paraId="1B0BC836" w14:textId="0C0CEF47" w:rsidR="004A5384" w:rsidRPr="00B2600B" w:rsidRDefault="004A5384" w:rsidP="00355FCD">
      <w:pPr>
        <w:pStyle w:val="Textonotapie"/>
        <w:jc w:val="both"/>
      </w:pPr>
      <w:r>
        <w:rPr>
          <w:rStyle w:val="Refdenotaalpie"/>
        </w:rPr>
        <w:footnoteRef/>
      </w:r>
      <w:r>
        <w:t xml:space="preserve"> Ib., p. 3.</w:t>
      </w:r>
    </w:p>
  </w:footnote>
  <w:footnote w:id="14">
    <w:p w14:paraId="2EFE6D83" w14:textId="69BD1207" w:rsidR="004A5384" w:rsidRPr="00A351BD" w:rsidRDefault="004A5384" w:rsidP="00355FCD">
      <w:pPr>
        <w:pStyle w:val="Textonotapie"/>
        <w:jc w:val="both"/>
      </w:pPr>
      <w:r>
        <w:rPr>
          <w:rStyle w:val="Refdenotaalpie"/>
        </w:rPr>
        <w:footnoteRef/>
      </w:r>
      <w:r>
        <w:t xml:space="preserve"> Expediente digital. </w:t>
      </w:r>
      <w:r w:rsidRPr="00DA330C">
        <w:t>03CJU-3473 Constancia de Reparto.pdf</w:t>
      </w:r>
    </w:p>
  </w:footnote>
  <w:footnote w:id="15">
    <w:p w14:paraId="71BC0B6F" w14:textId="77777777" w:rsidR="004A5384" w:rsidRPr="007C0768" w:rsidRDefault="004A5384" w:rsidP="00355FCD">
      <w:pPr>
        <w:pStyle w:val="Textonotapie"/>
        <w:jc w:val="both"/>
        <w:rPr>
          <w:lang w:val="es-ES_tradnl"/>
        </w:rPr>
      </w:pPr>
      <w:r>
        <w:rPr>
          <w:rStyle w:val="Refdenotaalpie"/>
        </w:rPr>
        <w:footnoteRef/>
      </w:r>
      <w:r>
        <w:t xml:space="preserve"> </w:t>
      </w:r>
      <w:r>
        <w:rPr>
          <w:lang w:val="es-ES_tradnl"/>
        </w:rPr>
        <w:t>CJU-1741.</w:t>
      </w:r>
    </w:p>
  </w:footnote>
  <w:footnote w:id="16">
    <w:p w14:paraId="560FA127" w14:textId="77777777" w:rsidR="004A5384" w:rsidRPr="002F3025" w:rsidRDefault="004A5384" w:rsidP="00355FCD">
      <w:pPr>
        <w:pStyle w:val="Textonotapie"/>
        <w:jc w:val="both"/>
        <w:rPr>
          <w:lang w:val="es-ES_tradnl"/>
        </w:rPr>
      </w:pPr>
      <w:r w:rsidRPr="002F3025">
        <w:rPr>
          <w:rStyle w:val="Refdenotaalpie"/>
        </w:rPr>
        <w:footnoteRef/>
      </w:r>
      <w:r w:rsidRPr="002F3025">
        <w:t xml:space="preserve"> </w:t>
      </w:r>
      <w:r w:rsidRPr="002F3025">
        <w:rPr>
          <w:lang w:val="es-ES_tradnl"/>
        </w:rPr>
        <w:t xml:space="preserve">Auto 2035 de 2023.  </w:t>
      </w:r>
    </w:p>
  </w:footnote>
  <w:footnote w:id="17">
    <w:p w14:paraId="30A62A83" w14:textId="77777777" w:rsidR="004A5384" w:rsidRPr="007C0768" w:rsidRDefault="004A5384" w:rsidP="00355FCD">
      <w:pPr>
        <w:pStyle w:val="Textonotapie"/>
        <w:jc w:val="both"/>
        <w:rPr>
          <w:lang w:val="es-ES_tradnl"/>
        </w:rPr>
      </w:pPr>
      <w:r>
        <w:rPr>
          <w:rStyle w:val="Refdenotaalpie"/>
        </w:rPr>
        <w:footnoteRef/>
      </w:r>
      <w:r>
        <w:t xml:space="preserve"> </w:t>
      </w:r>
      <w:r>
        <w:rPr>
          <w:lang w:val="es-ES_tradnl"/>
        </w:rPr>
        <w:t>CJU-1741.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DAD74" w14:textId="7E43B274" w:rsidR="004A5384" w:rsidRPr="007E14C5" w:rsidRDefault="004A5384" w:rsidP="008D235F">
    <w:pPr>
      <w:pStyle w:val="Encabezado"/>
      <w:jc w:val="right"/>
      <w:rPr>
        <w:i/>
        <w:iCs/>
        <w:sz w:val="20"/>
        <w:szCs w:val="20"/>
      </w:rPr>
    </w:pPr>
    <w:r w:rsidRPr="007E14C5">
      <w:rPr>
        <w:i/>
        <w:iCs/>
        <w:sz w:val="20"/>
        <w:szCs w:val="20"/>
      </w:rPr>
      <w:t>Expediente CJU-</w:t>
    </w:r>
    <w:r>
      <w:rPr>
        <w:i/>
        <w:iCs/>
        <w:sz w:val="20"/>
        <w:szCs w:val="20"/>
      </w:rPr>
      <w:t>3473</w:t>
    </w:r>
  </w:p>
  <w:p w14:paraId="39840C83" w14:textId="77777777" w:rsidR="004A5384" w:rsidRPr="00291065" w:rsidRDefault="004A5384" w:rsidP="008D235F">
    <w:pPr>
      <w:pStyle w:val="Encabezado"/>
      <w:jc w:val="right"/>
      <w:rPr>
        <w:i/>
        <w:iCs/>
        <w:sz w:val="20"/>
        <w:szCs w:val="20"/>
      </w:rPr>
    </w:pPr>
    <w:r w:rsidRPr="007E14C5">
      <w:rPr>
        <w:i/>
        <w:iCs/>
        <w:sz w:val="20"/>
        <w:szCs w:val="20"/>
      </w:rPr>
      <w:t>M.P. Paola Andrea Meneses Mosquera</w:t>
    </w:r>
  </w:p>
  <w:p w14:paraId="19E0E179" w14:textId="77777777" w:rsidR="004A5384" w:rsidRPr="006E2B81" w:rsidRDefault="004A5384" w:rsidP="008D235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73B64"/>
    <w:multiLevelType w:val="hybridMultilevel"/>
    <w:tmpl w:val="57C8EBB0"/>
    <w:lvl w:ilvl="0" w:tplc="55B8DEE6">
      <w:start w:val="4"/>
      <w:numFmt w:val="decimal"/>
      <w:lvlText w:val="%1."/>
      <w:lvlJc w:val="left"/>
      <w:pPr>
        <w:ind w:left="720" w:hanging="360"/>
      </w:pPr>
      <w:rPr>
        <w:rFonts w:hint="default"/>
        <w:b/>
        <w:bCs/>
      </w:rPr>
    </w:lvl>
    <w:lvl w:ilvl="1" w:tplc="BE6A7A3E">
      <w:start w:val="1"/>
      <w:numFmt w:val="lowerRoman"/>
      <w:lvlText w:val="(%2)"/>
      <w:lvlJc w:val="left"/>
      <w:pPr>
        <w:ind w:left="1800" w:hanging="720"/>
      </w:pPr>
      <w:rPr>
        <w:rFonts w:hint="default"/>
        <w:i/>
        <w:color w:val="auto"/>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7E31F94"/>
    <w:multiLevelType w:val="multilevel"/>
    <w:tmpl w:val="3A68392C"/>
    <w:lvl w:ilvl="0">
      <w:start w:val="1"/>
      <w:numFmt w:val="upperRoman"/>
      <w:lvlText w:val="I%1."/>
      <w:lvlJc w:val="left"/>
      <w:pPr>
        <w:ind w:left="-872" w:firstLine="1440"/>
      </w:pPr>
      <w:rPr>
        <w:rFonts w:hint="default"/>
        <w:b/>
        <w:bCs/>
      </w:rPr>
    </w:lvl>
    <w:lvl w:ilvl="1">
      <w:start w:val="1"/>
      <w:numFmt w:val="lowerLetter"/>
      <w:lvlText w:val="%2."/>
      <w:lvlJc w:val="left"/>
      <w:pPr>
        <w:ind w:left="1440" w:firstLine="2520"/>
      </w:pPr>
      <w:rPr>
        <w:rFonts w:hint="default"/>
      </w:rPr>
    </w:lvl>
    <w:lvl w:ilvl="2">
      <w:start w:val="1"/>
      <w:numFmt w:val="lowerRoman"/>
      <w:lvlText w:val="%3."/>
      <w:lvlJc w:val="right"/>
      <w:pPr>
        <w:ind w:left="2160" w:firstLine="4140"/>
      </w:pPr>
      <w:rPr>
        <w:rFonts w:hint="default"/>
      </w:rPr>
    </w:lvl>
    <w:lvl w:ilvl="3">
      <w:start w:val="1"/>
      <w:numFmt w:val="none"/>
      <w:lvlText w:val="8."/>
      <w:lvlJc w:val="left"/>
      <w:pPr>
        <w:ind w:left="8640" w:hanging="360"/>
      </w:pPr>
      <w:rPr>
        <w:rFonts w:hint="default"/>
      </w:rPr>
    </w:lvl>
    <w:lvl w:ilvl="4">
      <w:start w:val="1"/>
      <w:numFmt w:val="lowerLetter"/>
      <w:lvlText w:val="%5."/>
      <w:lvlJc w:val="left"/>
      <w:pPr>
        <w:ind w:left="3600" w:firstLine="6840"/>
      </w:pPr>
      <w:rPr>
        <w:rFonts w:hint="default"/>
      </w:rPr>
    </w:lvl>
    <w:lvl w:ilvl="5">
      <w:start w:val="1"/>
      <w:numFmt w:val="lowerRoman"/>
      <w:lvlText w:val="%6."/>
      <w:lvlJc w:val="right"/>
      <w:pPr>
        <w:ind w:left="4320" w:firstLine="8460"/>
      </w:pPr>
      <w:rPr>
        <w:rFonts w:hint="default"/>
      </w:rPr>
    </w:lvl>
    <w:lvl w:ilvl="6">
      <w:start w:val="1"/>
      <w:numFmt w:val="decimal"/>
      <w:lvlText w:val="%7."/>
      <w:lvlJc w:val="left"/>
      <w:pPr>
        <w:ind w:left="5040" w:firstLine="9720"/>
      </w:pPr>
      <w:rPr>
        <w:rFonts w:hint="default"/>
        <w:color w:val="auto"/>
        <w:sz w:val="28"/>
        <w:szCs w:val="28"/>
      </w:rPr>
    </w:lvl>
    <w:lvl w:ilvl="7">
      <w:start w:val="1"/>
      <w:numFmt w:val="lowerLetter"/>
      <w:lvlText w:val="%8."/>
      <w:lvlJc w:val="left"/>
      <w:pPr>
        <w:ind w:left="5760" w:firstLine="11160"/>
      </w:pPr>
      <w:rPr>
        <w:rFonts w:hint="default"/>
      </w:rPr>
    </w:lvl>
    <w:lvl w:ilvl="8">
      <w:start w:val="1"/>
      <w:numFmt w:val="lowerRoman"/>
      <w:lvlText w:val="%9."/>
      <w:lvlJc w:val="right"/>
      <w:pPr>
        <w:ind w:left="6480" w:firstLine="12780"/>
      </w:pPr>
      <w:rPr>
        <w:rFonts w:hint="default"/>
      </w:rPr>
    </w:lvl>
  </w:abstractNum>
  <w:abstractNum w:abstractNumId="2" w15:restartNumberingAfterBreak="0">
    <w:nsid w:val="212953E8"/>
    <w:multiLevelType w:val="hybridMultilevel"/>
    <w:tmpl w:val="7AF81A0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1A01FD1"/>
    <w:multiLevelType w:val="hybridMultilevel"/>
    <w:tmpl w:val="BBA2E8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0A39A2"/>
    <w:multiLevelType w:val="multilevel"/>
    <w:tmpl w:val="66D20C5E"/>
    <w:lvl w:ilvl="0">
      <w:start w:val="1"/>
      <w:numFmt w:val="none"/>
      <w:lvlText w:val="7."/>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rPr>
        <w:i w:val="0"/>
        <w:iCs w:val="0"/>
        <w:sz w:val="28"/>
        <w:szCs w:val="28"/>
      </w:r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283F347E"/>
    <w:multiLevelType w:val="hybridMultilevel"/>
    <w:tmpl w:val="EB98BBF8"/>
    <w:lvl w:ilvl="0" w:tplc="A8D0C3B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B4024C3"/>
    <w:multiLevelType w:val="hybridMultilevel"/>
    <w:tmpl w:val="9A02BA3E"/>
    <w:lvl w:ilvl="0" w:tplc="54A23D24">
      <w:start w:val="1"/>
      <w:numFmt w:val="lowerRoman"/>
      <w:lvlText w:val="(%1)"/>
      <w:lvlJc w:val="left"/>
      <w:pPr>
        <w:ind w:left="1080" w:hanging="720"/>
      </w:pPr>
      <w:rPr>
        <w:rFonts w:hint="default"/>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44C2DE0"/>
    <w:multiLevelType w:val="hybridMultilevel"/>
    <w:tmpl w:val="7354FF7C"/>
    <w:lvl w:ilvl="0" w:tplc="C4FEF47E">
      <w:start w:val="1"/>
      <w:numFmt w:val="lowerRoman"/>
      <w:lvlText w:val="(%1)"/>
      <w:lvlJc w:val="left"/>
      <w:pPr>
        <w:ind w:left="1080" w:hanging="720"/>
      </w:pPr>
      <w:rPr>
        <w:rFonts w:hint="default"/>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76C6DC0"/>
    <w:multiLevelType w:val="hybridMultilevel"/>
    <w:tmpl w:val="719AB2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C413C74"/>
    <w:multiLevelType w:val="hybridMultilevel"/>
    <w:tmpl w:val="0694B798"/>
    <w:lvl w:ilvl="0" w:tplc="52064296">
      <w:start w:val="1"/>
      <w:numFmt w:val="lowerRoman"/>
      <w:lvlText w:val="(%1)"/>
      <w:lvlJc w:val="left"/>
      <w:pPr>
        <w:ind w:left="720" w:hanging="360"/>
      </w:pPr>
      <w:rPr>
        <w:rFonts w:hint="default"/>
        <w:i/>
      </w:rPr>
    </w:lvl>
    <w:lvl w:ilvl="1" w:tplc="52064296">
      <w:start w:val="1"/>
      <w:numFmt w:val="lowerRoman"/>
      <w:lvlText w:val="(%2)"/>
      <w:lvlJc w:val="left"/>
      <w:pPr>
        <w:ind w:left="1440" w:hanging="360"/>
      </w:pPr>
      <w:rPr>
        <w:rFonts w:hint="default"/>
        <w:i/>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6C6B1E07"/>
    <w:multiLevelType w:val="hybridMultilevel"/>
    <w:tmpl w:val="E3C6DD58"/>
    <w:lvl w:ilvl="0" w:tplc="46E8934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242030738">
    <w:abstractNumId w:val="1"/>
  </w:num>
  <w:num w:numId="2" w16cid:durableId="1889609485">
    <w:abstractNumId w:val="5"/>
  </w:num>
  <w:num w:numId="3" w16cid:durableId="113910502">
    <w:abstractNumId w:val="0"/>
  </w:num>
  <w:num w:numId="4" w16cid:durableId="1402169340">
    <w:abstractNumId w:val="7"/>
  </w:num>
  <w:num w:numId="5" w16cid:durableId="1224367562">
    <w:abstractNumId w:val="9"/>
  </w:num>
  <w:num w:numId="6" w16cid:durableId="659621388">
    <w:abstractNumId w:val="2"/>
  </w:num>
  <w:num w:numId="7" w16cid:durableId="2083720679">
    <w:abstractNumId w:val="10"/>
  </w:num>
  <w:num w:numId="8" w16cid:durableId="1448351047">
    <w:abstractNumId w:val="8"/>
  </w:num>
  <w:num w:numId="9" w16cid:durableId="930353430">
    <w:abstractNumId w:val="3"/>
  </w:num>
  <w:num w:numId="10" w16cid:durableId="199782099">
    <w:abstractNumId w:val="4"/>
  </w:num>
  <w:num w:numId="11" w16cid:durableId="14949554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EF1"/>
    <w:rsid w:val="000045D6"/>
    <w:rsid w:val="00014101"/>
    <w:rsid w:val="0003756C"/>
    <w:rsid w:val="00040C53"/>
    <w:rsid w:val="00085B35"/>
    <w:rsid w:val="001C1B57"/>
    <w:rsid w:val="00211F90"/>
    <w:rsid w:val="002501BF"/>
    <w:rsid w:val="00272F86"/>
    <w:rsid w:val="002A48A1"/>
    <w:rsid w:val="00355FCD"/>
    <w:rsid w:val="004A5384"/>
    <w:rsid w:val="00541818"/>
    <w:rsid w:val="00597BC7"/>
    <w:rsid w:val="00613F70"/>
    <w:rsid w:val="006566B2"/>
    <w:rsid w:val="00666EEC"/>
    <w:rsid w:val="006B2DB8"/>
    <w:rsid w:val="007A5A67"/>
    <w:rsid w:val="007D7B73"/>
    <w:rsid w:val="007E4971"/>
    <w:rsid w:val="00805E34"/>
    <w:rsid w:val="00860EF1"/>
    <w:rsid w:val="00885A5D"/>
    <w:rsid w:val="008D235F"/>
    <w:rsid w:val="00940108"/>
    <w:rsid w:val="00977318"/>
    <w:rsid w:val="00A37DB1"/>
    <w:rsid w:val="00A432B7"/>
    <w:rsid w:val="00A63D1B"/>
    <w:rsid w:val="00B00564"/>
    <w:rsid w:val="00B10BA6"/>
    <w:rsid w:val="00B22A9D"/>
    <w:rsid w:val="00B273A0"/>
    <w:rsid w:val="00B51473"/>
    <w:rsid w:val="00B94A54"/>
    <w:rsid w:val="00C22DBD"/>
    <w:rsid w:val="00C342AB"/>
    <w:rsid w:val="00C41D28"/>
    <w:rsid w:val="00C528BE"/>
    <w:rsid w:val="00C91F34"/>
    <w:rsid w:val="00D038D5"/>
    <w:rsid w:val="00DA330C"/>
    <w:rsid w:val="00DE1E12"/>
    <w:rsid w:val="00E132CD"/>
    <w:rsid w:val="00E26F2C"/>
    <w:rsid w:val="00E9058F"/>
    <w:rsid w:val="00EC60B2"/>
    <w:rsid w:val="00EF123B"/>
    <w:rsid w:val="00F03AA0"/>
    <w:rsid w:val="00F304A4"/>
    <w:rsid w:val="00FC5DD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D82A8A"/>
  <w15:docId w15:val="{315447D8-0A3E-4817-9CA8-571BA7B20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EF1"/>
    <w:pPr>
      <w:spacing w:after="0" w:line="240" w:lineRule="auto"/>
    </w:pPr>
    <w:rPr>
      <w:rFonts w:ascii="Times New Roman" w:eastAsia="Times New Roman" w:hAnsi="Times New Roman" w:cs="Times New Roman"/>
      <w:kern w:val="0"/>
      <w:sz w:val="28"/>
      <w:szCs w:val="28"/>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texto de nota al pie,Footnote Text Char Char Char Char Char Char Char Char,Footnote Text Char,Pie de Págin,ft,C"/>
    <w:basedOn w:val="Normal"/>
    <w:link w:val="TextonotapieCar1"/>
    <w:qFormat/>
    <w:rsid w:val="00860EF1"/>
    <w:rPr>
      <w:sz w:val="20"/>
      <w:szCs w:val="20"/>
    </w:rPr>
  </w:style>
  <w:style w:type="character" w:customStyle="1" w:styleId="TextonotapieCar">
    <w:name w:val="Texto nota pie Car"/>
    <w:basedOn w:val="Fuentedeprrafopredeter"/>
    <w:uiPriority w:val="99"/>
    <w:semiHidden/>
    <w:rsid w:val="00860EF1"/>
    <w:rPr>
      <w:rFonts w:ascii="Times New Roman" w:eastAsia="Times New Roman" w:hAnsi="Times New Roman" w:cs="Times New Roman"/>
      <w:kern w:val="0"/>
      <w:sz w:val="20"/>
      <w:szCs w:val="20"/>
      <w:lang w:val="es-ES" w:eastAsia="es-ES"/>
      <w14:ligatures w14:val="none"/>
    </w:rPr>
  </w:style>
  <w:style w:type="character" w:styleId="Refdenotaalpie">
    <w:name w:val="footnote reference"/>
    <w:aliases w:val="Texto de nota al pie,Footnotes refss,Appel note de bas de page,referencia nota al pie,Footnote number,BVI fnr,f,Texto nota pie Car Car1,texto de nota al pie Car Car,Texto nota pie Car Car Car,Ref. de nota al pie 2,4_G,16 Point,FC,F,R"/>
    <w:link w:val="Piedepagina"/>
    <w:qFormat/>
    <w:rsid w:val="00860EF1"/>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texto de nota al pie Car,Footnote Text Char Char Char Char Char Char Char Char Car"/>
    <w:link w:val="Textonotapie"/>
    <w:qFormat/>
    <w:locked/>
    <w:rsid w:val="00860EF1"/>
    <w:rPr>
      <w:rFonts w:ascii="Times New Roman" w:eastAsia="Times New Roman" w:hAnsi="Times New Roman" w:cs="Times New Roman"/>
      <w:kern w:val="0"/>
      <w:sz w:val="20"/>
      <w:szCs w:val="20"/>
      <w:lang w:val="es-ES" w:eastAsia="es-ES"/>
      <w14:ligatures w14:val="none"/>
    </w:rPr>
  </w:style>
  <w:style w:type="paragraph" w:customStyle="1" w:styleId="Style2">
    <w:name w:val="Style2"/>
    <w:basedOn w:val="Normal"/>
    <w:uiPriority w:val="99"/>
    <w:rsid w:val="00860EF1"/>
    <w:pPr>
      <w:widowControl w:val="0"/>
      <w:autoSpaceDE w:val="0"/>
      <w:autoSpaceDN w:val="0"/>
      <w:adjustRightInd w:val="0"/>
      <w:spacing w:line="322" w:lineRule="exact"/>
      <w:jc w:val="center"/>
    </w:pPr>
    <w:rPr>
      <w:sz w:val="24"/>
      <w:szCs w:val="24"/>
    </w:rPr>
  </w:style>
  <w:style w:type="paragraph" w:customStyle="1" w:styleId="Style6">
    <w:name w:val="Style6"/>
    <w:basedOn w:val="Normal"/>
    <w:uiPriority w:val="99"/>
    <w:rsid w:val="00860EF1"/>
    <w:pPr>
      <w:widowControl w:val="0"/>
      <w:autoSpaceDE w:val="0"/>
      <w:autoSpaceDN w:val="0"/>
      <w:adjustRightInd w:val="0"/>
      <w:spacing w:line="322" w:lineRule="exact"/>
      <w:jc w:val="both"/>
    </w:pPr>
    <w:rPr>
      <w:sz w:val="24"/>
      <w:szCs w:val="24"/>
    </w:rPr>
  </w:style>
  <w:style w:type="character" w:customStyle="1" w:styleId="FontStyle11">
    <w:name w:val="Font Style11"/>
    <w:uiPriority w:val="99"/>
    <w:rsid w:val="00860EF1"/>
    <w:rPr>
      <w:rFonts w:ascii="Times New Roman" w:hAnsi="Times New Roman" w:cs="Times New Roman"/>
      <w:b/>
      <w:bCs/>
      <w:sz w:val="26"/>
      <w:szCs w:val="26"/>
    </w:rPr>
  </w:style>
  <w:style w:type="character" w:customStyle="1" w:styleId="FontStyle12">
    <w:name w:val="Font Style12"/>
    <w:uiPriority w:val="99"/>
    <w:rsid w:val="00860EF1"/>
    <w:rPr>
      <w:rFonts w:ascii="Times New Roman" w:hAnsi="Times New Roman" w:cs="Times New Roman"/>
      <w:sz w:val="26"/>
      <w:szCs w:val="26"/>
    </w:rPr>
  </w:style>
  <w:style w:type="paragraph" w:customStyle="1" w:styleId="Piedepagina">
    <w:name w:val="Pie de pagina"/>
    <w:aliases w:val="Ref. de nota al pie2,Nota de pie"/>
    <w:basedOn w:val="Normal"/>
    <w:link w:val="Refdenotaalpie"/>
    <w:rsid w:val="00860EF1"/>
    <w:pPr>
      <w:spacing w:after="160" w:line="240" w:lineRule="exact"/>
    </w:pPr>
    <w:rPr>
      <w:rFonts w:asciiTheme="minorHAnsi" w:eastAsiaTheme="minorHAnsi" w:hAnsiTheme="minorHAnsi" w:cstheme="minorBidi"/>
      <w:kern w:val="2"/>
      <w:sz w:val="22"/>
      <w:szCs w:val="22"/>
      <w:vertAlign w:val="superscript"/>
      <w:lang w:val="es-CO" w:eastAsia="en-US"/>
      <w14:ligatures w14:val="standardContextual"/>
    </w:rPr>
  </w:style>
  <w:style w:type="paragraph" w:styleId="Prrafodelista">
    <w:name w:val="List Paragraph"/>
    <w:aliases w:val="Footnote,Colorful List - Accent 11,List Paragraph2,List Paragraph1,Ha,lp1"/>
    <w:basedOn w:val="Normal"/>
    <w:link w:val="PrrafodelistaCar"/>
    <w:uiPriority w:val="34"/>
    <w:qFormat/>
    <w:rsid w:val="00860EF1"/>
    <w:pPr>
      <w:ind w:left="720"/>
      <w:contextualSpacing/>
    </w:pPr>
  </w:style>
  <w:style w:type="paragraph" w:styleId="Sinespaciado">
    <w:name w:val="No Spacing"/>
    <w:aliases w:val="CAPITULO I"/>
    <w:link w:val="SinespaciadoCar"/>
    <w:uiPriority w:val="1"/>
    <w:qFormat/>
    <w:rsid w:val="00860EF1"/>
    <w:pPr>
      <w:spacing w:after="0" w:line="240" w:lineRule="auto"/>
    </w:pPr>
    <w:rPr>
      <w:rFonts w:ascii="Times New Roman" w:eastAsia="Times New Roman" w:hAnsi="Times New Roman" w:cs="Times New Roman"/>
      <w:kern w:val="0"/>
      <w:sz w:val="28"/>
      <w:szCs w:val="28"/>
      <w:lang w:val="es-ES" w:eastAsia="es-ES"/>
      <w14:ligatures w14:val="none"/>
    </w:rPr>
  </w:style>
  <w:style w:type="paragraph" w:customStyle="1" w:styleId="Listavistosa-nfasis11">
    <w:name w:val="Lista vistosa - Énfasis 11"/>
    <w:basedOn w:val="Normal"/>
    <w:uiPriority w:val="34"/>
    <w:qFormat/>
    <w:rsid w:val="00860EF1"/>
    <w:pPr>
      <w:spacing w:after="160" w:line="259" w:lineRule="auto"/>
      <w:ind w:left="720"/>
      <w:contextualSpacing/>
    </w:pPr>
    <w:rPr>
      <w:rFonts w:eastAsia="Calibri"/>
      <w:szCs w:val="22"/>
      <w:lang w:eastAsia="en-US"/>
    </w:rPr>
  </w:style>
  <w:style w:type="paragraph" w:styleId="Encabezado">
    <w:name w:val="header"/>
    <w:basedOn w:val="Normal"/>
    <w:link w:val="EncabezadoCar"/>
    <w:uiPriority w:val="99"/>
    <w:unhideWhenUsed/>
    <w:rsid w:val="00860EF1"/>
    <w:pPr>
      <w:tabs>
        <w:tab w:val="center" w:pos="4419"/>
        <w:tab w:val="right" w:pos="8838"/>
      </w:tabs>
    </w:pPr>
  </w:style>
  <w:style w:type="character" w:customStyle="1" w:styleId="EncabezadoCar">
    <w:name w:val="Encabezado Car"/>
    <w:basedOn w:val="Fuentedeprrafopredeter"/>
    <w:link w:val="Encabezado"/>
    <w:uiPriority w:val="99"/>
    <w:rsid w:val="00860EF1"/>
    <w:rPr>
      <w:rFonts w:ascii="Times New Roman" w:eastAsia="Times New Roman" w:hAnsi="Times New Roman" w:cs="Times New Roman"/>
      <w:kern w:val="0"/>
      <w:sz w:val="28"/>
      <w:szCs w:val="28"/>
      <w:lang w:val="es-ES" w:eastAsia="es-ES"/>
      <w14:ligatures w14:val="none"/>
    </w:rPr>
  </w:style>
  <w:style w:type="paragraph" w:styleId="Piedepgina">
    <w:name w:val="footer"/>
    <w:basedOn w:val="Normal"/>
    <w:link w:val="PiedepginaCar"/>
    <w:uiPriority w:val="99"/>
    <w:unhideWhenUsed/>
    <w:rsid w:val="00860EF1"/>
    <w:pPr>
      <w:tabs>
        <w:tab w:val="center" w:pos="4419"/>
        <w:tab w:val="right" w:pos="8838"/>
      </w:tabs>
    </w:pPr>
  </w:style>
  <w:style w:type="character" w:customStyle="1" w:styleId="PiedepginaCar">
    <w:name w:val="Pie de página Car"/>
    <w:basedOn w:val="Fuentedeprrafopredeter"/>
    <w:link w:val="Piedepgina"/>
    <w:uiPriority w:val="99"/>
    <w:rsid w:val="00860EF1"/>
    <w:rPr>
      <w:rFonts w:ascii="Times New Roman" w:eastAsia="Times New Roman" w:hAnsi="Times New Roman" w:cs="Times New Roman"/>
      <w:kern w:val="0"/>
      <w:sz w:val="28"/>
      <w:szCs w:val="28"/>
      <w:lang w:val="es-ES" w:eastAsia="es-ES"/>
      <w14:ligatures w14:val="none"/>
    </w:rPr>
  </w:style>
  <w:style w:type="character" w:styleId="Hipervnculo">
    <w:name w:val="Hyperlink"/>
    <w:basedOn w:val="Fuentedeprrafopredeter"/>
    <w:uiPriority w:val="99"/>
    <w:unhideWhenUsed/>
    <w:rsid w:val="00860EF1"/>
    <w:rPr>
      <w:color w:val="0563C1" w:themeColor="hyperlink"/>
      <w:u w:val="single"/>
    </w:rPr>
  </w:style>
  <w:style w:type="character" w:customStyle="1" w:styleId="PrrafodelistaCar">
    <w:name w:val="Párrafo de lista Car"/>
    <w:aliases w:val="Footnote Car,Colorful List - Accent 11 Car,List Paragraph2 Car,List Paragraph1 Car,Ha Car,lp1 Car"/>
    <w:basedOn w:val="Fuentedeprrafopredeter"/>
    <w:link w:val="Prrafodelista"/>
    <w:uiPriority w:val="34"/>
    <w:locked/>
    <w:rsid w:val="00860EF1"/>
    <w:rPr>
      <w:rFonts w:ascii="Times New Roman" w:eastAsia="Times New Roman" w:hAnsi="Times New Roman" w:cs="Times New Roman"/>
      <w:kern w:val="0"/>
      <w:sz w:val="28"/>
      <w:szCs w:val="28"/>
      <w:lang w:val="es-ES" w:eastAsia="es-ES"/>
      <w14:ligatures w14:val="none"/>
    </w:rPr>
  </w:style>
  <w:style w:type="table" w:styleId="Tablaconcuadrcula">
    <w:name w:val="Table Grid"/>
    <w:basedOn w:val="Tablanormal"/>
    <w:uiPriority w:val="39"/>
    <w:rsid w:val="00860EF1"/>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860EF1"/>
  </w:style>
  <w:style w:type="character" w:customStyle="1" w:styleId="SinespaciadoCar">
    <w:name w:val="Sin espaciado Car"/>
    <w:aliases w:val="CAPITULO I Car"/>
    <w:link w:val="Sinespaciado"/>
    <w:uiPriority w:val="1"/>
    <w:locked/>
    <w:rsid w:val="00860EF1"/>
    <w:rPr>
      <w:rFonts w:ascii="Times New Roman" w:eastAsia="Times New Roman" w:hAnsi="Times New Roman" w:cs="Times New Roman"/>
      <w:kern w:val="0"/>
      <w:sz w:val="28"/>
      <w:szCs w:val="28"/>
      <w:lang w:val="es-ES" w:eastAsia="es-ES"/>
      <w14:ligatures w14:val="none"/>
    </w:rPr>
  </w:style>
  <w:style w:type="character" w:customStyle="1" w:styleId="xxxcontentpasted0">
    <w:name w:val="x_x_x_contentpasted0"/>
    <w:basedOn w:val="Fuentedeprrafopredeter"/>
    <w:rsid w:val="00860EF1"/>
  </w:style>
  <w:style w:type="paragraph" w:styleId="Textodeglobo">
    <w:name w:val="Balloon Text"/>
    <w:basedOn w:val="Normal"/>
    <w:link w:val="TextodegloboCar"/>
    <w:uiPriority w:val="99"/>
    <w:semiHidden/>
    <w:unhideWhenUsed/>
    <w:rsid w:val="007D7B73"/>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D7B73"/>
    <w:rPr>
      <w:rFonts w:ascii="Lucida Grande" w:eastAsia="Times New Roman" w:hAnsi="Lucida Grande" w:cs="Times New Roman"/>
      <w:kern w:val="0"/>
      <w:sz w:val="18"/>
      <w:szCs w:val="18"/>
      <w:lang w:val="es-ES" w:eastAsia="es-ES"/>
      <w14:ligatures w14:val="none"/>
    </w:rPr>
  </w:style>
  <w:style w:type="paragraph" w:styleId="Revisin">
    <w:name w:val="Revision"/>
    <w:hidden/>
    <w:uiPriority w:val="99"/>
    <w:semiHidden/>
    <w:rsid w:val="00B51473"/>
    <w:pPr>
      <w:spacing w:after="0" w:line="240" w:lineRule="auto"/>
    </w:pPr>
    <w:rPr>
      <w:rFonts w:ascii="Times New Roman" w:eastAsia="Times New Roman" w:hAnsi="Times New Roman" w:cs="Times New Roman"/>
      <w:kern w:val="0"/>
      <w:sz w:val="28"/>
      <w:szCs w:val="28"/>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02C57C87F72F9419B14933B0B027C6B" ma:contentTypeVersion="14" ma:contentTypeDescription="Crear nuevo documento." ma:contentTypeScope="" ma:versionID="6b5347b7ccc7cd270167da50dcc2c66c">
  <xsd:schema xmlns:xsd="http://www.w3.org/2001/XMLSchema" xmlns:xs="http://www.w3.org/2001/XMLSchema" xmlns:p="http://schemas.microsoft.com/office/2006/metadata/properties" xmlns:ns3="cb42281e-1a4b-441f-8857-ed647e2da93a" xmlns:ns4="be5811a2-d95d-46a9-81cd-b03d3645c029" targetNamespace="http://schemas.microsoft.com/office/2006/metadata/properties" ma:root="true" ma:fieldsID="74455e1c63926434e321b600450f2494" ns3:_="" ns4:_="">
    <xsd:import namespace="cb42281e-1a4b-441f-8857-ed647e2da93a"/>
    <xsd:import namespace="be5811a2-d95d-46a9-81cd-b03d3645c0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LengthInSecond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42281e-1a4b-441f-8857-ed647e2da9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5811a2-d95d-46a9-81cd-b03d3645c029"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b42281e-1a4b-441f-8857-ed647e2da93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16848-95A6-4C6B-A3A1-3DF133744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42281e-1a4b-441f-8857-ed647e2da93a"/>
    <ds:schemaRef ds:uri="be5811a2-d95d-46a9-81cd-b03d3645c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6375B1-B51A-4C5B-A02C-C43FFF0B5B6C}">
  <ds:schemaRefs>
    <ds:schemaRef ds:uri="http://schemas.microsoft.com/sharepoint/v3/contenttype/forms"/>
  </ds:schemaRefs>
</ds:datastoreItem>
</file>

<file path=customXml/itemProps3.xml><?xml version="1.0" encoding="utf-8"?>
<ds:datastoreItem xmlns:ds="http://schemas.openxmlformats.org/officeDocument/2006/customXml" ds:itemID="{A460B8EA-CCEC-4D43-9160-F327552419CF}">
  <ds:schemaRefs>
    <ds:schemaRef ds:uri="http://schemas.microsoft.com/office/2006/metadata/properties"/>
    <ds:schemaRef ds:uri="http://schemas.microsoft.com/office/infopath/2007/PartnerControls"/>
    <ds:schemaRef ds:uri="cb42281e-1a4b-441f-8857-ed647e2da93a"/>
  </ds:schemaRefs>
</ds:datastoreItem>
</file>

<file path=customXml/itemProps4.xml><?xml version="1.0" encoding="utf-8"?>
<ds:datastoreItem xmlns:ds="http://schemas.openxmlformats.org/officeDocument/2006/customXml" ds:itemID="{165C9A10-ECF9-47C5-B5C3-F1E4F37CA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2165</Words>
  <Characters>11912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Alfredo Cadena Reyes</dc:creator>
  <cp:keywords/>
  <dc:description/>
  <cp:lastModifiedBy>Marleny Aldana Sandoval</cp:lastModifiedBy>
  <cp:revision>2</cp:revision>
  <dcterms:created xsi:type="dcterms:W3CDTF">2023-11-23T23:01:00Z</dcterms:created>
  <dcterms:modified xsi:type="dcterms:W3CDTF">2023-11-23T23:01:00Z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0x010100D02C57C87F72F9419B14933B0B027C6B</vt:lpwstr>
  </property>
</Properties>
</file>