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Default="00CA7C0D"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2C7A17" w:rsidRPr="00D45671">
        <w:rPr>
          <w:rFonts w:ascii="Arial" w:hAnsi="Arial" w:cs="Arial"/>
          <w:b/>
          <w:lang w:val="es-CO"/>
        </w:rPr>
        <w:t xml:space="preserve">AUDIENCIA DEL ART. </w:t>
      </w:r>
      <w:r w:rsidR="00822D1D">
        <w:rPr>
          <w:rFonts w:ascii="Arial" w:hAnsi="Arial" w:cs="Arial"/>
          <w:b/>
          <w:lang w:val="es-CO"/>
        </w:rPr>
        <w:t>129</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ED74B4">
        <w:rPr>
          <w:rFonts w:ascii="Arial" w:hAnsi="Arial" w:cs="Arial"/>
          <w:b/>
          <w:lang w:val="es-CO"/>
        </w:rPr>
        <w:t xml:space="preserve">AUDIENCIA </w:t>
      </w:r>
      <w:r w:rsidR="00822D1D">
        <w:rPr>
          <w:rFonts w:ascii="Arial" w:hAnsi="Arial" w:cs="Arial"/>
          <w:b/>
          <w:lang w:val="es-CO"/>
        </w:rPr>
        <w:t>DE INCIDENTE DE REGULACIÓN DE PERJUICIOS</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406E60"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EA56F6" w:rsidRDefault="00EB2A1C" w:rsidP="00822D1D">
            <w:pPr>
              <w:spacing w:line="360" w:lineRule="auto"/>
              <w:rPr>
                <w:rFonts w:ascii="Arial" w:hAnsi="Arial" w:cs="Arial"/>
                <w:lang w:val="es-CO"/>
              </w:rPr>
            </w:pPr>
            <w:r w:rsidRPr="00EB2A1C">
              <w:rPr>
                <w:rFonts w:ascii="Arial" w:hAnsi="Arial" w:cs="Arial"/>
                <w:lang w:val="es-CO"/>
              </w:rPr>
              <w:t>Juzgado Segundo</w:t>
            </w:r>
            <w:r>
              <w:rPr>
                <w:rFonts w:ascii="Arial" w:hAnsi="Arial" w:cs="Arial"/>
                <w:lang w:val="es-CO"/>
              </w:rPr>
              <w:t xml:space="preserve"> (2°)</w:t>
            </w:r>
            <w:r w:rsidRPr="00EB2A1C">
              <w:rPr>
                <w:rFonts w:ascii="Arial" w:hAnsi="Arial" w:cs="Arial"/>
                <w:lang w:val="es-CO"/>
              </w:rPr>
              <w:t xml:space="preserve"> Civil Del Circuito</w:t>
            </w:r>
            <w:r>
              <w:rPr>
                <w:rFonts w:ascii="Arial" w:hAnsi="Arial" w:cs="Arial"/>
                <w:lang w:val="es-CO"/>
              </w:rPr>
              <w:t xml:space="preserve"> De </w:t>
            </w:r>
            <w:r w:rsidR="00822D1D">
              <w:rPr>
                <w:rFonts w:ascii="Arial" w:hAnsi="Arial" w:cs="Arial"/>
                <w:lang w:val="es-CO"/>
              </w:rPr>
              <w:t>Cali</w:t>
            </w:r>
          </w:p>
        </w:tc>
      </w:tr>
      <w:tr w:rsidR="005A59F9" w:rsidRPr="00CA7C0D"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FD3FA1" w:rsidP="0078252A">
            <w:pPr>
              <w:spacing w:line="360" w:lineRule="auto"/>
              <w:rPr>
                <w:rFonts w:ascii="Arial" w:hAnsi="Arial" w:cs="Arial"/>
                <w:lang w:val="es-CO"/>
              </w:rPr>
            </w:pPr>
            <w:r>
              <w:rPr>
                <w:rFonts w:ascii="Arial" w:hAnsi="Arial" w:cs="Arial"/>
                <w:lang w:val="es-CO"/>
              </w:rPr>
              <w:t>Incidente de Regulación d</w:t>
            </w:r>
            <w:r w:rsidR="00822D1D" w:rsidRPr="00822D1D">
              <w:rPr>
                <w:rFonts w:ascii="Arial" w:hAnsi="Arial" w:cs="Arial"/>
                <w:lang w:val="es-CO"/>
              </w:rPr>
              <w:t>e Perjuicios</w:t>
            </w:r>
          </w:p>
        </w:tc>
      </w:tr>
      <w:tr w:rsidR="00F248E8" w:rsidRPr="00D45671" w:rsidTr="00A752C5">
        <w:trPr>
          <w:trHeight w:val="384"/>
        </w:trPr>
        <w:tc>
          <w:tcPr>
            <w:tcW w:w="3114" w:type="dxa"/>
          </w:tcPr>
          <w:p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rsidR="00F248E8" w:rsidRPr="008943B2" w:rsidRDefault="00A75B95" w:rsidP="00BA6E36">
            <w:pPr>
              <w:spacing w:line="360" w:lineRule="auto"/>
              <w:rPr>
                <w:rFonts w:ascii="Arial" w:hAnsi="Arial" w:cs="Arial"/>
                <w:lang w:val="es-CO"/>
              </w:rPr>
            </w:pPr>
            <w:r w:rsidRPr="008C718F">
              <w:rPr>
                <w:rFonts w:ascii="Arial" w:hAnsi="Arial" w:cs="Arial"/>
                <w:lang w:val="es-CO"/>
              </w:rPr>
              <w:t>$</w:t>
            </w:r>
            <w:r w:rsidR="006002FB" w:rsidRPr="006002FB">
              <w:rPr>
                <w:rFonts w:ascii="Arial" w:hAnsi="Arial" w:cs="Arial"/>
                <w:lang w:val="es-CO"/>
              </w:rPr>
              <w:t> </w:t>
            </w:r>
            <w:r w:rsidR="00822D1D" w:rsidRPr="00822D1D">
              <w:rPr>
                <w:rFonts w:ascii="Arial" w:hAnsi="Arial" w:cs="Arial"/>
                <w:lang w:val="es-CO"/>
              </w:rPr>
              <w:t>706.088.183</w:t>
            </w:r>
          </w:p>
        </w:tc>
      </w:tr>
      <w:tr w:rsidR="005A59F9" w:rsidRPr="00CA7C0D" w:rsidTr="000D29A0">
        <w:trPr>
          <w:trHeight w:val="402"/>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rsidR="0078252A" w:rsidRPr="00771F6C" w:rsidRDefault="00B65714" w:rsidP="00EB2A1C">
            <w:pPr>
              <w:spacing w:line="360" w:lineRule="auto"/>
              <w:rPr>
                <w:rFonts w:ascii="Arial" w:eastAsia="Times New Roman" w:hAnsi="Arial" w:cs="Arial"/>
                <w:bCs/>
                <w:color w:val="000000" w:themeColor="text1"/>
                <w:lang w:val="es-CO" w:eastAsia="es-ES"/>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822D1D" w:rsidRPr="00822D1D">
              <w:rPr>
                <w:rFonts w:ascii="Arial" w:hAnsi="Arial" w:cs="Arial"/>
                <w:color w:val="000000"/>
                <w:shd w:val="clear" w:color="auto" w:fill="FFFFFF"/>
                <w:lang w:val="es-CO"/>
              </w:rPr>
              <w:t>Frutas de la Costa S.A.</w:t>
            </w:r>
          </w:p>
        </w:tc>
      </w:tr>
      <w:tr w:rsidR="00AD0CAC" w:rsidRPr="00CA7C0D"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E476DD"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r w:rsidR="00822D1D" w:rsidRPr="00822D1D">
              <w:rPr>
                <w:rFonts w:ascii="Arial" w:hAnsi="Arial" w:cs="Arial"/>
                <w:lang w:val="es-CO"/>
              </w:rPr>
              <w:t xml:space="preserve">Francisco José Hurtado </w:t>
            </w:r>
            <w:proofErr w:type="spellStart"/>
            <w:r w:rsidR="00822D1D" w:rsidRPr="00822D1D">
              <w:rPr>
                <w:rFonts w:ascii="Arial" w:hAnsi="Arial" w:cs="Arial"/>
                <w:lang w:val="es-CO"/>
              </w:rPr>
              <w:t>Langer</w:t>
            </w:r>
            <w:proofErr w:type="spellEnd"/>
          </w:p>
        </w:tc>
      </w:tr>
      <w:tr w:rsidR="005A59F9" w:rsidRPr="00CA7C0D" w:rsidTr="00871C88">
        <w:trPr>
          <w:trHeight w:val="401"/>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Demandados</w:t>
            </w:r>
            <w:r w:rsidR="00AE3D94" w:rsidRPr="00D45671">
              <w:rPr>
                <w:rFonts w:ascii="Arial" w:hAnsi="Arial" w:cs="Arial"/>
                <w:b/>
                <w:lang w:val="es-CO"/>
              </w:rPr>
              <w:t xml:space="preserve"> directos</w:t>
            </w:r>
            <w:r w:rsidRPr="00D45671">
              <w:rPr>
                <w:rFonts w:ascii="Arial" w:hAnsi="Arial" w:cs="Arial"/>
                <w:b/>
                <w:lang w:val="es-CO"/>
              </w:rPr>
              <w:t xml:space="preserve">: </w:t>
            </w:r>
          </w:p>
        </w:tc>
        <w:tc>
          <w:tcPr>
            <w:tcW w:w="5714" w:type="dxa"/>
          </w:tcPr>
          <w:p w:rsidR="0078252A" w:rsidRPr="00E476DD" w:rsidRDefault="00B65714" w:rsidP="00771F6C">
            <w:pPr>
              <w:spacing w:line="360" w:lineRule="auto"/>
              <w:rPr>
                <w:rFonts w:ascii="Arial" w:hAnsi="Arial" w:cs="Arial"/>
                <w:lang w:val="es-CO"/>
              </w:rPr>
            </w:pPr>
            <w:r w:rsidRPr="006002FB">
              <w:rPr>
                <w:rFonts w:ascii="Arial" w:hAnsi="Arial" w:cs="Arial"/>
                <w:lang w:val="es-CO"/>
              </w:rPr>
              <w:t xml:space="preserve">1. </w:t>
            </w:r>
            <w:r w:rsidR="00822D1D">
              <w:rPr>
                <w:rFonts w:ascii="Arial" w:hAnsi="Arial" w:cs="Arial"/>
                <w:lang w:val="es-CO"/>
              </w:rPr>
              <w:t>La Previsora S.A. Compañía d</w:t>
            </w:r>
            <w:r w:rsidR="00822D1D" w:rsidRPr="00822D1D">
              <w:rPr>
                <w:rFonts w:ascii="Arial" w:hAnsi="Arial" w:cs="Arial"/>
                <w:lang w:val="es-CO"/>
              </w:rPr>
              <w:t>e Seguros</w:t>
            </w:r>
          </w:p>
        </w:tc>
      </w:tr>
      <w:tr w:rsidR="004E7CCA" w:rsidRPr="00771F6C"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D220CD" w:rsidRPr="0078252A" w:rsidRDefault="00822D1D" w:rsidP="00771F6C">
            <w:pPr>
              <w:spacing w:line="360" w:lineRule="auto"/>
              <w:rPr>
                <w:rFonts w:ascii="Arial" w:hAnsi="Arial" w:cs="Arial"/>
                <w:highlight w:val="yellow"/>
                <w:lang w:val="es-CO"/>
              </w:rPr>
            </w:pPr>
            <w:r>
              <w:rPr>
                <w:rFonts w:ascii="Arial" w:hAnsi="Arial" w:cs="Arial"/>
                <w:lang w:val="es-CO"/>
              </w:rPr>
              <w:t>N/A</w:t>
            </w:r>
            <w:r w:rsidR="00EB2A1C">
              <w:rPr>
                <w:rFonts w:ascii="Arial" w:hAnsi="Arial" w:cs="Arial"/>
                <w:lang w:val="es-CO"/>
              </w:rPr>
              <w:t xml:space="preserve"> </w:t>
            </w:r>
          </w:p>
        </w:tc>
      </w:tr>
      <w:tr w:rsidR="005A59F9" w:rsidRPr="00771F6C"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822D1D" w:rsidP="00910CF0">
            <w:pPr>
              <w:spacing w:line="360" w:lineRule="auto"/>
              <w:rPr>
                <w:rFonts w:ascii="Arial" w:hAnsi="Arial" w:cs="Arial"/>
                <w:highlight w:val="yellow"/>
                <w:lang w:val="es-CO"/>
              </w:rPr>
            </w:pPr>
            <w:r w:rsidRPr="00822D1D">
              <w:rPr>
                <w:rFonts w:ascii="Arial" w:eastAsia="Times New Roman" w:hAnsi="Arial" w:cs="Arial"/>
                <w:lang w:val="es-CO" w:eastAsia="es-ES"/>
              </w:rPr>
              <w:t>76001-31-03-002-2018-00278-00</w:t>
            </w:r>
          </w:p>
        </w:tc>
      </w:tr>
      <w:tr w:rsidR="00ED74B4" w:rsidRPr="0078252A" w:rsidTr="000D29A0">
        <w:trPr>
          <w:trHeight w:val="414"/>
        </w:trPr>
        <w:tc>
          <w:tcPr>
            <w:tcW w:w="3114" w:type="dxa"/>
          </w:tcPr>
          <w:p w:rsidR="00ED74B4" w:rsidRPr="00D45671" w:rsidRDefault="00ED74B4" w:rsidP="00890EE2">
            <w:pPr>
              <w:spacing w:line="360" w:lineRule="auto"/>
              <w:rPr>
                <w:rFonts w:ascii="Arial" w:hAnsi="Arial" w:cs="Arial"/>
                <w:b/>
                <w:lang w:val="es-CO"/>
              </w:rPr>
            </w:pPr>
            <w:proofErr w:type="spellStart"/>
            <w:r>
              <w:rPr>
                <w:rFonts w:ascii="Arial" w:hAnsi="Arial" w:cs="Arial"/>
                <w:b/>
                <w:lang w:val="es-CO"/>
              </w:rPr>
              <w:t>LegisOffice</w:t>
            </w:r>
            <w:proofErr w:type="spellEnd"/>
            <w:r>
              <w:rPr>
                <w:rFonts w:ascii="Arial" w:hAnsi="Arial" w:cs="Arial"/>
                <w:b/>
                <w:lang w:val="es-CO"/>
              </w:rPr>
              <w:t>:</w:t>
            </w:r>
          </w:p>
        </w:tc>
        <w:tc>
          <w:tcPr>
            <w:tcW w:w="5714" w:type="dxa"/>
          </w:tcPr>
          <w:p w:rsidR="00ED74B4" w:rsidRDefault="00822D1D" w:rsidP="00890EE2">
            <w:pPr>
              <w:spacing w:line="360" w:lineRule="auto"/>
              <w:rPr>
                <w:rFonts w:ascii="Arial" w:eastAsia="Times New Roman" w:hAnsi="Arial" w:cs="Arial"/>
                <w:lang w:val="es-CO" w:eastAsia="es-ES"/>
              </w:rPr>
            </w:pPr>
            <w:r w:rsidRPr="00822D1D">
              <w:rPr>
                <w:rFonts w:ascii="Arial" w:eastAsia="Times New Roman" w:hAnsi="Arial" w:cs="Arial"/>
                <w:lang w:val="es-CO" w:eastAsia="es-ES"/>
              </w:rPr>
              <w:t>LO-447</w:t>
            </w:r>
          </w:p>
        </w:tc>
      </w:tr>
      <w:tr w:rsidR="00ED74B4" w:rsidRPr="0078252A"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83200C" w:rsidRDefault="0083200C" w:rsidP="00890EE2">
      <w:pPr>
        <w:spacing w:after="0" w:line="360" w:lineRule="auto"/>
        <w:jc w:val="both"/>
        <w:rPr>
          <w:rFonts w:ascii="Arial" w:hAnsi="Arial" w:cs="Arial"/>
          <w:lang w:val="es-CO"/>
        </w:rPr>
      </w:pPr>
    </w:p>
    <w:p w:rsidR="003A5676" w:rsidRDefault="003A5676" w:rsidP="00890EE2">
      <w:pPr>
        <w:spacing w:after="0" w:line="360" w:lineRule="auto"/>
        <w:jc w:val="both"/>
        <w:rPr>
          <w:rFonts w:ascii="Arial" w:hAnsi="Arial" w:cs="Arial"/>
          <w:lang w:val="es-CO"/>
        </w:rPr>
      </w:pPr>
    </w:p>
    <w:p w:rsidR="00CA7C0D" w:rsidRPr="00173069" w:rsidRDefault="00CA7C0D" w:rsidP="00173069">
      <w:pPr>
        <w:pStyle w:val="Prrafodelista"/>
        <w:numPr>
          <w:ilvl w:val="0"/>
          <w:numId w:val="1"/>
        </w:numPr>
        <w:spacing w:line="360" w:lineRule="auto"/>
        <w:rPr>
          <w:rFonts w:ascii="Arial" w:eastAsia="Times New Roman" w:hAnsi="Arial" w:cs="Arial"/>
          <w:b/>
          <w:bCs/>
          <w:color w:val="000000"/>
          <w:lang w:val="es-CO" w:eastAsia="es-CO"/>
        </w:rPr>
      </w:pPr>
      <w:r w:rsidRPr="00173069">
        <w:rPr>
          <w:rFonts w:ascii="Arial" w:hAnsi="Arial" w:cs="Arial"/>
          <w:b/>
          <w:lang w:val="es-CO"/>
        </w:rPr>
        <w:t>Inicio de la diligencia.</w:t>
      </w:r>
    </w:p>
    <w:p w:rsidR="00CA7C0D" w:rsidRPr="00173069" w:rsidRDefault="00CA7C0D" w:rsidP="00173069">
      <w:pPr>
        <w:spacing w:line="360" w:lineRule="auto"/>
        <w:rPr>
          <w:rFonts w:ascii="Arial" w:eastAsia="Times New Roman" w:hAnsi="Arial" w:cs="Arial"/>
          <w:bCs/>
          <w:color w:val="000000"/>
          <w:lang w:val="es-CO" w:eastAsia="es-CO"/>
        </w:rPr>
      </w:pPr>
      <w:r w:rsidRPr="00173069">
        <w:rPr>
          <w:rFonts w:ascii="Arial" w:eastAsia="Times New Roman" w:hAnsi="Arial" w:cs="Arial"/>
          <w:bCs/>
          <w:color w:val="000000"/>
          <w:lang w:val="es-CO" w:eastAsia="es-CO"/>
        </w:rPr>
        <w:t>Inicia la diligencia a las 9:00 a. m. del 9</w:t>
      </w:r>
      <w:r w:rsidRPr="00173069">
        <w:rPr>
          <w:rFonts w:ascii="Arial" w:eastAsia="Times New Roman" w:hAnsi="Arial" w:cs="Arial"/>
          <w:bCs/>
          <w:color w:val="000000"/>
          <w:lang w:val="es-CO" w:eastAsia="es-CO"/>
        </w:rPr>
        <w:t xml:space="preserve"> de </w:t>
      </w:r>
      <w:r w:rsidRPr="00173069">
        <w:rPr>
          <w:rFonts w:ascii="Arial" w:eastAsia="Times New Roman" w:hAnsi="Arial" w:cs="Arial"/>
          <w:bCs/>
          <w:color w:val="000000"/>
          <w:lang w:val="es-CO" w:eastAsia="es-CO"/>
        </w:rPr>
        <w:t xml:space="preserve">noviembre </w:t>
      </w:r>
      <w:r w:rsidRPr="00173069">
        <w:rPr>
          <w:rFonts w:ascii="Arial" w:eastAsia="Times New Roman" w:hAnsi="Arial" w:cs="Arial"/>
          <w:bCs/>
          <w:color w:val="000000"/>
          <w:lang w:val="es-CO" w:eastAsia="es-CO"/>
        </w:rPr>
        <w:t xml:space="preserve">de 2023.  </w:t>
      </w:r>
    </w:p>
    <w:p w:rsidR="00CA7C0D" w:rsidRPr="00173069" w:rsidRDefault="00CA7C0D" w:rsidP="00173069">
      <w:pPr>
        <w:spacing w:line="360" w:lineRule="auto"/>
        <w:rPr>
          <w:rFonts w:ascii="Arial" w:eastAsia="Times New Roman" w:hAnsi="Arial" w:cs="Arial"/>
          <w:bCs/>
          <w:color w:val="000000"/>
          <w:lang w:val="es-CO" w:eastAsia="es-CO"/>
        </w:rPr>
      </w:pPr>
    </w:p>
    <w:p w:rsidR="00CA7C0D" w:rsidRPr="00173069" w:rsidRDefault="00CA7C0D" w:rsidP="00173069">
      <w:pPr>
        <w:pStyle w:val="Prrafodelista"/>
        <w:numPr>
          <w:ilvl w:val="0"/>
          <w:numId w:val="1"/>
        </w:numPr>
        <w:spacing w:line="360" w:lineRule="auto"/>
        <w:rPr>
          <w:rFonts w:ascii="Arial" w:eastAsia="Times New Roman" w:hAnsi="Arial" w:cs="Arial"/>
          <w:b/>
          <w:bCs/>
          <w:color w:val="000000"/>
          <w:lang w:val="es-CO" w:eastAsia="es-CO"/>
        </w:rPr>
      </w:pPr>
      <w:r w:rsidRPr="00173069">
        <w:rPr>
          <w:rFonts w:ascii="Arial" w:eastAsia="Times New Roman" w:hAnsi="Arial" w:cs="Arial"/>
          <w:b/>
          <w:bCs/>
          <w:color w:val="000000"/>
          <w:lang w:val="es-CO" w:eastAsia="es-CO"/>
        </w:rPr>
        <w:t>Presentación de las partes.</w:t>
      </w:r>
    </w:p>
    <w:p w:rsidR="00CA7C0D" w:rsidRPr="00173069" w:rsidRDefault="00A81405" w:rsidP="00173069">
      <w:pPr>
        <w:spacing w:line="360" w:lineRule="auto"/>
        <w:rPr>
          <w:rFonts w:ascii="Arial" w:eastAsia="Times New Roman" w:hAnsi="Arial" w:cs="Arial"/>
          <w:bCs/>
          <w:color w:val="000000"/>
          <w:lang w:val="es-CO" w:eastAsia="es-CO"/>
        </w:rPr>
      </w:pPr>
      <w:r w:rsidRPr="00173069">
        <w:rPr>
          <w:rFonts w:ascii="Arial" w:eastAsia="Times New Roman" w:hAnsi="Arial" w:cs="Arial"/>
          <w:bCs/>
          <w:color w:val="000000"/>
          <w:lang w:val="es-CO" w:eastAsia="es-CO"/>
        </w:rPr>
        <w:t xml:space="preserve">Acude el doctor Herrera como apoderado de </w:t>
      </w:r>
      <w:r w:rsidRPr="00173069">
        <w:rPr>
          <w:rFonts w:ascii="Arial" w:hAnsi="Arial" w:cs="Arial"/>
          <w:lang w:val="es-CO"/>
        </w:rPr>
        <w:t>La Previsora S.A. Compañía de Seguros</w:t>
      </w:r>
      <w:r w:rsidR="003A5676">
        <w:rPr>
          <w:rFonts w:ascii="Arial" w:hAnsi="Arial" w:cs="Arial"/>
          <w:lang w:val="es-CO"/>
        </w:rPr>
        <w:t>.</w:t>
      </w:r>
      <w:r w:rsidRPr="00173069">
        <w:rPr>
          <w:rFonts w:ascii="Arial" w:hAnsi="Arial" w:cs="Arial"/>
          <w:lang w:val="es-CO"/>
        </w:rPr>
        <w:t xml:space="preserve"> </w:t>
      </w:r>
      <w:r w:rsidRPr="00173069">
        <w:rPr>
          <w:rFonts w:ascii="Arial" w:eastAsia="Times New Roman" w:hAnsi="Arial" w:cs="Arial"/>
          <w:bCs/>
          <w:color w:val="000000"/>
          <w:lang w:val="es-CO" w:eastAsia="es-CO"/>
        </w:rPr>
        <w:t xml:space="preserve"> </w:t>
      </w:r>
    </w:p>
    <w:p w:rsidR="00A81405" w:rsidRPr="00173069" w:rsidRDefault="00A81405" w:rsidP="00173069">
      <w:pPr>
        <w:spacing w:line="360" w:lineRule="auto"/>
        <w:rPr>
          <w:rFonts w:ascii="Arial" w:eastAsia="Times New Roman" w:hAnsi="Arial" w:cs="Arial"/>
          <w:bCs/>
          <w:color w:val="000000"/>
          <w:lang w:val="es-CO" w:eastAsia="es-CO"/>
        </w:rPr>
      </w:pPr>
    </w:p>
    <w:p w:rsidR="00CA7C0D" w:rsidRPr="00173069" w:rsidRDefault="00A81405" w:rsidP="00173069">
      <w:pPr>
        <w:pStyle w:val="Prrafodelista"/>
        <w:numPr>
          <w:ilvl w:val="0"/>
          <w:numId w:val="1"/>
        </w:numPr>
        <w:spacing w:line="360" w:lineRule="auto"/>
        <w:rPr>
          <w:rFonts w:ascii="Arial" w:eastAsia="Times New Roman" w:hAnsi="Arial" w:cs="Arial"/>
          <w:b/>
          <w:bCs/>
          <w:color w:val="000000"/>
          <w:lang w:val="es-CO" w:eastAsia="es-CO"/>
        </w:rPr>
      </w:pPr>
      <w:r w:rsidRPr="00173069">
        <w:rPr>
          <w:rFonts w:ascii="Arial" w:eastAsia="Times New Roman" w:hAnsi="Arial" w:cs="Arial"/>
          <w:b/>
          <w:bCs/>
          <w:color w:val="000000"/>
          <w:lang w:val="es-CO" w:eastAsia="es-CO"/>
        </w:rPr>
        <w:t xml:space="preserve">Conciliación. </w:t>
      </w:r>
    </w:p>
    <w:p w:rsidR="00CA7C0D" w:rsidRPr="00173069" w:rsidRDefault="00173069" w:rsidP="00173069">
      <w:pPr>
        <w:spacing w:line="360" w:lineRule="auto"/>
        <w:rPr>
          <w:rFonts w:ascii="Arial" w:hAnsi="Arial" w:cs="Arial"/>
          <w:lang w:val="es-CO"/>
        </w:rPr>
      </w:pPr>
      <w:r w:rsidRPr="00173069">
        <w:rPr>
          <w:rFonts w:ascii="Arial" w:hAnsi="Arial" w:cs="Arial"/>
          <w:lang w:val="es-CO"/>
        </w:rPr>
        <w:t xml:space="preserve">No hay ánimo conciliatorio. </w:t>
      </w:r>
    </w:p>
    <w:p w:rsidR="00173069" w:rsidRPr="00173069" w:rsidRDefault="00173069" w:rsidP="00173069">
      <w:pPr>
        <w:spacing w:line="360" w:lineRule="auto"/>
        <w:rPr>
          <w:rFonts w:ascii="Arial" w:hAnsi="Arial" w:cs="Arial"/>
          <w:lang w:val="es-CO"/>
        </w:rPr>
      </w:pPr>
    </w:p>
    <w:p w:rsidR="00173069" w:rsidRPr="00173069" w:rsidRDefault="00173069" w:rsidP="00173069">
      <w:pPr>
        <w:pStyle w:val="Prrafodelista"/>
        <w:numPr>
          <w:ilvl w:val="0"/>
          <w:numId w:val="1"/>
        </w:numPr>
        <w:spacing w:line="360" w:lineRule="auto"/>
        <w:rPr>
          <w:rFonts w:ascii="Arial" w:hAnsi="Arial" w:cs="Arial"/>
          <w:b/>
          <w:lang w:val="es-CO"/>
        </w:rPr>
      </w:pPr>
      <w:r w:rsidRPr="00173069">
        <w:rPr>
          <w:rFonts w:ascii="Arial" w:hAnsi="Arial" w:cs="Arial"/>
          <w:b/>
          <w:lang w:val="es-CO"/>
        </w:rPr>
        <w:t xml:space="preserve">Interrogatorio de parte. </w:t>
      </w:r>
    </w:p>
    <w:p w:rsidR="00173069" w:rsidRPr="003A5676" w:rsidRDefault="00173069" w:rsidP="003A5676">
      <w:pPr>
        <w:spacing w:line="360" w:lineRule="auto"/>
        <w:jc w:val="both"/>
        <w:rPr>
          <w:rFonts w:ascii="Arial" w:hAnsi="Arial" w:cs="Arial"/>
          <w:lang w:val="es-CO"/>
        </w:rPr>
      </w:pPr>
      <w:r w:rsidRPr="00E95668">
        <w:rPr>
          <w:rFonts w:ascii="Arial" w:hAnsi="Arial" w:cs="Arial"/>
          <w:highlight w:val="cyan"/>
          <w:lang w:val="es-CO"/>
        </w:rPr>
        <w:t>El DH desiste del interrogatorio de parte del representante legal de La Previsora.</w:t>
      </w:r>
      <w:r w:rsidRPr="003A5676">
        <w:rPr>
          <w:rFonts w:ascii="Arial" w:hAnsi="Arial" w:cs="Arial"/>
          <w:lang w:val="es-CO"/>
        </w:rPr>
        <w:t xml:space="preserve">  </w:t>
      </w:r>
    </w:p>
    <w:p w:rsidR="00CA7C0D" w:rsidRPr="003A5676" w:rsidRDefault="00CA7C0D" w:rsidP="003A5676">
      <w:pPr>
        <w:spacing w:line="360" w:lineRule="auto"/>
        <w:jc w:val="both"/>
        <w:rPr>
          <w:rFonts w:ascii="Arial" w:hAnsi="Arial" w:cs="Arial"/>
          <w:lang w:val="es-CO"/>
        </w:rPr>
      </w:pPr>
    </w:p>
    <w:p w:rsidR="003A5676" w:rsidRPr="003A5676" w:rsidRDefault="003A5676" w:rsidP="003A5676">
      <w:pPr>
        <w:pStyle w:val="Prrafodelista"/>
        <w:numPr>
          <w:ilvl w:val="0"/>
          <w:numId w:val="1"/>
        </w:numPr>
        <w:spacing w:line="360" w:lineRule="auto"/>
        <w:jc w:val="both"/>
        <w:rPr>
          <w:rFonts w:ascii="Arial" w:hAnsi="Arial" w:cs="Arial"/>
          <w:b/>
          <w:lang w:val="es-CO"/>
        </w:rPr>
      </w:pPr>
      <w:r w:rsidRPr="003A5676">
        <w:rPr>
          <w:rFonts w:ascii="Arial" w:hAnsi="Arial" w:cs="Arial"/>
          <w:b/>
          <w:lang w:val="es-CO"/>
        </w:rPr>
        <w:t>Desistimiento de algunas pretensiones del incidente.</w:t>
      </w:r>
    </w:p>
    <w:p w:rsidR="003A5676" w:rsidRDefault="00173069" w:rsidP="003A5676">
      <w:pPr>
        <w:spacing w:line="360" w:lineRule="auto"/>
        <w:jc w:val="both"/>
        <w:rPr>
          <w:rFonts w:ascii="Arial" w:hAnsi="Arial" w:cs="Arial"/>
          <w:lang w:val="es-CO"/>
        </w:rPr>
      </w:pPr>
      <w:r w:rsidRPr="003A5676">
        <w:rPr>
          <w:rFonts w:ascii="Arial" w:hAnsi="Arial" w:cs="Arial"/>
          <w:lang w:val="es-CO"/>
        </w:rPr>
        <w:t>Como Frutas de la Costa pagó los conceptos de</w:t>
      </w:r>
      <w:r w:rsidR="003A5676">
        <w:rPr>
          <w:rFonts w:ascii="Arial" w:hAnsi="Arial" w:cs="Arial"/>
          <w:lang w:val="es-CO"/>
        </w:rPr>
        <w:t xml:space="preserve"> costas, se retira la pretensión de la prima de la póliza de caución judicial. </w:t>
      </w:r>
      <w:r w:rsidRPr="003A5676">
        <w:rPr>
          <w:rFonts w:ascii="Arial" w:hAnsi="Arial" w:cs="Arial"/>
          <w:lang w:val="es-CO"/>
        </w:rPr>
        <w:t xml:space="preserve"> </w:t>
      </w:r>
    </w:p>
    <w:p w:rsidR="0040447F" w:rsidRDefault="003A5676" w:rsidP="003A5676">
      <w:pPr>
        <w:spacing w:line="360" w:lineRule="auto"/>
        <w:jc w:val="both"/>
        <w:rPr>
          <w:rFonts w:ascii="Arial" w:hAnsi="Arial" w:cs="Arial"/>
          <w:lang w:val="es-CO"/>
        </w:rPr>
      </w:pPr>
      <w:r>
        <w:rPr>
          <w:rFonts w:ascii="Arial" w:hAnsi="Arial" w:cs="Arial"/>
          <w:lang w:val="es-CO"/>
        </w:rPr>
        <w:t>También se retira la pretensión de los honorarios</w:t>
      </w:r>
      <w:r w:rsidR="00E95668">
        <w:rPr>
          <w:rFonts w:ascii="Arial" w:hAnsi="Arial" w:cs="Arial"/>
          <w:lang w:val="es-CO"/>
        </w:rPr>
        <w:t xml:space="preserve"> que tuvo que asumir la aseguradora por la representación judicial del proceso ejecutivo, pues se pagaron con las costas del ejecutivo. </w:t>
      </w:r>
      <w:r>
        <w:rPr>
          <w:rFonts w:ascii="Arial" w:hAnsi="Arial" w:cs="Arial"/>
          <w:lang w:val="es-CO"/>
        </w:rPr>
        <w:t xml:space="preserve"> </w:t>
      </w:r>
    </w:p>
    <w:p w:rsidR="0040447F" w:rsidRDefault="00E95668" w:rsidP="003A5676">
      <w:pPr>
        <w:spacing w:line="360" w:lineRule="auto"/>
        <w:jc w:val="both"/>
        <w:rPr>
          <w:rFonts w:ascii="Arial" w:hAnsi="Arial" w:cs="Arial"/>
          <w:lang w:val="es-CO"/>
        </w:rPr>
      </w:pPr>
      <w:r>
        <w:rPr>
          <w:rFonts w:ascii="Arial" w:hAnsi="Arial" w:cs="Arial"/>
          <w:lang w:val="es-CO"/>
        </w:rPr>
        <w:t xml:space="preserve">El despacho acepta el desistimiento de las pretensiones </w:t>
      </w:r>
      <w:r>
        <w:rPr>
          <w:rFonts w:ascii="Arial" w:hAnsi="Arial" w:cs="Arial"/>
          <w:lang w:val="es-CO"/>
        </w:rPr>
        <w:t xml:space="preserve">1.1.4. </w:t>
      </w:r>
      <w:r>
        <w:rPr>
          <w:rFonts w:ascii="Arial" w:hAnsi="Arial" w:cs="Arial"/>
          <w:lang w:val="es-CO"/>
        </w:rPr>
        <w:t xml:space="preserve">y </w:t>
      </w:r>
      <w:r>
        <w:rPr>
          <w:rFonts w:ascii="Arial" w:hAnsi="Arial" w:cs="Arial"/>
          <w:lang w:val="es-CO"/>
        </w:rPr>
        <w:t xml:space="preserve">1.2.1. </w:t>
      </w:r>
      <w:r>
        <w:rPr>
          <w:rFonts w:ascii="Arial" w:hAnsi="Arial" w:cs="Arial"/>
          <w:lang w:val="es-CO"/>
        </w:rPr>
        <w:t xml:space="preserve">del memorial de incidente, </w:t>
      </w:r>
      <w:r w:rsidR="0040447F">
        <w:rPr>
          <w:rFonts w:ascii="Arial" w:hAnsi="Arial" w:cs="Arial"/>
          <w:lang w:val="es-CO"/>
        </w:rPr>
        <w:t>por pago total</w:t>
      </w:r>
      <w:r>
        <w:rPr>
          <w:rFonts w:ascii="Arial" w:hAnsi="Arial" w:cs="Arial"/>
          <w:lang w:val="es-CO"/>
        </w:rPr>
        <w:t xml:space="preserve"> de las mismas al encontrarse </w:t>
      </w:r>
      <w:r w:rsidR="0040447F">
        <w:rPr>
          <w:rFonts w:ascii="Arial" w:hAnsi="Arial" w:cs="Arial"/>
          <w:lang w:val="es-CO"/>
        </w:rPr>
        <w:t>subsumida</w:t>
      </w:r>
      <w:r>
        <w:rPr>
          <w:rFonts w:ascii="Arial" w:hAnsi="Arial" w:cs="Arial"/>
          <w:lang w:val="es-CO"/>
        </w:rPr>
        <w:t>s</w:t>
      </w:r>
      <w:r w:rsidR="0040447F">
        <w:rPr>
          <w:rFonts w:ascii="Arial" w:hAnsi="Arial" w:cs="Arial"/>
          <w:lang w:val="es-CO"/>
        </w:rPr>
        <w:t xml:space="preserve"> de</w:t>
      </w:r>
      <w:r>
        <w:rPr>
          <w:rFonts w:ascii="Arial" w:hAnsi="Arial" w:cs="Arial"/>
          <w:lang w:val="es-CO"/>
        </w:rPr>
        <w:t xml:space="preserve">ntro de las agencias en derecho. </w:t>
      </w:r>
    </w:p>
    <w:p w:rsidR="0040447F" w:rsidRDefault="0040447F" w:rsidP="003A5676">
      <w:pPr>
        <w:spacing w:line="360" w:lineRule="auto"/>
        <w:jc w:val="both"/>
        <w:rPr>
          <w:rFonts w:ascii="Arial" w:hAnsi="Arial" w:cs="Arial"/>
          <w:lang w:val="es-CO"/>
        </w:rPr>
      </w:pPr>
      <w:r>
        <w:rPr>
          <w:rFonts w:ascii="Arial" w:hAnsi="Arial" w:cs="Arial"/>
          <w:lang w:val="es-CO"/>
        </w:rPr>
        <w:t>El incidente continúa sobre las demás pretensiones</w:t>
      </w:r>
      <w:r w:rsidR="00E95668">
        <w:rPr>
          <w:rFonts w:ascii="Arial" w:hAnsi="Arial" w:cs="Arial"/>
          <w:lang w:val="es-CO"/>
        </w:rPr>
        <w:t xml:space="preserve">. </w:t>
      </w:r>
      <w:r>
        <w:rPr>
          <w:rFonts w:ascii="Arial" w:hAnsi="Arial" w:cs="Arial"/>
          <w:lang w:val="es-CO"/>
        </w:rPr>
        <w:t xml:space="preserve"> </w:t>
      </w:r>
    </w:p>
    <w:p w:rsidR="0040447F" w:rsidRDefault="0040447F" w:rsidP="003A5676">
      <w:pPr>
        <w:spacing w:line="360" w:lineRule="auto"/>
        <w:jc w:val="both"/>
        <w:rPr>
          <w:rFonts w:ascii="Arial" w:hAnsi="Arial" w:cs="Arial"/>
          <w:lang w:val="es-CO"/>
        </w:rPr>
      </w:pPr>
    </w:p>
    <w:p w:rsidR="0040447F" w:rsidRPr="00C169C5" w:rsidRDefault="0040447F" w:rsidP="00C169C5">
      <w:pPr>
        <w:pStyle w:val="Prrafodelista"/>
        <w:numPr>
          <w:ilvl w:val="0"/>
          <w:numId w:val="1"/>
        </w:numPr>
        <w:spacing w:line="360" w:lineRule="auto"/>
        <w:jc w:val="both"/>
        <w:rPr>
          <w:rFonts w:ascii="Arial" w:hAnsi="Arial" w:cs="Arial"/>
          <w:b/>
          <w:lang w:val="es-CO"/>
        </w:rPr>
      </w:pPr>
      <w:r w:rsidRPr="00C169C5">
        <w:rPr>
          <w:rFonts w:ascii="Arial" w:hAnsi="Arial" w:cs="Arial"/>
          <w:b/>
          <w:lang w:val="es-CO"/>
        </w:rPr>
        <w:t xml:space="preserve">Testimonios. </w:t>
      </w:r>
    </w:p>
    <w:p w:rsidR="00E95668" w:rsidRPr="00E95668" w:rsidRDefault="00E95668" w:rsidP="003A5676">
      <w:pPr>
        <w:spacing w:line="360" w:lineRule="auto"/>
        <w:jc w:val="both"/>
        <w:rPr>
          <w:rFonts w:ascii="Arial" w:hAnsi="Arial" w:cs="Arial"/>
          <w:lang w:val="es-CO"/>
        </w:rPr>
      </w:pPr>
      <w:r w:rsidRPr="00E95668">
        <w:rPr>
          <w:rFonts w:ascii="Arial" w:hAnsi="Arial" w:cs="Arial"/>
          <w:highlight w:val="cyan"/>
          <w:lang w:val="es-CO"/>
        </w:rPr>
        <w:t>El DH desiste de la declaración de María del Socorro Salamanca.</w:t>
      </w:r>
      <w:r w:rsidRPr="00E95668">
        <w:rPr>
          <w:rFonts w:ascii="Arial" w:hAnsi="Arial" w:cs="Arial"/>
          <w:lang w:val="es-CO"/>
        </w:rPr>
        <w:t xml:space="preserve"> </w:t>
      </w:r>
    </w:p>
    <w:p w:rsidR="0040447F" w:rsidRPr="00DE7FEF" w:rsidRDefault="00C169C5" w:rsidP="003A5676">
      <w:pPr>
        <w:spacing w:line="360" w:lineRule="auto"/>
        <w:jc w:val="both"/>
        <w:rPr>
          <w:rFonts w:ascii="Arial" w:hAnsi="Arial" w:cs="Arial"/>
          <w:b/>
          <w:lang w:val="es-CO"/>
        </w:rPr>
      </w:pPr>
      <w:r w:rsidRPr="00DE7FEF">
        <w:rPr>
          <w:rFonts w:ascii="Arial" w:hAnsi="Arial" w:cs="Arial"/>
          <w:b/>
          <w:lang w:val="es-CO"/>
        </w:rPr>
        <w:t>Único testigo, Joan Sebastián Hernández Ordoñez.</w:t>
      </w: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Relación con las entidades</w:t>
      </w:r>
      <w:r>
        <w:rPr>
          <w:rFonts w:ascii="Arial" w:hAnsi="Arial" w:cs="Arial"/>
          <w:lang w:val="es-CO"/>
        </w:rPr>
        <w:t>: con La Previsora tuve una relación laboral, como subgerente de procesos judiciales y representante legal para asuntos judiciales.</w:t>
      </w:r>
    </w:p>
    <w:p w:rsidR="00C169C5" w:rsidRDefault="00C169C5" w:rsidP="003A5676">
      <w:pPr>
        <w:spacing w:line="360" w:lineRule="auto"/>
        <w:jc w:val="both"/>
        <w:rPr>
          <w:rFonts w:ascii="Arial" w:hAnsi="Arial" w:cs="Arial"/>
          <w:lang w:val="es-CO"/>
        </w:rPr>
      </w:pP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Qué sabe de lo perjuicios causados</w:t>
      </w:r>
      <w:r>
        <w:rPr>
          <w:rFonts w:ascii="Arial" w:hAnsi="Arial" w:cs="Arial"/>
          <w:lang w:val="es-CO"/>
        </w:rPr>
        <w:t xml:space="preserve">: las aseguradoras tienen un régimen especial e implica que todos los ingresos que tengan deben ser invertidos en reservas técnicas, pues deben tener un fondo para el pago de siniestros, administrativos y funcionamiento. Esos recursos deben tener unos rendimientos, para que la moneda no pierda valor. El embargo de esos recursos tiene un impacto negativo. </w:t>
      </w:r>
    </w:p>
    <w:p w:rsidR="00C169C5" w:rsidRDefault="00C169C5" w:rsidP="003A5676">
      <w:pPr>
        <w:spacing w:line="360" w:lineRule="auto"/>
        <w:jc w:val="both"/>
        <w:rPr>
          <w:rFonts w:ascii="Arial" w:hAnsi="Arial" w:cs="Arial"/>
          <w:lang w:val="es-CO"/>
        </w:rPr>
      </w:pPr>
      <w:r>
        <w:rPr>
          <w:rFonts w:ascii="Arial" w:hAnsi="Arial" w:cs="Arial"/>
          <w:lang w:val="es-CO"/>
        </w:rPr>
        <w:t xml:space="preserve">Hay contrato entre la aseguradora y el abogado, porque su finalidad no es litigar sino vender pólizas y pagar siniestros. </w:t>
      </w:r>
    </w:p>
    <w:p w:rsidR="00C169C5" w:rsidRDefault="00C169C5" w:rsidP="003A5676">
      <w:pPr>
        <w:spacing w:line="360" w:lineRule="auto"/>
        <w:jc w:val="both"/>
        <w:rPr>
          <w:rFonts w:ascii="Arial" w:hAnsi="Arial" w:cs="Arial"/>
          <w:lang w:val="es-CO"/>
        </w:rPr>
      </w:pP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Tiene un monto sobre los perjuicios</w:t>
      </w:r>
      <w:r>
        <w:rPr>
          <w:rFonts w:ascii="Arial" w:hAnsi="Arial" w:cs="Arial"/>
          <w:lang w:val="es-CO"/>
        </w:rPr>
        <w:t xml:space="preserve">: no tengo conocimiento.  </w:t>
      </w:r>
    </w:p>
    <w:p w:rsidR="00C169C5" w:rsidRDefault="00C169C5" w:rsidP="003A5676">
      <w:pPr>
        <w:spacing w:line="360" w:lineRule="auto"/>
        <w:jc w:val="both"/>
        <w:rPr>
          <w:rFonts w:ascii="Arial" w:hAnsi="Arial" w:cs="Arial"/>
          <w:lang w:val="es-CO"/>
        </w:rPr>
      </w:pP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Sabe cuál es la firma de abogados de La Previsora</w:t>
      </w:r>
      <w:r>
        <w:rPr>
          <w:rFonts w:ascii="Arial" w:hAnsi="Arial" w:cs="Arial"/>
          <w:lang w:val="es-CO"/>
        </w:rPr>
        <w:t xml:space="preserve">: la firma es la de Gustavo Alberto Herrera, pero como me desvinculé hace 10 meses, no tengo el valor exacto de los honorarios. </w:t>
      </w:r>
    </w:p>
    <w:p w:rsidR="00C169C5" w:rsidRDefault="00C169C5" w:rsidP="003A5676">
      <w:pPr>
        <w:spacing w:line="360" w:lineRule="auto"/>
        <w:jc w:val="both"/>
        <w:rPr>
          <w:rFonts w:ascii="Arial" w:hAnsi="Arial" w:cs="Arial"/>
          <w:lang w:val="es-CO"/>
        </w:rPr>
      </w:pP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Sabe cuánto tiempo duró embargado</w:t>
      </w:r>
      <w:r>
        <w:rPr>
          <w:rFonts w:ascii="Arial" w:hAnsi="Arial" w:cs="Arial"/>
          <w:lang w:val="es-CO"/>
        </w:rPr>
        <w:t>: como 7 meses.</w:t>
      </w:r>
    </w:p>
    <w:p w:rsidR="00C169C5" w:rsidRDefault="00C169C5" w:rsidP="003A5676">
      <w:pPr>
        <w:spacing w:line="360" w:lineRule="auto"/>
        <w:jc w:val="both"/>
        <w:rPr>
          <w:rFonts w:ascii="Arial" w:hAnsi="Arial" w:cs="Arial"/>
          <w:lang w:val="es-CO"/>
        </w:rPr>
      </w:pPr>
    </w:p>
    <w:p w:rsidR="00C169C5" w:rsidRDefault="00C169C5" w:rsidP="003A5676">
      <w:pPr>
        <w:spacing w:line="360" w:lineRule="auto"/>
        <w:jc w:val="both"/>
        <w:rPr>
          <w:rFonts w:ascii="Arial" w:hAnsi="Arial" w:cs="Arial"/>
          <w:lang w:val="es-CO"/>
        </w:rPr>
      </w:pPr>
      <w:r w:rsidRPr="00C169C5">
        <w:rPr>
          <w:rFonts w:ascii="Arial" w:hAnsi="Arial" w:cs="Arial"/>
          <w:u w:val="single"/>
          <w:lang w:val="es-CO"/>
        </w:rPr>
        <w:t>Sabe si la Compañía se obligó a pagar a la firma de abogados un valor por el presente incidente</w:t>
      </w:r>
      <w:r>
        <w:rPr>
          <w:rFonts w:ascii="Arial" w:hAnsi="Arial" w:cs="Arial"/>
          <w:lang w:val="es-CO"/>
        </w:rPr>
        <w:t xml:space="preserve">: debe haber un contrato o un correo por parte de la aseguradora. </w:t>
      </w:r>
    </w:p>
    <w:p w:rsidR="00C169C5" w:rsidRDefault="00C169C5"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proofErr w:type="spellStart"/>
      <w:r w:rsidRPr="00DE7FEF">
        <w:rPr>
          <w:rFonts w:ascii="Arial" w:hAnsi="Arial" w:cs="Arial"/>
          <w:u w:val="single"/>
          <w:lang w:val="es-CO"/>
        </w:rPr>
        <w:t>Ud</w:t>
      </w:r>
      <w:proofErr w:type="spellEnd"/>
      <w:r w:rsidRPr="00DE7FEF">
        <w:rPr>
          <w:rFonts w:ascii="Arial" w:hAnsi="Arial" w:cs="Arial"/>
          <w:u w:val="single"/>
          <w:lang w:val="es-CO"/>
        </w:rPr>
        <w:t xml:space="preserve"> tiene algún vínculo directo o indirecto con La Previsora</w:t>
      </w:r>
      <w:r>
        <w:rPr>
          <w:rFonts w:ascii="Arial" w:hAnsi="Arial" w:cs="Arial"/>
          <w:lang w:val="es-CO"/>
        </w:rPr>
        <w:t xml:space="preserve">: ninguno. </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955B62">
        <w:rPr>
          <w:rFonts w:ascii="Arial" w:hAnsi="Arial" w:cs="Arial"/>
          <w:u w:val="single"/>
          <w:lang w:val="es-CO"/>
        </w:rPr>
        <w:t>Parte</w:t>
      </w:r>
      <w:r w:rsidRPr="00DE7FEF">
        <w:rPr>
          <w:rFonts w:ascii="Arial" w:hAnsi="Arial" w:cs="Arial"/>
          <w:u w:val="single"/>
          <w:lang w:val="es-CO"/>
        </w:rPr>
        <w:t xml:space="preserve"> de sus funciones era poner dineros de La Previsora en fondos de inversión</w:t>
      </w:r>
      <w:r>
        <w:rPr>
          <w:rFonts w:ascii="Arial" w:hAnsi="Arial" w:cs="Arial"/>
          <w:lang w:val="es-CO"/>
        </w:rPr>
        <w:t xml:space="preserve">: nuestra función era que, lo dineros relacionados con litigios, se ponía monto de la reserva. </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DE7FEF">
        <w:rPr>
          <w:rFonts w:ascii="Arial" w:hAnsi="Arial" w:cs="Arial"/>
          <w:u w:val="single"/>
          <w:lang w:val="es-CO"/>
        </w:rPr>
        <w:t>Las reservas deben ser invertidas en 100 %</w:t>
      </w:r>
      <w:r>
        <w:rPr>
          <w:rFonts w:ascii="Arial" w:hAnsi="Arial" w:cs="Arial"/>
          <w:lang w:val="es-CO"/>
        </w:rPr>
        <w:t xml:space="preserve">: sí. </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DE7FEF">
        <w:rPr>
          <w:rFonts w:ascii="Arial" w:hAnsi="Arial" w:cs="Arial"/>
          <w:u w:val="single"/>
          <w:lang w:val="es-CO"/>
        </w:rPr>
        <w:t>La Previsora tiene reserva por nómina</w:t>
      </w:r>
      <w:r>
        <w:rPr>
          <w:rFonts w:ascii="Arial" w:hAnsi="Arial" w:cs="Arial"/>
          <w:lang w:val="es-CO"/>
        </w:rPr>
        <w:t>: sí.</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DE7FEF">
        <w:rPr>
          <w:rFonts w:ascii="Arial" w:hAnsi="Arial" w:cs="Arial"/>
          <w:u w:val="single"/>
          <w:lang w:val="es-CO"/>
        </w:rPr>
        <w:t>Existen inversiones de alto, medio, bajo riesgo</w:t>
      </w:r>
      <w:r>
        <w:rPr>
          <w:rFonts w:ascii="Arial" w:hAnsi="Arial" w:cs="Arial"/>
          <w:lang w:val="es-CO"/>
        </w:rPr>
        <w:t xml:space="preserve">: el portafolio debe estar completamente diversificado. </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DE7FEF">
        <w:rPr>
          <w:rFonts w:ascii="Arial" w:hAnsi="Arial" w:cs="Arial"/>
          <w:u w:val="single"/>
          <w:lang w:val="es-CO"/>
        </w:rPr>
        <w:t>Los rendimientos en un tipo de inversiones son diferentes o variables</w:t>
      </w:r>
      <w:r>
        <w:rPr>
          <w:rFonts w:ascii="Arial" w:hAnsi="Arial" w:cs="Arial"/>
          <w:lang w:val="es-CO"/>
        </w:rPr>
        <w:t xml:space="preserve">: no lo sé. </w:t>
      </w:r>
    </w:p>
    <w:p w:rsidR="00DE7FEF" w:rsidRDefault="00DE7FEF" w:rsidP="003A5676">
      <w:pPr>
        <w:spacing w:line="360" w:lineRule="auto"/>
        <w:jc w:val="both"/>
        <w:rPr>
          <w:rFonts w:ascii="Arial" w:hAnsi="Arial" w:cs="Arial"/>
          <w:lang w:val="es-CO"/>
        </w:rPr>
      </w:pPr>
    </w:p>
    <w:p w:rsidR="00DE7FEF" w:rsidRDefault="00DE7FEF" w:rsidP="003A5676">
      <w:pPr>
        <w:spacing w:line="360" w:lineRule="auto"/>
        <w:jc w:val="both"/>
        <w:rPr>
          <w:rFonts w:ascii="Arial" w:hAnsi="Arial" w:cs="Arial"/>
          <w:lang w:val="es-CO"/>
        </w:rPr>
      </w:pPr>
      <w:r w:rsidRPr="00DE7FEF">
        <w:rPr>
          <w:rFonts w:ascii="Arial" w:hAnsi="Arial" w:cs="Arial"/>
          <w:u w:val="single"/>
          <w:lang w:val="es-CO"/>
        </w:rPr>
        <w:lastRenderedPageBreak/>
        <w:t>Los estados de resultados de la aseguradora arrojaban utilidades por cuenta de las inversiones</w:t>
      </w:r>
      <w:r>
        <w:rPr>
          <w:rFonts w:ascii="Arial" w:hAnsi="Arial" w:cs="Arial"/>
          <w:lang w:val="es-CO"/>
        </w:rPr>
        <w:t>: las aseguradoras tienen 2 fuentes de ingreso, por venta de seguros y por rendimientos o inversiones de sus recursos.</w:t>
      </w:r>
    </w:p>
    <w:p w:rsidR="00E95668" w:rsidRDefault="00E95668" w:rsidP="003A5676">
      <w:pPr>
        <w:spacing w:line="360" w:lineRule="auto"/>
        <w:jc w:val="both"/>
        <w:rPr>
          <w:rFonts w:ascii="Arial" w:hAnsi="Arial" w:cs="Arial"/>
          <w:lang w:val="es-CO"/>
        </w:rPr>
      </w:pPr>
    </w:p>
    <w:p w:rsidR="00E95668" w:rsidRPr="00E95668" w:rsidRDefault="00955B62" w:rsidP="00E95668">
      <w:pPr>
        <w:pStyle w:val="Prrafodelista"/>
        <w:numPr>
          <w:ilvl w:val="0"/>
          <w:numId w:val="1"/>
        </w:numPr>
        <w:spacing w:line="360" w:lineRule="auto"/>
        <w:jc w:val="both"/>
        <w:rPr>
          <w:rFonts w:ascii="Arial" w:hAnsi="Arial" w:cs="Arial"/>
          <w:b/>
          <w:lang w:val="es-CO"/>
        </w:rPr>
      </w:pPr>
      <w:r>
        <w:rPr>
          <w:rFonts w:ascii="Arial" w:hAnsi="Arial" w:cs="Arial"/>
          <w:b/>
          <w:lang w:val="es-CO"/>
        </w:rPr>
        <w:t>Auto resuelve el incidente</w:t>
      </w:r>
      <w:r w:rsidR="00E95668" w:rsidRPr="00E95668">
        <w:rPr>
          <w:rFonts w:ascii="Arial" w:hAnsi="Arial" w:cs="Arial"/>
          <w:b/>
          <w:lang w:val="es-CO"/>
        </w:rPr>
        <w:t xml:space="preserve">. </w:t>
      </w:r>
    </w:p>
    <w:p w:rsidR="00DE7FEF" w:rsidRDefault="00775ACD" w:rsidP="003A5676">
      <w:pPr>
        <w:spacing w:line="360" w:lineRule="auto"/>
        <w:jc w:val="both"/>
        <w:rPr>
          <w:rFonts w:ascii="Arial" w:hAnsi="Arial" w:cs="Arial"/>
          <w:lang w:val="es-CO"/>
        </w:rPr>
      </w:pPr>
      <w:r w:rsidRPr="00775ACD">
        <w:rPr>
          <w:rFonts w:ascii="Arial" w:hAnsi="Arial" w:cs="Arial"/>
          <w:u w:val="single"/>
          <w:lang w:val="es-CO"/>
        </w:rPr>
        <w:t xml:space="preserve">Fundamentos del </w:t>
      </w:r>
      <w:proofErr w:type="spellStart"/>
      <w:r w:rsidRPr="00775ACD">
        <w:rPr>
          <w:rFonts w:ascii="Arial" w:hAnsi="Arial" w:cs="Arial"/>
          <w:u w:val="single"/>
          <w:lang w:val="es-CO"/>
        </w:rPr>
        <w:t>incidentalista</w:t>
      </w:r>
      <w:proofErr w:type="spellEnd"/>
      <w:r>
        <w:rPr>
          <w:rFonts w:ascii="Arial" w:hAnsi="Arial" w:cs="Arial"/>
          <w:lang w:val="es-CO"/>
        </w:rPr>
        <w:t>:</w:t>
      </w:r>
    </w:p>
    <w:p w:rsidR="00775ACD" w:rsidRDefault="00775ACD" w:rsidP="003A5676">
      <w:pPr>
        <w:spacing w:line="360" w:lineRule="auto"/>
        <w:jc w:val="both"/>
        <w:rPr>
          <w:rFonts w:ascii="Arial" w:hAnsi="Arial" w:cs="Arial"/>
          <w:lang w:val="es-CO"/>
        </w:rPr>
      </w:pPr>
      <w:r>
        <w:rPr>
          <w:rFonts w:ascii="Arial" w:hAnsi="Arial" w:cs="Arial"/>
          <w:lang w:val="es-CO"/>
        </w:rPr>
        <w:t xml:space="preserve">Narra las actuaciones procesales del proceso ejecutivo y los embargos. </w:t>
      </w:r>
    </w:p>
    <w:p w:rsidR="00775ACD" w:rsidRDefault="00775ACD" w:rsidP="003A5676">
      <w:pPr>
        <w:spacing w:line="360" w:lineRule="auto"/>
        <w:jc w:val="both"/>
        <w:rPr>
          <w:rFonts w:ascii="Arial" w:hAnsi="Arial" w:cs="Arial"/>
          <w:lang w:val="es-CO"/>
        </w:rPr>
      </w:pPr>
      <w:r>
        <w:rPr>
          <w:rFonts w:ascii="Arial" w:hAnsi="Arial" w:cs="Arial"/>
          <w:lang w:val="es-CO"/>
        </w:rPr>
        <w:t xml:space="preserve">Narra los perjuicios que se le causaron a la aseguradora. </w:t>
      </w:r>
    </w:p>
    <w:p w:rsidR="00775ACD" w:rsidRDefault="00775ACD" w:rsidP="003A5676">
      <w:pPr>
        <w:spacing w:line="360" w:lineRule="auto"/>
        <w:jc w:val="both"/>
        <w:rPr>
          <w:rFonts w:ascii="Arial" w:hAnsi="Arial" w:cs="Arial"/>
          <w:lang w:val="es-CO"/>
        </w:rPr>
      </w:pPr>
    </w:p>
    <w:p w:rsidR="00775ACD" w:rsidRDefault="00775ACD" w:rsidP="003A5676">
      <w:pPr>
        <w:spacing w:line="360" w:lineRule="auto"/>
        <w:jc w:val="both"/>
        <w:rPr>
          <w:rFonts w:ascii="Arial" w:hAnsi="Arial" w:cs="Arial"/>
          <w:lang w:val="es-CO"/>
        </w:rPr>
      </w:pPr>
      <w:r w:rsidRPr="00775ACD">
        <w:rPr>
          <w:rFonts w:ascii="Arial" w:hAnsi="Arial" w:cs="Arial"/>
          <w:u w:val="single"/>
          <w:lang w:val="es-CO"/>
        </w:rPr>
        <w:t xml:space="preserve">Fundamentos del </w:t>
      </w:r>
      <w:proofErr w:type="spellStart"/>
      <w:r w:rsidRPr="00775ACD">
        <w:rPr>
          <w:rFonts w:ascii="Arial" w:hAnsi="Arial" w:cs="Arial"/>
          <w:u w:val="single"/>
          <w:lang w:val="es-CO"/>
        </w:rPr>
        <w:t>incidentado</w:t>
      </w:r>
      <w:proofErr w:type="spellEnd"/>
      <w:r>
        <w:rPr>
          <w:rFonts w:ascii="Arial" w:hAnsi="Arial" w:cs="Arial"/>
          <w:lang w:val="es-CO"/>
        </w:rPr>
        <w:t>:</w:t>
      </w:r>
    </w:p>
    <w:p w:rsidR="00775ACD" w:rsidRDefault="00775ACD" w:rsidP="003A5676">
      <w:pPr>
        <w:spacing w:line="360" w:lineRule="auto"/>
        <w:jc w:val="both"/>
        <w:rPr>
          <w:rFonts w:ascii="Arial" w:hAnsi="Arial" w:cs="Arial"/>
          <w:lang w:val="es-CO"/>
        </w:rPr>
      </w:pPr>
      <w:r>
        <w:rPr>
          <w:rFonts w:ascii="Arial" w:hAnsi="Arial" w:cs="Arial"/>
          <w:lang w:val="es-CO"/>
        </w:rPr>
        <w:t>Se opone a las pretensiones y manifiesta que sólo en la medida que se logre probar los perjuicios, se podrá acceder a ello</w:t>
      </w:r>
      <w:r w:rsidR="00955B62">
        <w:rPr>
          <w:rFonts w:ascii="Arial" w:hAnsi="Arial" w:cs="Arial"/>
          <w:lang w:val="es-CO"/>
        </w:rPr>
        <w:t>s</w:t>
      </w:r>
      <w:r>
        <w:rPr>
          <w:rFonts w:ascii="Arial" w:hAnsi="Arial" w:cs="Arial"/>
          <w:lang w:val="es-CO"/>
        </w:rPr>
        <w:t xml:space="preserve">. </w:t>
      </w:r>
      <w:r w:rsidR="00955B62">
        <w:rPr>
          <w:rFonts w:ascii="Arial" w:hAnsi="Arial" w:cs="Arial"/>
          <w:lang w:val="es-CO"/>
        </w:rPr>
        <w:t xml:space="preserve">Los intereses deberán ser los civiles y no los comerciales. </w:t>
      </w:r>
    </w:p>
    <w:p w:rsidR="00775ACD" w:rsidRDefault="00775ACD" w:rsidP="003A5676">
      <w:pPr>
        <w:spacing w:line="360" w:lineRule="auto"/>
        <w:jc w:val="both"/>
        <w:rPr>
          <w:rFonts w:ascii="Arial" w:hAnsi="Arial" w:cs="Arial"/>
          <w:lang w:val="es-CO"/>
        </w:rPr>
      </w:pPr>
    </w:p>
    <w:p w:rsidR="00775ACD" w:rsidRDefault="00775ACD" w:rsidP="003A5676">
      <w:pPr>
        <w:spacing w:line="360" w:lineRule="auto"/>
        <w:jc w:val="both"/>
        <w:rPr>
          <w:rFonts w:ascii="Arial" w:hAnsi="Arial" w:cs="Arial"/>
          <w:lang w:val="es-CO"/>
        </w:rPr>
      </w:pPr>
      <w:r w:rsidRPr="00775ACD">
        <w:rPr>
          <w:rFonts w:ascii="Arial" w:hAnsi="Arial" w:cs="Arial"/>
          <w:u w:val="single"/>
          <w:lang w:val="es-CO"/>
        </w:rPr>
        <w:t>Consideraciones</w:t>
      </w:r>
      <w:r>
        <w:rPr>
          <w:rFonts w:ascii="Arial" w:hAnsi="Arial" w:cs="Arial"/>
          <w:lang w:val="es-CO"/>
        </w:rPr>
        <w:t>:</w:t>
      </w:r>
    </w:p>
    <w:p w:rsidR="00775ACD" w:rsidRDefault="00775ACD" w:rsidP="003A5676">
      <w:pPr>
        <w:spacing w:line="360" w:lineRule="auto"/>
        <w:jc w:val="both"/>
        <w:rPr>
          <w:rFonts w:ascii="Arial" w:hAnsi="Arial" w:cs="Arial"/>
          <w:lang w:val="es-CO"/>
        </w:rPr>
      </w:pPr>
      <w:r>
        <w:rPr>
          <w:rFonts w:ascii="Arial" w:hAnsi="Arial" w:cs="Arial"/>
          <w:lang w:val="es-CO"/>
        </w:rPr>
        <w:t xml:space="preserve">Se retiraron las pretensiones </w:t>
      </w:r>
      <w:r>
        <w:rPr>
          <w:rFonts w:ascii="Arial" w:hAnsi="Arial" w:cs="Arial"/>
          <w:lang w:val="es-CO"/>
        </w:rPr>
        <w:t xml:space="preserve">1.1.4. y </w:t>
      </w:r>
      <w:r>
        <w:rPr>
          <w:rFonts w:ascii="Arial" w:hAnsi="Arial" w:cs="Arial"/>
          <w:lang w:val="es-CO"/>
        </w:rPr>
        <w:t xml:space="preserve">1.2.1., pues ya se pagaron. </w:t>
      </w:r>
    </w:p>
    <w:p w:rsidR="00775ACD" w:rsidRDefault="00955B62" w:rsidP="003A5676">
      <w:pPr>
        <w:spacing w:line="360" w:lineRule="auto"/>
        <w:jc w:val="both"/>
        <w:rPr>
          <w:rFonts w:ascii="Arial" w:hAnsi="Arial" w:cs="Arial"/>
          <w:lang w:val="es-CO"/>
        </w:rPr>
      </w:pPr>
      <w:r>
        <w:rPr>
          <w:rFonts w:ascii="Arial" w:hAnsi="Arial" w:cs="Arial"/>
          <w:lang w:val="es-CO"/>
        </w:rPr>
        <w:t>Art. 129 del CGP.</w:t>
      </w:r>
      <w:r w:rsidR="00775ACD">
        <w:rPr>
          <w:rFonts w:ascii="Arial" w:hAnsi="Arial" w:cs="Arial"/>
          <w:lang w:val="es-CO"/>
        </w:rPr>
        <w:t xml:space="preserve"> Para que un perjuicio deba ser reparado, debe ser directo y cierto. Si no aparece causado, no sirve una mera expectativa. </w:t>
      </w:r>
    </w:p>
    <w:p w:rsidR="00775ACD" w:rsidRDefault="00775ACD" w:rsidP="003A5676">
      <w:pPr>
        <w:spacing w:line="360" w:lineRule="auto"/>
        <w:jc w:val="both"/>
        <w:rPr>
          <w:rFonts w:ascii="Arial" w:hAnsi="Arial" w:cs="Arial"/>
          <w:lang w:val="es-CO"/>
        </w:rPr>
      </w:pPr>
      <w:r>
        <w:rPr>
          <w:rFonts w:ascii="Arial" w:hAnsi="Arial" w:cs="Arial"/>
          <w:lang w:val="es-CO"/>
        </w:rPr>
        <w:t xml:space="preserve">Si los hechos no están </w:t>
      </w:r>
      <w:r w:rsidR="00955B62">
        <w:rPr>
          <w:rFonts w:ascii="Arial" w:hAnsi="Arial" w:cs="Arial"/>
          <w:lang w:val="es-CO"/>
        </w:rPr>
        <w:t>respaldados</w:t>
      </w:r>
      <w:r>
        <w:rPr>
          <w:rFonts w:ascii="Arial" w:hAnsi="Arial" w:cs="Arial"/>
          <w:lang w:val="es-CO"/>
        </w:rPr>
        <w:t xml:space="preserve"> con circunstancias concretas, no es dable acceder a ellos.</w:t>
      </w:r>
    </w:p>
    <w:p w:rsidR="00775ACD" w:rsidRDefault="00775ACD" w:rsidP="003A5676">
      <w:pPr>
        <w:spacing w:line="360" w:lineRule="auto"/>
        <w:jc w:val="both"/>
        <w:rPr>
          <w:rFonts w:ascii="Arial" w:hAnsi="Arial" w:cs="Arial"/>
          <w:lang w:val="es-CO"/>
        </w:rPr>
      </w:pPr>
      <w:r>
        <w:rPr>
          <w:rFonts w:ascii="Arial" w:hAnsi="Arial" w:cs="Arial"/>
          <w:lang w:val="es-CO"/>
        </w:rPr>
        <w:t xml:space="preserve">A quien demanda le corresponde la carga de la prueba y </w:t>
      </w:r>
      <w:r w:rsidR="00955B62">
        <w:rPr>
          <w:rFonts w:ascii="Arial" w:hAnsi="Arial" w:cs="Arial"/>
          <w:lang w:val="es-CO"/>
        </w:rPr>
        <w:t>probar</w:t>
      </w:r>
      <w:r>
        <w:rPr>
          <w:rFonts w:ascii="Arial" w:hAnsi="Arial" w:cs="Arial"/>
          <w:lang w:val="es-CO"/>
        </w:rPr>
        <w:t xml:space="preserve"> la cuantía del daño. </w:t>
      </w:r>
    </w:p>
    <w:p w:rsidR="00775ACD" w:rsidRDefault="00775ACD" w:rsidP="003A5676">
      <w:pPr>
        <w:spacing w:line="360" w:lineRule="auto"/>
        <w:jc w:val="both"/>
        <w:rPr>
          <w:rFonts w:ascii="Arial" w:hAnsi="Arial" w:cs="Arial"/>
          <w:lang w:val="es-CO"/>
        </w:rPr>
      </w:pPr>
      <w:r>
        <w:rPr>
          <w:rFonts w:ascii="Arial" w:hAnsi="Arial" w:cs="Arial"/>
          <w:lang w:val="es-CO"/>
        </w:rPr>
        <w:t>Para el caso, se encuentran estructurados los elementos de la acción</w:t>
      </w:r>
      <w:r w:rsidR="00955B62">
        <w:rPr>
          <w:rFonts w:ascii="Arial" w:hAnsi="Arial" w:cs="Arial"/>
          <w:lang w:val="es-CO"/>
        </w:rPr>
        <w:t>, así:</w:t>
      </w:r>
      <w:r>
        <w:rPr>
          <w:rFonts w:ascii="Arial" w:hAnsi="Arial" w:cs="Arial"/>
          <w:lang w:val="es-CO"/>
        </w:rPr>
        <w:t xml:space="preserve">    </w:t>
      </w:r>
    </w:p>
    <w:p w:rsidR="00775ACD" w:rsidRDefault="00775ACD" w:rsidP="003A5676">
      <w:pPr>
        <w:spacing w:line="360" w:lineRule="auto"/>
        <w:jc w:val="both"/>
        <w:rPr>
          <w:rFonts w:ascii="Arial" w:hAnsi="Arial" w:cs="Arial"/>
          <w:lang w:val="es-CO"/>
        </w:rPr>
      </w:pPr>
      <w:r>
        <w:rPr>
          <w:rFonts w:ascii="Arial" w:hAnsi="Arial" w:cs="Arial"/>
          <w:lang w:val="es-CO"/>
        </w:rPr>
        <w:t xml:space="preserve">Primero, se advierte </w:t>
      </w:r>
      <w:r w:rsidR="00DD72E5">
        <w:rPr>
          <w:rFonts w:ascii="Arial" w:hAnsi="Arial" w:cs="Arial"/>
          <w:lang w:val="es-CO"/>
        </w:rPr>
        <w:t>un</w:t>
      </w:r>
      <w:r>
        <w:rPr>
          <w:rFonts w:ascii="Arial" w:hAnsi="Arial" w:cs="Arial"/>
          <w:lang w:val="es-CO"/>
        </w:rPr>
        <w:t xml:space="preserve"> obrar por</w:t>
      </w:r>
      <w:r w:rsidR="00DD72E5">
        <w:rPr>
          <w:rFonts w:ascii="Arial" w:hAnsi="Arial" w:cs="Arial"/>
          <w:lang w:val="es-CO"/>
        </w:rPr>
        <w:t xml:space="preserve"> </w:t>
      </w:r>
      <w:r>
        <w:rPr>
          <w:rFonts w:ascii="Arial" w:hAnsi="Arial" w:cs="Arial"/>
          <w:lang w:val="es-CO"/>
        </w:rPr>
        <w:t>fuera de la Ley</w:t>
      </w:r>
      <w:r w:rsidR="00955B62">
        <w:rPr>
          <w:rFonts w:ascii="Arial" w:hAnsi="Arial" w:cs="Arial"/>
          <w:lang w:val="es-CO"/>
        </w:rPr>
        <w:t xml:space="preserve"> por parte de Frutas de la Costa</w:t>
      </w:r>
      <w:r>
        <w:rPr>
          <w:rFonts w:ascii="Arial" w:hAnsi="Arial" w:cs="Arial"/>
          <w:lang w:val="es-CO"/>
        </w:rPr>
        <w:t xml:space="preserve">, pues promovió proceso ejecutivo sin base para ello. La demandada probó la inexistencia del </w:t>
      </w:r>
      <w:r w:rsidR="00DD72E5">
        <w:rPr>
          <w:rFonts w:ascii="Arial" w:hAnsi="Arial" w:cs="Arial"/>
          <w:lang w:val="es-CO"/>
        </w:rPr>
        <w:t>título</w:t>
      </w:r>
      <w:r w:rsidR="00955B62">
        <w:rPr>
          <w:rFonts w:ascii="Arial" w:hAnsi="Arial" w:cs="Arial"/>
          <w:lang w:val="es-CO"/>
        </w:rPr>
        <w:t xml:space="preserve"> ejecutivo</w:t>
      </w:r>
      <w:r>
        <w:rPr>
          <w:rFonts w:ascii="Arial" w:hAnsi="Arial" w:cs="Arial"/>
          <w:lang w:val="es-CO"/>
        </w:rPr>
        <w:t xml:space="preserve">.   </w:t>
      </w:r>
    </w:p>
    <w:p w:rsidR="00775ACD" w:rsidRDefault="00775ACD" w:rsidP="003A5676">
      <w:pPr>
        <w:spacing w:line="360" w:lineRule="auto"/>
        <w:jc w:val="both"/>
        <w:rPr>
          <w:rFonts w:ascii="Arial" w:hAnsi="Arial" w:cs="Arial"/>
          <w:lang w:val="es-CO"/>
        </w:rPr>
      </w:pPr>
      <w:r>
        <w:rPr>
          <w:rFonts w:ascii="Arial" w:hAnsi="Arial" w:cs="Arial"/>
          <w:lang w:val="es-CO"/>
        </w:rPr>
        <w:lastRenderedPageBreak/>
        <w:t xml:space="preserve">Segundo, La </w:t>
      </w:r>
      <w:r w:rsidR="00955B62">
        <w:rPr>
          <w:rFonts w:ascii="Arial" w:hAnsi="Arial" w:cs="Arial"/>
          <w:lang w:val="es-CO"/>
        </w:rPr>
        <w:t>P</w:t>
      </w:r>
      <w:r>
        <w:rPr>
          <w:rFonts w:ascii="Arial" w:hAnsi="Arial" w:cs="Arial"/>
          <w:lang w:val="es-CO"/>
        </w:rPr>
        <w:t xml:space="preserve">revisora fue privada a disponer de esos dineros y como se confirmó con el testimonio, no se permitió el giro de sus dineros en inversiones, para que le </w:t>
      </w:r>
      <w:r w:rsidR="00DD72E5">
        <w:rPr>
          <w:rFonts w:ascii="Arial" w:hAnsi="Arial" w:cs="Arial"/>
          <w:lang w:val="es-CO"/>
        </w:rPr>
        <w:t>generaran</w:t>
      </w:r>
      <w:r>
        <w:rPr>
          <w:rFonts w:ascii="Arial" w:hAnsi="Arial" w:cs="Arial"/>
          <w:lang w:val="es-CO"/>
        </w:rPr>
        <w:t xml:space="preserve"> utilidades. </w:t>
      </w:r>
    </w:p>
    <w:p w:rsidR="00775ACD" w:rsidRDefault="00775ACD" w:rsidP="003A5676">
      <w:pPr>
        <w:spacing w:line="360" w:lineRule="auto"/>
        <w:jc w:val="both"/>
        <w:rPr>
          <w:rFonts w:ascii="Arial" w:hAnsi="Arial" w:cs="Arial"/>
          <w:lang w:val="es-CO"/>
        </w:rPr>
      </w:pPr>
      <w:r>
        <w:rPr>
          <w:rFonts w:ascii="Arial" w:hAnsi="Arial" w:cs="Arial"/>
          <w:lang w:val="es-CO"/>
        </w:rPr>
        <w:t>Ese embargo generó perjuicios porque no pudo invertir d</w:t>
      </w:r>
      <w:r w:rsidR="00955B62">
        <w:rPr>
          <w:rFonts w:ascii="Arial" w:hAnsi="Arial" w:cs="Arial"/>
          <w:lang w:val="es-CO"/>
        </w:rPr>
        <w:t xml:space="preserve">inero por determinado tiempo. </w:t>
      </w:r>
      <w:r>
        <w:rPr>
          <w:rFonts w:ascii="Arial" w:hAnsi="Arial" w:cs="Arial"/>
          <w:lang w:val="es-CO"/>
        </w:rPr>
        <w:t xml:space="preserve"> </w:t>
      </w:r>
    </w:p>
    <w:p w:rsidR="00775ACD" w:rsidRDefault="00775ACD" w:rsidP="003A5676">
      <w:pPr>
        <w:spacing w:line="360" w:lineRule="auto"/>
        <w:jc w:val="both"/>
        <w:rPr>
          <w:rFonts w:ascii="Arial" w:hAnsi="Arial" w:cs="Arial"/>
          <w:lang w:val="es-CO"/>
        </w:rPr>
      </w:pPr>
      <w:r>
        <w:rPr>
          <w:rFonts w:ascii="Arial" w:hAnsi="Arial" w:cs="Arial"/>
          <w:lang w:val="es-CO"/>
        </w:rPr>
        <w:t xml:space="preserve">Tercero, fueron las actuaciones de </w:t>
      </w:r>
      <w:r w:rsidR="00955B62">
        <w:rPr>
          <w:rFonts w:ascii="Arial" w:hAnsi="Arial" w:cs="Arial"/>
          <w:lang w:val="es-CO"/>
        </w:rPr>
        <w:t>F</w:t>
      </w:r>
      <w:r>
        <w:rPr>
          <w:rFonts w:ascii="Arial" w:hAnsi="Arial" w:cs="Arial"/>
          <w:lang w:val="es-CO"/>
        </w:rPr>
        <w:t>rutas</w:t>
      </w:r>
      <w:r w:rsidR="00955B62">
        <w:rPr>
          <w:rFonts w:ascii="Arial" w:hAnsi="Arial" w:cs="Arial"/>
          <w:lang w:val="es-CO"/>
        </w:rPr>
        <w:t xml:space="preserve"> de la C</w:t>
      </w:r>
      <w:r>
        <w:rPr>
          <w:rFonts w:ascii="Arial" w:hAnsi="Arial" w:cs="Arial"/>
          <w:lang w:val="es-CO"/>
        </w:rPr>
        <w:t>osta la</w:t>
      </w:r>
      <w:r w:rsidR="00955B62">
        <w:rPr>
          <w:rFonts w:ascii="Arial" w:hAnsi="Arial" w:cs="Arial"/>
          <w:lang w:val="es-CO"/>
        </w:rPr>
        <w:t>s que causaron</w:t>
      </w:r>
      <w:r>
        <w:rPr>
          <w:rFonts w:ascii="Arial" w:hAnsi="Arial" w:cs="Arial"/>
          <w:lang w:val="es-CO"/>
        </w:rPr>
        <w:t xml:space="preserve"> el daño de La Previsora. </w:t>
      </w:r>
    </w:p>
    <w:p w:rsidR="00DD72E5" w:rsidRDefault="00DD72E5" w:rsidP="003A5676">
      <w:pPr>
        <w:spacing w:line="360" w:lineRule="auto"/>
        <w:jc w:val="both"/>
        <w:rPr>
          <w:rFonts w:ascii="Arial" w:hAnsi="Arial" w:cs="Arial"/>
          <w:lang w:val="es-CO"/>
        </w:rPr>
      </w:pPr>
      <w:r>
        <w:rPr>
          <w:rFonts w:ascii="Arial" w:hAnsi="Arial" w:cs="Arial"/>
          <w:lang w:val="es-CO"/>
        </w:rPr>
        <w:t>En el ejecutivo se embargó la suma de 7 mil millones.</w:t>
      </w:r>
    </w:p>
    <w:p w:rsidR="00775ACD" w:rsidRDefault="00DD72E5" w:rsidP="003A5676">
      <w:pPr>
        <w:spacing w:line="360" w:lineRule="auto"/>
        <w:jc w:val="both"/>
        <w:rPr>
          <w:rFonts w:ascii="Arial" w:hAnsi="Arial" w:cs="Arial"/>
          <w:lang w:val="es-CO"/>
        </w:rPr>
      </w:pPr>
      <w:r>
        <w:rPr>
          <w:rFonts w:ascii="Arial" w:hAnsi="Arial" w:cs="Arial"/>
          <w:lang w:val="es-CO"/>
        </w:rPr>
        <w:t xml:space="preserve">El testigo dijo que las compañías de seguros </w:t>
      </w:r>
      <w:r w:rsidR="00955B62">
        <w:rPr>
          <w:rFonts w:ascii="Arial" w:hAnsi="Arial" w:cs="Arial"/>
          <w:lang w:val="es-CO"/>
        </w:rPr>
        <w:t>están</w:t>
      </w:r>
      <w:r>
        <w:rPr>
          <w:rFonts w:ascii="Arial" w:hAnsi="Arial" w:cs="Arial"/>
          <w:lang w:val="es-CO"/>
        </w:rPr>
        <w:t xml:space="preserve"> </w:t>
      </w:r>
      <w:r w:rsidR="00955B62">
        <w:rPr>
          <w:rFonts w:ascii="Arial" w:hAnsi="Arial" w:cs="Arial"/>
          <w:lang w:val="es-CO"/>
        </w:rPr>
        <w:t>obligadas</w:t>
      </w:r>
      <w:r>
        <w:rPr>
          <w:rFonts w:ascii="Arial" w:hAnsi="Arial" w:cs="Arial"/>
          <w:lang w:val="es-CO"/>
        </w:rPr>
        <w:t xml:space="preserve"> a </w:t>
      </w:r>
      <w:r w:rsidR="00955B62">
        <w:rPr>
          <w:rFonts w:ascii="Arial" w:hAnsi="Arial" w:cs="Arial"/>
          <w:lang w:val="es-CO"/>
        </w:rPr>
        <w:t>invertir</w:t>
      </w:r>
      <w:r>
        <w:rPr>
          <w:rFonts w:ascii="Arial" w:hAnsi="Arial" w:cs="Arial"/>
          <w:lang w:val="es-CO"/>
        </w:rPr>
        <w:t xml:space="preserve"> lo</w:t>
      </w:r>
      <w:r w:rsidR="00955B62">
        <w:rPr>
          <w:rFonts w:ascii="Arial" w:hAnsi="Arial" w:cs="Arial"/>
          <w:lang w:val="es-CO"/>
        </w:rPr>
        <w:t>s</w:t>
      </w:r>
      <w:r>
        <w:rPr>
          <w:rFonts w:ascii="Arial" w:hAnsi="Arial" w:cs="Arial"/>
          <w:lang w:val="es-CO"/>
        </w:rPr>
        <w:t xml:space="preserve"> </w:t>
      </w:r>
      <w:r w:rsidR="00955B62">
        <w:rPr>
          <w:rFonts w:ascii="Arial" w:hAnsi="Arial" w:cs="Arial"/>
          <w:lang w:val="es-CO"/>
        </w:rPr>
        <w:t>ingresos</w:t>
      </w:r>
      <w:r>
        <w:rPr>
          <w:rFonts w:ascii="Arial" w:hAnsi="Arial" w:cs="Arial"/>
          <w:lang w:val="es-CO"/>
        </w:rPr>
        <w:t xml:space="preserve"> que </w:t>
      </w:r>
      <w:r w:rsidR="00955B62">
        <w:rPr>
          <w:rFonts w:ascii="Arial" w:hAnsi="Arial" w:cs="Arial"/>
          <w:lang w:val="es-CO"/>
        </w:rPr>
        <w:t>obtengan</w:t>
      </w:r>
      <w:r>
        <w:rPr>
          <w:rFonts w:ascii="Arial" w:hAnsi="Arial" w:cs="Arial"/>
          <w:lang w:val="es-CO"/>
        </w:rPr>
        <w:t xml:space="preserve"> y ponerlos a generar rendimientos. Con los embargos, se impide esa inversión de recursos. También dijo que </w:t>
      </w:r>
      <w:r w:rsidR="00955B62">
        <w:rPr>
          <w:rFonts w:ascii="Arial" w:hAnsi="Arial" w:cs="Arial"/>
          <w:lang w:val="es-CO"/>
        </w:rPr>
        <w:t>existe</w:t>
      </w:r>
      <w:r>
        <w:rPr>
          <w:rFonts w:ascii="Arial" w:hAnsi="Arial" w:cs="Arial"/>
          <w:lang w:val="es-CO"/>
        </w:rPr>
        <w:t xml:space="preserve"> un contrato de prestación de servicios </w:t>
      </w:r>
      <w:r w:rsidR="00955B62">
        <w:rPr>
          <w:rFonts w:ascii="Arial" w:hAnsi="Arial" w:cs="Arial"/>
          <w:lang w:val="es-CO"/>
        </w:rPr>
        <w:t>profesionales</w:t>
      </w:r>
      <w:r>
        <w:rPr>
          <w:rFonts w:ascii="Arial" w:hAnsi="Arial" w:cs="Arial"/>
          <w:lang w:val="es-CO"/>
        </w:rPr>
        <w:t xml:space="preserve">. </w:t>
      </w:r>
    </w:p>
    <w:p w:rsidR="00DD72E5" w:rsidRDefault="00DD72E5" w:rsidP="003A5676">
      <w:pPr>
        <w:spacing w:line="360" w:lineRule="auto"/>
        <w:jc w:val="both"/>
        <w:rPr>
          <w:rFonts w:ascii="Arial" w:hAnsi="Arial" w:cs="Arial"/>
          <w:lang w:val="es-CO"/>
        </w:rPr>
      </w:pPr>
      <w:r>
        <w:rPr>
          <w:rFonts w:ascii="Arial" w:hAnsi="Arial" w:cs="Arial"/>
          <w:lang w:val="es-CO"/>
        </w:rPr>
        <w:t xml:space="preserve">En relación con la pretensión, se encuentra ajustada, pues se observa un respaldo de los intereses. Se reconocerá el valor </w:t>
      </w:r>
      <w:r w:rsidR="00955B62">
        <w:rPr>
          <w:rFonts w:ascii="Arial" w:hAnsi="Arial" w:cs="Arial"/>
          <w:lang w:val="es-CO"/>
        </w:rPr>
        <w:t>por intereses moratorios solicitado en el incidente</w:t>
      </w:r>
      <w:r>
        <w:rPr>
          <w:rFonts w:ascii="Arial" w:hAnsi="Arial" w:cs="Arial"/>
          <w:lang w:val="es-CO"/>
        </w:rPr>
        <w:t xml:space="preserve">, por intereses dejados de percibir. </w:t>
      </w:r>
    </w:p>
    <w:p w:rsidR="00DD72E5" w:rsidRDefault="00DD72E5" w:rsidP="003A5676">
      <w:pPr>
        <w:spacing w:line="360" w:lineRule="auto"/>
        <w:jc w:val="both"/>
        <w:rPr>
          <w:rFonts w:ascii="Arial" w:hAnsi="Arial" w:cs="Arial"/>
          <w:lang w:val="es-CO"/>
        </w:rPr>
      </w:pPr>
      <w:r>
        <w:rPr>
          <w:rFonts w:ascii="Arial" w:hAnsi="Arial" w:cs="Arial"/>
          <w:lang w:val="es-CO"/>
        </w:rPr>
        <w:t xml:space="preserve">Por otro lado, las agencias en derecho son la compensación de los gastos de la parte vencedora. Sobre los honorarios de los profesionales, se encuentran acreditados, con la carta del 11 de marzo de 2022 remitida por La Previsora, </w:t>
      </w:r>
      <w:r w:rsidR="00955B62">
        <w:rPr>
          <w:rFonts w:ascii="Arial" w:hAnsi="Arial" w:cs="Arial"/>
          <w:lang w:val="es-CO"/>
        </w:rPr>
        <w:t>en donde se pacta un 15 % del valor recaudado. Como el valor ordenado en esta providencia será de $ 5</w:t>
      </w:r>
      <w:r>
        <w:rPr>
          <w:rFonts w:ascii="Arial" w:hAnsi="Arial" w:cs="Arial"/>
          <w:lang w:val="es-CO"/>
        </w:rPr>
        <w:t>07.255.684</w:t>
      </w:r>
      <w:r w:rsidR="00955B62">
        <w:rPr>
          <w:rFonts w:ascii="Arial" w:hAnsi="Arial" w:cs="Arial"/>
          <w:lang w:val="es-CO"/>
        </w:rPr>
        <w:t xml:space="preserve">, el </w:t>
      </w:r>
      <w:r>
        <w:rPr>
          <w:rFonts w:ascii="Arial" w:hAnsi="Arial" w:cs="Arial"/>
          <w:lang w:val="es-CO"/>
        </w:rPr>
        <w:t>15 %</w:t>
      </w:r>
      <w:r w:rsidR="00955B62">
        <w:rPr>
          <w:rFonts w:ascii="Arial" w:hAnsi="Arial" w:cs="Arial"/>
          <w:lang w:val="es-CO"/>
        </w:rPr>
        <w:t xml:space="preserve"> corresponde a $ </w:t>
      </w:r>
      <w:r>
        <w:rPr>
          <w:rFonts w:ascii="Arial" w:hAnsi="Arial" w:cs="Arial"/>
          <w:lang w:val="es-CO"/>
        </w:rPr>
        <w:t>76.088.353</w:t>
      </w:r>
      <w:r w:rsidR="00955B62">
        <w:rPr>
          <w:rFonts w:ascii="Arial" w:hAnsi="Arial" w:cs="Arial"/>
          <w:lang w:val="es-CO"/>
        </w:rPr>
        <w:t xml:space="preserve">. </w:t>
      </w:r>
      <w:r>
        <w:rPr>
          <w:rFonts w:ascii="Arial" w:hAnsi="Arial" w:cs="Arial"/>
          <w:lang w:val="es-CO"/>
        </w:rPr>
        <w:t xml:space="preserve">  </w:t>
      </w:r>
    </w:p>
    <w:p w:rsidR="00DD72E5" w:rsidRDefault="00DD72E5" w:rsidP="003A5676">
      <w:pPr>
        <w:spacing w:line="360" w:lineRule="auto"/>
        <w:jc w:val="both"/>
        <w:rPr>
          <w:rFonts w:ascii="Arial" w:hAnsi="Arial" w:cs="Arial"/>
          <w:lang w:val="es-CO"/>
        </w:rPr>
      </w:pPr>
      <w:r>
        <w:rPr>
          <w:rFonts w:ascii="Arial" w:hAnsi="Arial" w:cs="Arial"/>
          <w:lang w:val="es-CO"/>
        </w:rPr>
        <w:t>Como hay lugar a condena en costas, será de</w:t>
      </w:r>
      <w:r w:rsidR="00955B62">
        <w:rPr>
          <w:rFonts w:ascii="Arial" w:hAnsi="Arial" w:cs="Arial"/>
          <w:lang w:val="es-CO"/>
        </w:rPr>
        <w:t xml:space="preserve"> 1 SMLMV, es decir, $</w:t>
      </w:r>
      <w:r>
        <w:rPr>
          <w:rFonts w:ascii="Arial" w:hAnsi="Arial" w:cs="Arial"/>
          <w:lang w:val="es-CO"/>
        </w:rPr>
        <w:t xml:space="preserve"> 1.160.000. </w:t>
      </w:r>
    </w:p>
    <w:p w:rsidR="00DD72E5" w:rsidRDefault="00DD72E5" w:rsidP="003A5676">
      <w:pPr>
        <w:spacing w:line="360" w:lineRule="auto"/>
        <w:jc w:val="both"/>
        <w:rPr>
          <w:rFonts w:ascii="Arial" w:hAnsi="Arial" w:cs="Arial"/>
          <w:lang w:val="es-CO"/>
        </w:rPr>
      </w:pPr>
      <w:r>
        <w:rPr>
          <w:rFonts w:ascii="Arial" w:hAnsi="Arial" w:cs="Arial"/>
          <w:lang w:val="es-CO"/>
        </w:rPr>
        <w:t xml:space="preserve">Se </w:t>
      </w:r>
      <w:r w:rsidR="00955B62">
        <w:rPr>
          <w:rFonts w:ascii="Arial" w:hAnsi="Arial" w:cs="Arial"/>
          <w:lang w:val="es-CO"/>
        </w:rPr>
        <w:t>descuenta</w:t>
      </w:r>
      <w:r>
        <w:rPr>
          <w:rFonts w:ascii="Arial" w:hAnsi="Arial" w:cs="Arial"/>
          <w:lang w:val="es-CO"/>
        </w:rPr>
        <w:t xml:space="preserve"> la suma de </w:t>
      </w:r>
      <w:r w:rsidR="00955B62">
        <w:rPr>
          <w:rFonts w:ascii="Arial" w:hAnsi="Arial" w:cs="Arial"/>
          <w:lang w:val="es-CO"/>
        </w:rPr>
        <w:t xml:space="preserve">$ </w:t>
      </w:r>
      <w:r>
        <w:rPr>
          <w:rFonts w:ascii="Arial" w:hAnsi="Arial" w:cs="Arial"/>
          <w:lang w:val="es-CO"/>
        </w:rPr>
        <w:t>1.160.000</w:t>
      </w:r>
      <w:r w:rsidR="00955B62">
        <w:rPr>
          <w:rFonts w:ascii="Arial" w:hAnsi="Arial" w:cs="Arial"/>
          <w:lang w:val="es-CO"/>
        </w:rPr>
        <w:t xml:space="preserve"> al valor de $ </w:t>
      </w:r>
      <w:r w:rsidR="00955B62">
        <w:rPr>
          <w:rFonts w:ascii="Arial" w:hAnsi="Arial" w:cs="Arial"/>
          <w:lang w:val="es-CO"/>
        </w:rPr>
        <w:t>76.088.353</w:t>
      </w:r>
      <w:r>
        <w:rPr>
          <w:rFonts w:ascii="Arial" w:hAnsi="Arial" w:cs="Arial"/>
          <w:lang w:val="es-CO"/>
        </w:rPr>
        <w:t>,</w:t>
      </w:r>
      <w:r w:rsidR="00955B62">
        <w:rPr>
          <w:rFonts w:ascii="Arial" w:hAnsi="Arial" w:cs="Arial"/>
          <w:lang w:val="es-CO"/>
        </w:rPr>
        <w:t xml:space="preserve"> para un total de $</w:t>
      </w:r>
      <w:r>
        <w:rPr>
          <w:rFonts w:ascii="Arial" w:hAnsi="Arial" w:cs="Arial"/>
          <w:lang w:val="es-CO"/>
        </w:rPr>
        <w:t xml:space="preserve"> 74</w:t>
      </w:r>
      <w:r w:rsidR="00955B62">
        <w:rPr>
          <w:rFonts w:ascii="Arial" w:hAnsi="Arial" w:cs="Arial"/>
          <w:lang w:val="es-CO"/>
        </w:rPr>
        <w:t>.</w:t>
      </w:r>
      <w:r>
        <w:rPr>
          <w:rFonts w:ascii="Arial" w:hAnsi="Arial" w:cs="Arial"/>
          <w:lang w:val="es-CO"/>
        </w:rPr>
        <w:t>928</w:t>
      </w:r>
      <w:r w:rsidR="00955B62">
        <w:rPr>
          <w:rFonts w:ascii="Arial" w:hAnsi="Arial" w:cs="Arial"/>
          <w:lang w:val="es-CO"/>
        </w:rPr>
        <w:t>.</w:t>
      </w:r>
      <w:r>
        <w:rPr>
          <w:rFonts w:ascii="Arial" w:hAnsi="Arial" w:cs="Arial"/>
          <w:lang w:val="es-CO"/>
        </w:rPr>
        <w:t>353</w:t>
      </w:r>
      <w:r w:rsidR="00955B62">
        <w:rPr>
          <w:rFonts w:ascii="Arial" w:hAnsi="Arial" w:cs="Arial"/>
          <w:lang w:val="es-CO"/>
        </w:rPr>
        <w:t>,</w:t>
      </w:r>
      <w:r>
        <w:rPr>
          <w:rFonts w:ascii="Arial" w:hAnsi="Arial" w:cs="Arial"/>
          <w:lang w:val="es-CO"/>
        </w:rPr>
        <w:t xml:space="preserve"> valor que se reconocerá</w:t>
      </w:r>
      <w:r w:rsidR="00955B62">
        <w:rPr>
          <w:rFonts w:ascii="Arial" w:hAnsi="Arial" w:cs="Arial"/>
          <w:lang w:val="es-CO"/>
        </w:rPr>
        <w:t>.</w:t>
      </w:r>
      <w:r>
        <w:rPr>
          <w:rFonts w:ascii="Arial" w:hAnsi="Arial" w:cs="Arial"/>
          <w:lang w:val="es-CO"/>
        </w:rPr>
        <w:t xml:space="preserve"> </w:t>
      </w:r>
    </w:p>
    <w:p w:rsidR="00DD72E5" w:rsidRDefault="00DD72E5" w:rsidP="003A5676">
      <w:pPr>
        <w:spacing w:line="360" w:lineRule="auto"/>
        <w:jc w:val="both"/>
        <w:rPr>
          <w:rFonts w:ascii="Arial" w:hAnsi="Arial" w:cs="Arial"/>
          <w:lang w:val="es-CO"/>
        </w:rPr>
      </w:pPr>
      <w:r>
        <w:rPr>
          <w:rFonts w:ascii="Arial" w:hAnsi="Arial" w:cs="Arial"/>
          <w:lang w:val="es-CO"/>
        </w:rPr>
        <w:t xml:space="preserve">Se </w:t>
      </w:r>
      <w:r w:rsidR="002735A1">
        <w:rPr>
          <w:rFonts w:ascii="Arial" w:hAnsi="Arial" w:cs="Arial"/>
          <w:lang w:val="es-CO"/>
        </w:rPr>
        <w:t>ordenará</w:t>
      </w:r>
      <w:r>
        <w:rPr>
          <w:rFonts w:ascii="Arial" w:hAnsi="Arial" w:cs="Arial"/>
          <w:lang w:val="es-CO"/>
        </w:rPr>
        <w:t xml:space="preserve"> el pago de las </w:t>
      </w:r>
      <w:r w:rsidR="002735A1">
        <w:rPr>
          <w:rFonts w:ascii="Arial" w:hAnsi="Arial" w:cs="Arial"/>
          <w:lang w:val="es-CO"/>
        </w:rPr>
        <w:t>anteriores sumas</w:t>
      </w:r>
      <w:r w:rsidR="00955B62">
        <w:rPr>
          <w:rFonts w:ascii="Arial" w:hAnsi="Arial" w:cs="Arial"/>
          <w:lang w:val="es-CO"/>
        </w:rPr>
        <w:t xml:space="preserve"> dentro de los 10 días siguientes a la presente audiencia</w:t>
      </w:r>
      <w:r w:rsidR="002735A1">
        <w:rPr>
          <w:rFonts w:ascii="Arial" w:hAnsi="Arial" w:cs="Arial"/>
          <w:lang w:val="es-CO"/>
        </w:rPr>
        <w:t xml:space="preserve">. </w:t>
      </w:r>
    </w:p>
    <w:p w:rsidR="00955B62" w:rsidRDefault="00DD72E5" w:rsidP="003A5676">
      <w:pPr>
        <w:spacing w:line="360" w:lineRule="auto"/>
        <w:jc w:val="both"/>
        <w:rPr>
          <w:rFonts w:ascii="Arial" w:hAnsi="Arial" w:cs="Arial"/>
          <w:lang w:val="es-CO"/>
        </w:rPr>
      </w:pPr>
      <w:r>
        <w:rPr>
          <w:rFonts w:ascii="Arial" w:hAnsi="Arial" w:cs="Arial"/>
          <w:lang w:val="es-CO"/>
        </w:rPr>
        <w:t xml:space="preserve">Intereses </w:t>
      </w:r>
      <w:r w:rsidR="002735A1">
        <w:rPr>
          <w:rFonts w:ascii="Arial" w:hAnsi="Arial" w:cs="Arial"/>
          <w:lang w:val="es-CO"/>
        </w:rPr>
        <w:t>comerciales</w:t>
      </w:r>
      <w:r w:rsidR="00955B62">
        <w:rPr>
          <w:rFonts w:ascii="Arial" w:hAnsi="Arial" w:cs="Arial"/>
          <w:lang w:val="es-CO"/>
        </w:rPr>
        <w:t xml:space="preserve"> de</w:t>
      </w:r>
      <w:r>
        <w:rPr>
          <w:rFonts w:ascii="Arial" w:hAnsi="Arial" w:cs="Arial"/>
          <w:lang w:val="es-CO"/>
        </w:rPr>
        <w:t xml:space="preserve"> la </w:t>
      </w:r>
      <w:r w:rsidR="002735A1">
        <w:rPr>
          <w:rFonts w:ascii="Arial" w:hAnsi="Arial" w:cs="Arial"/>
          <w:lang w:val="es-CO"/>
        </w:rPr>
        <w:t>SuperFinanciera</w:t>
      </w:r>
      <w:r>
        <w:rPr>
          <w:rFonts w:ascii="Arial" w:hAnsi="Arial" w:cs="Arial"/>
          <w:lang w:val="es-CO"/>
        </w:rPr>
        <w:t xml:space="preserve">, pues la relación </w:t>
      </w:r>
      <w:r w:rsidR="002735A1">
        <w:rPr>
          <w:rFonts w:ascii="Arial" w:hAnsi="Arial" w:cs="Arial"/>
          <w:lang w:val="es-CO"/>
        </w:rPr>
        <w:t xml:space="preserve">contractual es comercial y no civil. </w:t>
      </w:r>
    </w:p>
    <w:p w:rsidR="00955B62" w:rsidRDefault="00955B62" w:rsidP="003A5676">
      <w:pPr>
        <w:spacing w:line="360" w:lineRule="auto"/>
        <w:jc w:val="both"/>
        <w:rPr>
          <w:rFonts w:ascii="Arial" w:hAnsi="Arial" w:cs="Arial"/>
          <w:lang w:val="es-CO"/>
        </w:rPr>
      </w:pPr>
    </w:p>
    <w:p w:rsidR="00955B62" w:rsidRDefault="00955B62" w:rsidP="003A5676">
      <w:pPr>
        <w:spacing w:line="360" w:lineRule="auto"/>
        <w:jc w:val="both"/>
        <w:rPr>
          <w:rFonts w:ascii="Arial" w:hAnsi="Arial" w:cs="Arial"/>
          <w:lang w:val="es-CO"/>
        </w:rPr>
      </w:pPr>
    </w:p>
    <w:p w:rsidR="00955B62" w:rsidRDefault="00955B62" w:rsidP="003A5676">
      <w:pPr>
        <w:spacing w:line="360" w:lineRule="auto"/>
        <w:jc w:val="both"/>
        <w:rPr>
          <w:rFonts w:ascii="Arial" w:hAnsi="Arial" w:cs="Arial"/>
          <w:lang w:val="es-CO"/>
        </w:rPr>
      </w:pPr>
    </w:p>
    <w:p w:rsidR="00955B62" w:rsidRPr="00955B62" w:rsidRDefault="00955B62" w:rsidP="003A5676">
      <w:pPr>
        <w:spacing w:line="360" w:lineRule="auto"/>
        <w:jc w:val="both"/>
        <w:rPr>
          <w:rFonts w:ascii="Arial" w:hAnsi="Arial" w:cs="Arial"/>
          <w:b/>
          <w:lang w:val="es-CO"/>
        </w:rPr>
      </w:pPr>
      <w:r w:rsidRPr="00955B62">
        <w:rPr>
          <w:rFonts w:ascii="Arial" w:hAnsi="Arial" w:cs="Arial"/>
          <w:b/>
          <w:lang w:val="es-CO"/>
        </w:rPr>
        <w:lastRenderedPageBreak/>
        <w:t xml:space="preserve">Decisión. </w:t>
      </w:r>
    </w:p>
    <w:p w:rsidR="00955B62" w:rsidRDefault="00955B62" w:rsidP="003A5676">
      <w:pPr>
        <w:spacing w:line="360" w:lineRule="auto"/>
        <w:jc w:val="both"/>
        <w:rPr>
          <w:rFonts w:ascii="Arial" w:hAnsi="Arial" w:cs="Arial"/>
          <w:lang w:val="es-CO"/>
        </w:rPr>
      </w:pPr>
      <w:r>
        <w:rPr>
          <w:rFonts w:ascii="Arial" w:hAnsi="Arial" w:cs="Arial"/>
          <w:lang w:val="es-CO"/>
        </w:rPr>
        <w:t xml:space="preserve">1. Declarar responsable a Frutas de la Costa S.A. por los perjuicios causados a La Previsora S.A. Compañía de Seguros de acuerdo con lo expuesto en la parte motiva de esta providencia. </w:t>
      </w:r>
    </w:p>
    <w:p w:rsidR="00955B62" w:rsidRDefault="00955B62" w:rsidP="003A5676">
      <w:pPr>
        <w:spacing w:line="360" w:lineRule="auto"/>
        <w:jc w:val="both"/>
        <w:rPr>
          <w:rFonts w:ascii="Arial" w:hAnsi="Arial" w:cs="Arial"/>
          <w:lang w:val="es-CO"/>
        </w:rPr>
      </w:pPr>
      <w:r>
        <w:rPr>
          <w:rFonts w:ascii="Arial" w:hAnsi="Arial" w:cs="Arial"/>
          <w:lang w:val="es-CO"/>
        </w:rPr>
        <w:t xml:space="preserve">2. Condenar a Frutas de la Costa S.A. a pagar por concepto de perjuicios a </w:t>
      </w:r>
      <w:r>
        <w:rPr>
          <w:rFonts w:ascii="Arial" w:hAnsi="Arial" w:cs="Arial"/>
          <w:lang w:val="es-CO"/>
        </w:rPr>
        <w:t>La Previsora S.A. Compañía de Seguros</w:t>
      </w:r>
      <w:r>
        <w:rPr>
          <w:rFonts w:ascii="Arial" w:hAnsi="Arial" w:cs="Arial"/>
          <w:lang w:val="es-CO"/>
        </w:rPr>
        <w:t xml:space="preserve"> la suma de $ 582.184.037, valor que deberá pagarse dentro de los 10 días siguientes a la ejecutoria de esta providencia y en caso de mora sobre este valor se reconocerán intereses a la tasa máxima autorizada por la Superintendencia Financiera. </w:t>
      </w:r>
    </w:p>
    <w:p w:rsidR="00847B5D" w:rsidRDefault="00955B62" w:rsidP="003A5676">
      <w:pPr>
        <w:spacing w:line="360" w:lineRule="auto"/>
        <w:jc w:val="both"/>
        <w:rPr>
          <w:rFonts w:ascii="Arial" w:hAnsi="Arial" w:cs="Arial"/>
          <w:lang w:val="es-CO"/>
        </w:rPr>
      </w:pPr>
      <w:r>
        <w:rPr>
          <w:rFonts w:ascii="Arial" w:hAnsi="Arial" w:cs="Arial"/>
          <w:lang w:val="es-CO"/>
        </w:rPr>
        <w:t xml:space="preserve">3. En lo demás, </w:t>
      </w:r>
      <w:r w:rsidR="00847B5D">
        <w:rPr>
          <w:rFonts w:ascii="Arial" w:hAnsi="Arial" w:cs="Arial"/>
          <w:lang w:val="es-CO"/>
        </w:rPr>
        <w:t xml:space="preserve">se niegan las súplicas del incidente. </w:t>
      </w:r>
    </w:p>
    <w:p w:rsidR="00955B62" w:rsidRDefault="00847B5D" w:rsidP="003A5676">
      <w:pPr>
        <w:spacing w:line="360" w:lineRule="auto"/>
        <w:jc w:val="both"/>
        <w:rPr>
          <w:rFonts w:ascii="Arial" w:hAnsi="Arial" w:cs="Arial"/>
          <w:lang w:val="es-CO"/>
        </w:rPr>
      </w:pPr>
      <w:r>
        <w:rPr>
          <w:rFonts w:ascii="Arial" w:hAnsi="Arial" w:cs="Arial"/>
          <w:lang w:val="es-CO"/>
        </w:rPr>
        <w:t xml:space="preserve">4. Condenar por concepto de costas de este incidente a </w:t>
      </w:r>
      <w:r>
        <w:rPr>
          <w:rFonts w:ascii="Arial" w:hAnsi="Arial" w:cs="Arial"/>
          <w:lang w:val="es-CO"/>
        </w:rPr>
        <w:t xml:space="preserve">Frutas de la Costa S.A. </w:t>
      </w:r>
      <w:r>
        <w:rPr>
          <w:rFonts w:ascii="Arial" w:hAnsi="Arial" w:cs="Arial"/>
          <w:lang w:val="es-CO"/>
        </w:rPr>
        <w:t xml:space="preserve">y a favor de la </w:t>
      </w:r>
      <w:proofErr w:type="spellStart"/>
      <w:r>
        <w:rPr>
          <w:rFonts w:ascii="Arial" w:hAnsi="Arial" w:cs="Arial"/>
          <w:lang w:val="es-CO"/>
        </w:rPr>
        <w:t>incidentalista</w:t>
      </w:r>
      <w:proofErr w:type="spellEnd"/>
      <w:r>
        <w:rPr>
          <w:rFonts w:ascii="Arial" w:hAnsi="Arial" w:cs="Arial"/>
          <w:lang w:val="es-CO"/>
        </w:rPr>
        <w:t xml:space="preserve">, liquídense por Secretaría. Fíjense como agencias en derecho la suma de $ 1.160.000.   </w:t>
      </w:r>
      <w:r w:rsidR="00955B62">
        <w:rPr>
          <w:rFonts w:ascii="Arial" w:hAnsi="Arial" w:cs="Arial"/>
          <w:lang w:val="es-CO"/>
        </w:rPr>
        <w:t xml:space="preserve">      </w:t>
      </w:r>
    </w:p>
    <w:p w:rsidR="00DD72E5" w:rsidRDefault="00DD72E5" w:rsidP="003A5676">
      <w:pPr>
        <w:spacing w:line="360" w:lineRule="auto"/>
        <w:jc w:val="both"/>
        <w:rPr>
          <w:rFonts w:ascii="Arial" w:hAnsi="Arial" w:cs="Arial"/>
          <w:lang w:val="es-CO"/>
        </w:rPr>
      </w:pPr>
    </w:p>
    <w:p w:rsidR="00AD3300" w:rsidRDefault="00DD72E5" w:rsidP="003A5676">
      <w:pPr>
        <w:spacing w:line="360" w:lineRule="auto"/>
        <w:jc w:val="both"/>
        <w:rPr>
          <w:rFonts w:ascii="Arial" w:hAnsi="Arial" w:cs="Arial"/>
          <w:lang w:val="es-CO"/>
        </w:rPr>
      </w:pPr>
      <w:r w:rsidRPr="00AD3300">
        <w:rPr>
          <w:rFonts w:ascii="Arial" w:hAnsi="Arial" w:cs="Arial"/>
          <w:highlight w:val="cyan"/>
          <w:lang w:val="es-CO"/>
        </w:rPr>
        <w:t>El apoderado de la parte incidente presenta recurso de apelación</w:t>
      </w:r>
      <w:r w:rsidR="00AD3300" w:rsidRPr="00AD3300">
        <w:rPr>
          <w:rFonts w:ascii="Arial" w:hAnsi="Arial" w:cs="Arial"/>
          <w:highlight w:val="cyan"/>
          <w:lang w:val="es-CO"/>
        </w:rPr>
        <w:t xml:space="preserve"> contra el auto.</w:t>
      </w:r>
      <w:r w:rsidR="00AD3300">
        <w:rPr>
          <w:rFonts w:ascii="Arial" w:hAnsi="Arial" w:cs="Arial"/>
          <w:lang w:val="es-CO"/>
        </w:rPr>
        <w:t xml:space="preserve"> </w:t>
      </w:r>
      <w:r>
        <w:rPr>
          <w:rFonts w:ascii="Arial" w:hAnsi="Arial" w:cs="Arial"/>
          <w:lang w:val="es-CO"/>
        </w:rPr>
        <w:t xml:space="preserve"> </w:t>
      </w:r>
    </w:p>
    <w:p w:rsidR="002735A1" w:rsidRDefault="00AD3300" w:rsidP="003A5676">
      <w:pPr>
        <w:spacing w:line="360" w:lineRule="auto"/>
        <w:jc w:val="both"/>
        <w:rPr>
          <w:rFonts w:ascii="Arial" w:hAnsi="Arial" w:cs="Arial"/>
          <w:lang w:val="es-CO"/>
        </w:rPr>
      </w:pPr>
      <w:r>
        <w:rPr>
          <w:rFonts w:ascii="Arial" w:hAnsi="Arial" w:cs="Arial"/>
          <w:lang w:val="es-CO"/>
        </w:rPr>
        <w:t xml:space="preserve">Sustenta el recurso así: argumenta que </w:t>
      </w:r>
      <w:r w:rsidR="00DD72E5">
        <w:rPr>
          <w:rFonts w:ascii="Arial" w:hAnsi="Arial" w:cs="Arial"/>
          <w:lang w:val="es-CO"/>
        </w:rPr>
        <w:t xml:space="preserve">no se probó el daño ni el perjuicio. </w:t>
      </w:r>
    </w:p>
    <w:p w:rsidR="002735A1" w:rsidRDefault="002735A1" w:rsidP="003A5676">
      <w:pPr>
        <w:spacing w:line="360" w:lineRule="auto"/>
        <w:jc w:val="both"/>
        <w:rPr>
          <w:rFonts w:ascii="Arial" w:hAnsi="Arial" w:cs="Arial"/>
          <w:lang w:val="es-CO"/>
        </w:rPr>
      </w:pPr>
      <w:r>
        <w:rPr>
          <w:rFonts w:ascii="Arial" w:hAnsi="Arial" w:cs="Arial"/>
          <w:lang w:val="es-CO"/>
        </w:rPr>
        <w:t xml:space="preserve">El perjuicio debe ser directo y cierto, pero La Previsora dijo que la totalidad de sus dineros no son invertidos. El daño debe ser cierto, no hay contrato de inversión, de promesa de compraventa. </w:t>
      </w:r>
    </w:p>
    <w:p w:rsidR="00DD72E5" w:rsidRDefault="002735A1" w:rsidP="003A5676">
      <w:pPr>
        <w:spacing w:line="360" w:lineRule="auto"/>
        <w:jc w:val="both"/>
        <w:rPr>
          <w:rFonts w:ascii="Arial" w:hAnsi="Arial" w:cs="Arial"/>
          <w:lang w:val="es-CO"/>
        </w:rPr>
      </w:pPr>
      <w:r>
        <w:rPr>
          <w:rFonts w:ascii="Arial" w:hAnsi="Arial" w:cs="Arial"/>
          <w:lang w:val="es-CO"/>
        </w:rPr>
        <w:t xml:space="preserve">Sobre el interés moratorio, este depende de la existencia de un crédito y aquí no existe. Se debía utilizar un interés civil y no comercial. El testigo de La Previsora no supo decir en qué se invertía el dinero. </w:t>
      </w:r>
    </w:p>
    <w:p w:rsidR="002735A1" w:rsidRDefault="002735A1" w:rsidP="003A5676">
      <w:pPr>
        <w:spacing w:line="360" w:lineRule="auto"/>
        <w:jc w:val="both"/>
        <w:rPr>
          <w:rFonts w:ascii="Arial" w:hAnsi="Arial" w:cs="Arial"/>
          <w:lang w:val="es-CO"/>
        </w:rPr>
      </w:pPr>
    </w:p>
    <w:p w:rsidR="002735A1" w:rsidRDefault="002735A1" w:rsidP="003A5676">
      <w:pPr>
        <w:spacing w:line="360" w:lineRule="auto"/>
        <w:jc w:val="both"/>
        <w:rPr>
          <w:rFonts w:ascii="Arial" w:hAnsi="Arial" w:cs="Arial"/>
          <w:lang w:val="es-CO"/>
        </w:rPr>
      </w:pPr>
      <w:r w:rsidRPr="00AD3300">
        <w:rPr>
          <w:rFonts w:ascii="Arial" w:hAnsi="Arial" w:cs="Arial"/>
          <w:highlight w:val="cyan"/>
          <w:lang w:val="es-CO"/>
        </w:rPr>
        <w:t>Se corre traslado del recurso.</w:t>
      </w:r>
    </w:p>
    <w:p w:rsidR="00981C4C" w:rsidRDefault="00981C4C" w:rsidP="003A5676">
      <w:pPr>
        <w:spacing w:line="360" w:lineRule="auto"/>
        <w:jc w:val="both"/>
        <w:rPr>
          <w:rFonts w:ascii="Arial" w:hAnsi="Arial" w:cs="Arial"/>
          <w:lang w:val="es-CO"/>
        </w:rPr>
      </w:pPr>
    </w:p>
    <w:p w:rsidR="00AD3300" w:rsidRDefault="00981C4C" w:rsidP="003A5676">
      <w:pPr>
        <w:spacing w:line="360" w:lineRule="auto"/>
        <w:jc w:val="both"/>
        <w:rPr>
          <w:rFonts w:ascii="Arial" w:hAnsi="Arial" w:cs="Arial"/>
          <w:lang w:val="es-CO"/>
        </w:rPr>
      </w:pPr>
      <w:r>
        <w:rPr>
          <w:rFonts w:ascii="Arial" w:hAnsi="Arial" w:cs="Arial"/>
          <w:lang w:val="es-CO"/>
        </w:rPr>
        <w:t xml:space="preserve">Se concede </w:t>
      </w:r>
      <w:r w:rsidR="00AD3300">
        <w:rPr>
          <w:rFonts w:ascii="Arial" w:hAnsi="Arial" w:cs="Arial"/>
          <w:lang w:val="es-CO"/>
        </w:rPr>
        <w:t xml:space="preserve">la apelación </w:t>
      </w:r>
      <w:r>
        <w:rPr>
          <w:rFonts w:ascii="Arial" w:hAnsi="Arial" w:cs="Arial"/>
          <w:lang w:val="es-CO"/>
        </w:rPr>
        <w:t>en el efecto devolutivo</w:t>
      </w:r>
      <w:r w:rsidR="00AD3300">
        <w:rPr>
          <w:rFonts w:ascii="Arial" w:hAnsi="Arial" w:cs="Arial"/>
          <w:lang w:val="es-CO"/>
        </w:rPr>
        <w:t xml:space="preserve"> de acuerdo a los arts. 321</w:t>
      </w:r>
      <w:r>
        <w:rPr>
          <w:rFonts w:ascii="Arial" w:hAnsi="Arial" w:cs="Arial"/>
          <w:lang w:val="es-CO"/>
        </w:rPr>
        <w:t xml:space="preserve">.5 </w:t>
      </w:r>
      <w:r w:rsidR="00AD3300">
        <w:rPr>
          <w:rFonts w:ascii="Arial" w:hAnsi="Arial" w:cs="Arial"/>
          <w:lang w:val="es-CO"/>
        </w:rPr>
        <w:t>y 323.</w:t>
      </w:r>
      <w:r>
        <w:rPr>
          <w:rFonts w:ascii="Arial" w:hAnsi="Arial" w:cs="Arial"/>
          <w:lang w:val="es-CO"/>
        </w:rPr>
        <w:t>3</w:t>
      </w:r>
      <w:r w:rsidR="00AD3300">
        <w:rPr>
          <w:rFonts w:ascii="Arial" w:hAnsi="Arial" w:cs="Arial"/>
          <w:lang w:val="es-CO"/>
        </w:rPr>
        <w:t xml:space="preserve"> </w:t>
      </w:r>
      <w:r>
        <w:rPr>
          <w:rFonts w:ascii="Arial" w:hAnsi="Arial" w:cs="Arial"/>
          <w:lang w:val="es-CO"/>
        </w:rPr>
        <w:t>inc</w:t>
      </w:r>
      <w:r w:rsidR="00AD3300">
        <w:rPr>
          <w:rFonts w:ascii="Arial" w:hAnsi="Arial" w:cs="Arial"/>
          <w:lang w:val="es-CO"/>
        </w:rPr>
        <w:t xml:space="preserve">. 4 del CGP. </w:t>
      </w:r>
    </w:p>
    <w:p w:rsidR="002735A1" w:rsidRDefault="002735A1" w:rsidP="003A5676">
      <w:pPr>
        <w:spacing w:line="360" w:lineRule="auto"/>
        <w:jc w:val="both"/>
        <w:rPr>
          <w:rFonts w:ascii="Arial" w:hAnsi="Arial" w:cs="Arial"/>
          <w:lang w:val="es-CO"/>
        </w:rPr>
      </w:pPr>
      <w:r>
        <w:rPr>
          <w:rFonts w:ascii="Arial" w:hAnsi="Arial" w:cs="Arial"/>
          <w:lang w:val="es-CO"/>
        </w:rPr>
        <w:t xml:space="preserve"> </w:t>
      </w:r>
    </w:p>
    <w:p w:rsidR="00981C4C" w:rsidRDefault="00981C4C" w:rsidP="003A5676">
      <w:pPr>
        <w:spacing w:line="360" w:lineRule="auto"/>
        <w:jc w:val="both"/>
        <w:rPr>
          <w:rFonts w:ascii="Arial" w:hAnsi="Arial" w:cs="Arial"/>
          <w:lang w:val="es-CO"/>
        </w:rPr>
      </w:pPr>
      <w:r>
        <w:rPr>
          <w:rFonts w:ascii="Arial" w:hAnsi="Arial" w:cs="Arial"/>
          <w:lang w:val="es-CO"/>
        </w:rPr>
        <w:lastRenderedPageBreak/>
        <w:t xml:space="preserve">El apoderado de la activa </w:t>
      </w:r>
      <w:r w:rsidR="00AD3300">
        <w:rPr>
          <w:rFonts w:ascii="Arial" w:hAnsi="Arial" w:cs="Arial"/>
          <w:lang w:val="es-CO"/>
        </w:rPr>
        <w:t>solicita un</w:t>
      </w:r>
      <w:r>
        <w:rPr>
          <w:rFonts w:ascii="Arial" w:hAnsi="Arial" w:cs="Arial"/>
          <w:lang w:val="es-CO"/>
        </w:rPr>
        <w:t xml:space="preserve"> control de legalidad y</w:t>
      </w:r>
      <w:r w:rsidR="00AD3300">
        <w:rPr>
          <w:rFonts w:ascii="Arial" w:hAnsi="Arial" w:cs="Arial"/>
          <w:lang w:val="es-CO"/>
        </w:rPr>
        <w:t xml:space="preserve"> pide </w:t>
      </w:r>
      <w:r>
        <w:rPr>
          <w:rFonts w:ascii="Arial" w:hAnsi="Arial" w:cs="Arial"/>
          <w:lang w:val="es-CO"/>
        </w:rPr>
        <w:t xml:space="preserve">que la providencia que resuelve el incidente es por sentencia y no por auto. </w:t>
      </w:r>
    </w:p>
    <w:p w:rsidR="00981C4C" w:rsidRDefault="00981C4C" w:rsidP="003A5676">
      <w:pPr>
        <w:spacing w:line="360" w:lineRule="auto"/>
        <w:jc w:val="both"/>
        <w:rPr>
          <w:rFonts w:ascii="Arial" w:hAnsi="Arial" w:cs="Arial"/>
          <w:lang w:val="es-CO"/>
        </w:rPr>
      </w:pPr>
      <w:bookmarkStart w:id="0" w:name="_GoBack"/>
      <w:bookmarkEnd w:id="0"/>
    </w:p>
    <w:p w:rsidR="003C3DDA" w:rsidRPr="00AD3300" w:rsidRDefault="00981C4C" w:rsidP="003A5676">
      <w:pPr>
        <w:spacing w:line="360" w:lineRule="auto"/>
        <w:jc w:val="both"/>
        <w:rPr>
          <w:rFonts w:ascii="Arial" w:hAnsi="Arial" w:cs="Arial"/>
          <w:b/>
          <w:lang w:val="es-CO"/>
        </w:rPr>
      </w:pPr>
      <w:r w:rsidRPr="00AD3300">
        <w:rPr>
          <w:rFonts w:ascii="Arial" w:hAnsi="Arial" w:cs="Arial"/>
          <w:b/>
          <w:lang w:val="es-CO"/>
        </w:rPr>
        <w:t>Resuelve</w:t>
      </w:r>
      <w:r w:rsidR="00AD3300" w:rsidRPr="00AD3300">
        <w:rPr>
          <w:rFonts w:ascii="Arial" w:hAnsi="Arial" w:cs="Arial"/>
          <w:b/>
          <w:lang w:val="es-CO"/>
        </w:rPr>
        <w:t>.</w:t>
      </w:r>
    </w:p>
    <w:p w:rsidR="00890879" w:rsidRPr="009B72C1" w:rsidRDefault="003C3DDA" w:rsidP="00890EE2">
      <w:pPr>
        <w:spacing w:line="360" w:lineRule="auto"/>
        <w:jc w:val="both"/>
        <w:rPr>
          <w:rFonts w:ascii="Arial" w:hAnsi="Arial" w:cs="Arial"/>
          <w:lang w:val="es-CO"/>
        </w:rPr>
      </w:pPr>
      <w:r>
        <w:rPr>
          <w:rFonts w:ascii="Arial" w:hAnsi="Arial" w:cs="Arial"/>
          <w:lang w:val="es-CO"/>
        </w:rPr>
        <w:t xml:space="preserve">El 283 hace referencia a la condena de la sentencia, por lo tanto, no hay lugar a efectuar un control de legalidad. </w:t>
      </w:r>
    </w:p>
    <w:sectPr w:rsidR="00890879" w:rsidRPr="009B72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B636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36EAC"/>
    <w:multiLevelType w:val="hybridMultilevel"/>
    <w:tmpl w:val="48960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1"/>
  </w:num>
  <w:num w:numId="4">
    <w:abstractNumId w:val="19"/>
  </w:num>
  <w:num w:numId="5">
    <w:abstractNumId w:val="14"/>
  </w:num>
  <w:num w:numId="6">
    <w:abstractNumId w:val="18"/>
  </w:num>
  <w:num w:numId="7">
    <w:abstractNumId w:val="3"/>
  </w:num>
  <w:num w:numId="8">
    <w:abstractNumId w:val="8"/>
  </w:num>
  <w:num w:numId="9">
    <w:abstractNumId w:val="1"/>
  </w:num>
  <w:num w:numId="10">
    <w:abstractNumId w:val="11"/>
  </w:num>
  <w:num w:numId="11">
    <w:abstractNumId w:val="23"/>
  </w:num>
  <w:num w:numId="12">
    <w:abstractNumId w:val="15"/>
  </w:num>
  <w:num w:numId="13">
    <w:abstractNumId w:val="16"/>
  </w:num>
  <w:num w:numId="14">
    <w:abstractNumId w:val="4"/>
  </w:num>
  <w:num w:numId="15">
    <w:abstractNumId w:val="2"/>
  </w:num>
  <w:num w:numId="16">
    <w:abstractNumId w:val="10"/>
  </w:num>
  <w:num w:numId="17">
    <w:abstractNumId w:val="13"/>
  </w:num>
  <w:num w:numId="18">
    <w:abstractNumId w:val="24"/>
  </w:num>
  <w:num w:numId="19">
    <w:abstractNumId w:val="0"/>
  </w:num>
  <w:num w:numId="20">
    <w:abstractNumId w:val="9"/>
  </w:num>
  <w:num w:numId="21">
    <w:abstractNumId w:val="5"/>
  </w:num>
  <w:num w:numId="22">
    <w:abstractNumId w:val="20"/>
  </w:num>
  <w:num w:numId="23">
    <w:abstractNumId w:val="12"/>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1036C"/>
    <w:rsid w:val="00020AFF"/>
    <w:rsid w:val="0002646E"/>
    <w:rsid w:val="00027026"/>
    <w:rsid w:val="000378FF"/>
    <w:rsid w:val="000401E6"/>
    <w:rsid w:val="00043BF8"/>
    <w:rsid w:val="0004703D"/>
    <w:rsid w:val="00051305"/>
    <w:rsid w:val="00061AA9"/>
    <w:rsid w:val="000624F7"/>
    <w:rsid w:val="000637C4"/>
    <w:rsid w:val="0006790D"/>
    <w:rsid w:val="00070E13"/>
    <w:rsid w:val="000732FC"/>
    <w:rsid w:val="000803BB"/>
    <w:rsid w:val="00081032"/>
    <w:rsid w:val="000814A0"/>
    <w:rsid w:val="000832F5"/>
    <w:rsid w:val="0009275A"/>
    <w:rsid w:val="000950CC"/>
    <w:rsid w:val="0009585C"/>
    <w:rsid w:val="000C42E2"/>
    <w:rsid w:val="000C7D0C"/>
    <w:rsid w:val="000D1205"/>
    <w:rsid w:val="000D29A0"/>
    <w:rsid w:val="000D352C"/>
    <w:rsid w:val="000E0DDB"/>
    <w:rsid w:val="000E152D"/>
    <w:rsid w:val="000E55D9"/>
    <w:rsid w:val="000F5E47"/>
    <w:rsid w:val="000F7703"/>
    <w:rsid w:val="00106B37"/>
    <w:rsid w:val="001103F0"/>
    <w:rsid w:val="001117B0"/>
    <w:rsid w:val="001130D1"/>
    <w:rsid w:val="00132359"/>
    <w:rsid w:val="00144612"/>
    <w:rsid w:val="00154B2D"/>
    <w:rsid w:val="00157628"/>
    <w:rsid w:val="001578A1"/>
    <w:rsid w:val="0016773F"/>
    <w:rsid w:val="00167F7F"/>
    <w:rsid w:val="00173069"/>
    <w:rsid w:val="00175225"/>
    <w:rsid w:val="001760CC"/>
    <w:rsid w:val="00176748"/>
    <w:rsid w:val="001874C9"/>
    <w:rsid w:val="00191D09"/>
    <w:rsid w:val="001938FE"/>
    <w:rsid w:val="00193A57"/>
    <w:rsid w:val="00197005"/>
    <w:rsid w:val="001A2E73"/>
    <w:rsid w:val="001A621B"/>
    <w:rsid w:val="001C1CAD"/>
    <w:rsid w:val="001C5574"/>
    <w:rsid w:val="001D05F0"/>
    <w:rsid w:val="001D1D98"/>
    <w:rsid w:val="00205D7D"/>
    <w:rsid w:val="00206F56"/>
    <w:rsid w:val="00216DA7"/>
    <w:rsid w:val="00220F12"/>
    <w:rsid w:val="00221D88"/>
    <w:rsid w:val="00223B8F"/>
    <w:rsid w:val="0022625E"/>
    <w:rsid w:val="00230B7A"/>
    <w:rsid w:val="002310EF"/>
    <w:rsid w:val="00235708"/>
    <w:rsid w:val="002409A4"/>
    <w:rsid w:val="00242D72"/>
    <w:rsid w:val="002505F5"/>
    <w:rsid w:val="00250E14"/>
    <w:rsid w:val="00251943"/>
    <w:rsid w:val="0025647F"/>
    <w:rsid w:val="00257FF3"/>
    <w:rsid w:val="00265C55"/>
    <w:rsid w:val="00271354"/>
    <w:rsid w:val="002735A1"/>
    <w:rsid w:val="00275389"/>
    <w:rsid w:val="00285939"/>
    <w:rsid w:val="002869B8"/>
    <w:rsid w:val="00292196"/>
    <w:rsid w:val="00295D0E"/>
    <w:rsid w:val="00296307"/>
    <w:rsid w:val="0029679A"/>
    <w:rsid w:val="0029794F"/>
    <w:rsid w:val="002A0676"/>
    <w:rsid w:val="002A35A0"/>
    <w:rsid w:val="002A7EC2"/>
    <w:rsid w:val="002B0C37"/>
    <w:rsid w:val="002B32DF"/>
    <w:rsid w:val="002B655D"/>
    <w:rsid w:val="002C016B"/>
    <w:rsid w:val="002C2593"/>
    <w:rsid w:val="002C351B"/>
    <w:rsid w:val="002C4130"/>
    <w:rsid w:val="002C5489"/>
    <w:rsid w:val="002C7A17"/>
    <w:rsid w:val="002D1E49"/>
    <w:rsid w:val="002E34C5"/>
    <w:rsid w:val="002E421A"/>
    <w:rsid w:val="002E5A03"/>
    <w:rsid w:val="002E5C0B"/>
    <w:rsid w:val="002F02CA"/>
    <w:rsid w:val="002F2341"/>
    <w:rsid w:val="003032D6"/>
    <w:rsid w:val="00304B1F"/>
    <w:rsid w:val="0031207E"/>
    <w:rsid w:val="003148E8"/>
    <w:rsid w:val="00315143"/>
    <w:rsid w:val="0031716B"/>
    <w:rsid w:val="00326390"/>
    <w:rsid w:val="00326B20"/>
    <w:rsid w:val="00334862"/>
    <w:rsid w:val="00343FAF"/>
    <w:rsid w:val="00361209"/>
    <w:rsid w:val="003622B4"/>
    <w:rsid w:val="0036291A"/>
    <w:rsid w:val="003665A3"/>
    <w:rsid w:val="00367AB5"/>
    <w:rsid w:val="00373492"/>
    <w:rsid w:val="00374FC0"/>
    <w:rsid w:val="00385E51"/>
    <w:rsid w:val="003871DA"/>
    <w:rsid w:val="00395C18"/>
    <w:rsid w:val="003971B2"/>
    <w:rsid w:val="003A222D"/>
    <w:rsid w:val="003A242D"/>
    <w:rsid w:val="003A29FD"/>
    <w:rsid w:val="003A35B9"/>
    <w:rsid w:val="003A3C9C"/>
    <w:rsid w:val="003A5676"/>
    <w:rsid w:val="003A6A5D"/>
    <w:rsid w:val="003A6B58"/>
    <w:rsid w:val="003B0ADB"/>
    <w:rsid w:val="003C1BA0"/>
    <w:rsid w:val="003C31DF"/>
    <w:rsid w:val="003C3DDA"/>
    <w:rsid w:val="003D01A1"/>
    <w:rsid w:val="003D0E0B"/>
    <w:rsid w:val="003E5A29"/>
    <w:rsid w:val="003F5E2C"/>
    <w:rsid w:val="003F62F7"/>
    <w:rsid w:val="003F7923"/>
    <w:rsid w:val="0040104B"/>
    <w:rsid w:val="0040447F"/>
    <w:rsid w:val="00406E60"/>
    <w:rsid w:val="0041694C"/>
    <w:rsid w:val="00424B2C"/>
    <w:rsid w:val="0042639E"/>
    <w:rsid w:val="00432DDF"/>
    <w:rsid w:val="00442F87"/>
    <w:rsid w:val="00443F11"/>
    <w:rsid w:val="004447F6"/>
    <w:rsid w:val="004465FB"/>
    <w:rsid w:val="00447475"/>
    <w:rsid w:val="0045016B"/>
    <w:rsid w:val="0045222F"/>
    <w:rsid w:val="00454422"/>
    <w:rsid w:val="00461D03"/>
    <w:rsid w:val="00465D0E"/>
    <w:rsid w:val="00467DCE"/>
    <w:rsid w:val="0047354D"/>
    <w:rsid w:val="004839B0"/>
    <w:rsid w:val="00486FCB"/>
    <w:rsid w:val="004924EA"/>
    <w:rsid w:val="004959AC"/>
    <w:rsid w:val="004A0AE5"/>
    <w:rsid w:val="004C3763"/>
    <w:rsid w:val="004C3EA1"/>
    <w:rsid w:val="004D63EB"/>
    <w:rsid w:val="004D690E"/>
    <w:rsid w:val="004E0281"/>
    <w:rsid w:val="004E251C"/>
    <w:rsid w:val="004E6B39"/>
    <w:rsid w:val="004E7CCA"/>
    <w:rsid w:val="004F3B0F"/>
    <w:rsid w:val="004F456C"/>
    <w:rsid w:val="00506FF7"/>
    <w:rsid w:val="00507CE1"/>
    <w:rsid w:val="00524E33"/>
    <w:rsid w:val="00540AC1"/>
    <w:rsid w:val="00543F43"/>
    <w:rsid w:val="00545850"/>
    <w:rsid w:val="005516F1"/>
    <w:rsid w:val="005529E9"/>
    <w:rsid w:val="0055547A"/>
    <w:rsid w:val="0055799D"/>
    <w:rsid w:val="0056080E"/>
    <w:rsid w:val="00566DB0"/>
    <w:rsid w:val="00567687"/>
    <w:rsid w:val="0057074E"/>
    <w:rsid w:val="00575AC8"/>
    <w:rsid w:val="00582078"/>
    <w:rsid w:val="0058367E"/>
    <w:rsid w:val="00586CE6"/>
    <w:rsid w:val="00595782"/>
    <w:rsid w:val="00595F0A"/>
    <w:rsid w:val="005A3A1E"/>
    <w:rsid w:val="005A3D75"/>
    <w:rsid w:val="005A49FC"/>
    <w:rsid w:val="005A59F9"/>
    <w:rsid w:val="005A6F16"/>
    <w:rsid w:val="005B7F3F"/>
    <w:rsid w:val="005C1600"/>
    <w:rsid w:val="005C2C3C"/>
    <w:rsid w:val="005D0DA0"/>
    <w:rsid w:val="005D77E4"/>
    <w:rsid w:val="005E4224"/>
    <w:rsid w:val="005E4B17"/>
    <w:rsid w:val="005F2CC5"/>
    <w:rsid w:val="005F55BF"/>
    <w:rsid w:val="005F769E"/>
    <w:rsid w:val="006002FB"/>
    <w:rsid w:val="00604576"/>
    <w:rsid w:val="00605E13"/>
    <w:rsid w:val="00605E52"/>
    <w:rsid w:val="006076CE"/>
    <w:rsid w:val="0060788B"/>
    <w:rsid w:val="00611207"/>
    <w:rsid w:val="00617826"/>
    <w:rsid w:val="00627498"/>
    <w:rsid w:val="00642C26"/>
    <w:rsid w:val="006526D7"/>
    <w:rsid w:val="0065373C"/>
    <w:rsid w:val="00667AFA"/>
    <w:rsid w:val="00683C13"/>
    <w:rsid w:val="00690A90"/>
    <w:rsid w:val="00691BD2"/>
    <w:rsid w:val="00695017"/>
    <w:rsid w:val="00695BD5"/>
    <w:rsid w:val="006B33D1"/>
    <w:rsid w:val="006B48DD"/>
    <w:rsid w:val="006C0C41"/>
    <w:rsid w:val="006C38FE"/>
    <w:rsid w:val="006C67DF"/>
    <w:rsid w:val="006C7851"/>
    <w:rsid w:val="006D0B54"/>
    <w:rsid w:val="006D1285"/>
    <w:rsid w:val="006D190D"/>
    <w:rsid w:val="006D4733"/>
    <w:rsid w:val="006D66E6"/>
    <w:rsid w:val="006E1BEF"/>
    <w:rsid w:val="006E42D5"/>
    <w:rsid w:val="006E48AC"/>
    <w:rsid w:val="006E51DF"/>
    <w:rsid w:val="006F2D8C"/>
    <w:rsid w:val="006F318E"/>
    <w:rsid w:val="006F4AB1"/>
    <w:rsid w:val="0070021A"/>
    <w:rsid w:val="007006CE"/>
    <w:rsid w:val="00705CDC"/>
    <w:rsid w:val="00710FA4"/>
    <w:rsid w:val="00714D29"/>
    <w:rsid w:val="00715E79"/>
    <w:rsid w:val="007312BF"/>
    <w:rsid w:val="00735695"/>
    <w:rsid w:val="007423B7"/>
    <w:rsid w:val="007555ED"/>
    <w:rsid w:val="007571D8"/>
    <w:rsid w:val="00760789"/>
    <w:rsid w:val="00771F6C"/>
    <w:rsid w:val="00775ACD"/>
    <w:rsid w:val="0077774C"/>
    <w:rsid w:val="00780846"/>
    <w:rsid w:val="0078252A"/>
    <w:rsid w:val="0078709C"/>
    <w:rsid w:val="007871F7"/>
    <w:rsid w:val="007872AE"/>
    <w:rsid w:val="00790636"/>
    <w:rsid w:val="00791AAB"/>
    <w:rsid w:val="007922AB"/>
    <w:rsid w:val="007961A8"/>
    <w:rsid w:val="007A0888"/>
    <w:rsid w:val="007A45D8"/>
    <w:rsid w:val="007B143B"/>
    <w:rsid w:val="007C23FF"/>
    <w:rsid w:val="007C25CB"/>
    <w:rsid w:val="007C3EAC"/>
    <w:rsid w:val="007C4422"/>
    <w:rsid w:val="007C7C3E"/>
    <w:rsid w:val="007D12F7"/>
    <w:rsid w:val="007D6105"/>
    <w:rsid w:val="007D6478"/>
    <w:rsid w:val="007E0565"/>
    <w:rsid w:val="007E4173"/>
    <w:rsid w:val="007E56F2"/>
    <w:rsid w:val="007E6FAB"/>
    <w:rsid w:val="007F1A0F"/>
    <w:rsid w:val="007F27B5"/>
    <w:rsid w:val="0080240F"/>
    <w:rsid w:val="00813628"/>
    <w:rsid w:val="008136CB"/>
    <w:rsid w:val="00813BEE"/>
    <w:rsid w:val="00815353"/>
    <w:rsid w:val="0081623A"/>
    <w:rsid w:val="008209F8"/>
    <w:rsid w:val="00822D1D"/>
    <w:rsid w:val="0083200C"/>
    <w:rsid w:val="008376AB"/>
    <w:rsid w:val="00840788"/>
    <w:rsid w:val="00841210"/>
    <w:rsid w:val="008413DA"/>
    <w:rsid w:val="0084321C"/>
    <w:rsid w:val="0084743C"/>
    <w:rsid w:val="008476AE"/>
    <w:rsid w:val="00847B5D"/>
    <w:rsid w:val="00850090"/>
    <w:rsid w:val="0085290A"/>
    <w:rsid w:val="00853B78"/>
    <w:rsid w:val="00853CBF"/>
    <w:rsid w:val="00854044"/>
    <w:rsid w:val="00865BDF"/>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C718F"/>
    <w:rsid w:val="008D5D0F"/>
    <w:rsid w:val="008E397A"/>
    <w:rsid w:val="008E3BC7"/>
    <w:rsid w:val="008E7A27"/>
    <w:rsid w:val="00901FA4"/>
    <w:rsid w:val="00905069"/>
    <w:rsid w:val="00910CF0"/>
    <w:rsid w:val="00920903"/>
    <w:rsid w:val="00920994"/>
    <w:rsid w:val="00923D6C"/>
    <w:rsid w:val="0093058F"/>
    <w:rsid w:val="0095311B"/>
    <w:rsid w:val="00953450"/>
    <w:rsid w:val="00955B62"/>
    <w:rsid w:val="0095607A"/>
    <w:rsid w:val="0096561B"/>
    <w:rsid w:val="00965EAE"/>
    <w:rsid w:val="00972F5C"/>
    <w:rsid w:val="00973910"/>
    <w:rsid w:val="00973B55"/>
    <w:rsid w:val="009803FA"/>
    <w:rsid w:val="00981B65"/>
    <w:rsid w:val="00981C4C"/>
    <w:rsid w:val="00985259"/>
    <w:rsid w:val="00990636"/>
    <w:rsid w:val="00991376"/>
    <w:rsid w:val="0099193D"/>
    <w:rsid w:val="00992C5E"/>
    <w:rsid w:val="00994B05"/>
    <w:rsid w:val="00995342"/>
    <w:rsid w:val="00995862"/>
    <w:rsid w:val="00995EEB"/>
    <w:rsid w:val="00996A02"/>
    <w:rsid w:val="009A07CD"/>
    <w:rsid w:val="009B14A4"/>
    <w:rsid w:val="009B72C1"/>
    <w:rsid w:val="009B73CF"/>
    <w:rsid w:val="009C0740"/>
    <w:rsid w:val="009C390F"/>
    <w:rsid w:val="009C4D7C"/>
    <w:rsid w:val="009D34B9"/>
    <w:rsid w:val="009D3E17"/>
    <w:rsid w:val="009D4069"/>
    <w:rsid w:val="009D51FF"/>
    <w:rsid w:val="009D6A43"/>
    <w:rsid w:val="009D6D73"/>
    <w:rsid w:val="009D6F43"/>
    <w:rsid w:val="009D7BB0"/>
    <w:rsid w:val="009E1D9D"/>
    <w:rsid w:val="009E3120"/>
    <w:rsid w:val="009F0638"/>
    <w:rsid w:val="009F3557"/>
    <w:rsid w:val="009F4ED3"/>
    <w:rsid w:val="009F5028"/>
    <w:rsid w:val="00A052A5"/>
    <w:rsid w:val="00A06459"/>
    <w:rsid w:val="00A14954"/>
    <w:rsid w:val="00A15B93"/>
    <w:rsid w:val="00A27338"/>
    <w:rsid w:val="00A2797B"/>
    <w:rsid w:val="00A32534"/>
    <w:rsid w:val="00A352E4"/>
    <w:rsid w:val="00A37EA5"/>
    <w:rsid w:val="00A540E8"/>
    <w:rsid w:val="00A541A8"/>
    <w:rsid w:val="00A60380"/>
    <w:rsid w:val="00A6614B"/>
    <w:rsid w:val="00A723EE"/>
    <w:rsid w:val="00A74C9A"/>
    <w:rsid w:val="00A752C5"/>
    <w:rsid w:val="00A75B95"/>
    <w:rsid w:val="00A81405"/>
    <w:rsid w:val="00A828A6"/>
    <w:rsid w:val="00A8488B"/>
    <w:rsid w:val="00A84E4F"/>
    <w:rsid w:val="00A939CB"/>
    <w:rsid w:val="00A954A6"/>
    <w:rsid w:val="00A97EE5"/>
    <w:rsid w:val="00AA08D6"/>
    <w:rsid w:val="00AA60CB"/>
    <w:rsid w:val="00AB14BB"/>
    <w:rsid w:val="00AB5691"/>
    <w:rsid w:val="00AB6CD4"/>
    <w:rsid w:val="00AC2F87"/>
    <w:rsid w:val="00AC7B8D"/>
    <w:rsid w:val="00AD0CAC"/>
    <w:rsid w:val="00AD258F"/>
    <w:rsid w:val="00AD3300"/>
    <w:rsid w:val="00AE3D94"/>
    <w:rsid w:val="00AE5610"/>
    <w:rsid w:val="00AF34DA"/>
    <w:rsid w:val="00AF4CED"/>
    <w:rsid w:val="00AF5BF8"/>
    <w:rsid w:val="00AF6550"/>
    <w:rsid w:val="00B00F39"/>
    <w:rsid w:val="00B016CB"/>
    <w:rsid w:val="00B12A05"/>
    <w:rsid w:val="00B34819"/>
    <w:rsid w:val="00B35F8C"/>
    <w:rsid w:val="00B476F7"/>
    <w:rsid w:val="00B529B3"/>
    <w:rsid w:val="00B63346"/>
    <w:rsid w:val="00B65714"/>
    <w:rsid w:val="00B81310"/>
    <w:rsid w:val="00B81DC6"/>
    <w:rsid w:val="00B824CF"/>
    <w:rsid w:val="00B8290B"/>
    <w:rsid w:val="00B83E97"/>
    <w:rsid w:val="00B84F6D"/>
    <w:rsid w:val="00B90434"/>
    <w:rsid w:val="00B94488"/>
    <w:rsid w:val="00B971FD"/>
    <w:rsid w:val="00BA3A5C"/>
    <w:rsid w:val="00BA5AEE"/>
    <w:rsid w:val="00BA6E36"/>
    <w:rsid w:val="00BA714F"/>
    <w:rsid w:val="00BB7149"/>
    <w:rsid w:val="00BC165F"/>
    <w:rsid w:val="00BD1EE7"/>
    <w:rsid w:val="00BD2F32"/>
    <w:rsid w:val="00BD3116"/>
    <w:rsid w:val="00BD7BC1"/>
    <w:rsid w:val="00BE0B22"/>
    <w:rsid w:val="00BE264F"/>
    <w:rsid w:val="00BE2CB1"/>
    <w:rsid w:val="00BE66EC"/>
    <w:rsid w:val="00BE6BFB"/>
    <w:rsid w:val="00BE7208"/>
    <w:rsid w:val="00BE7885"/>
    <w:rsid w:val="00BF34C7"/>
    <w:rsid w:val="00BF639B"/>
    <w:rsid w:val="00BF69FD"/>
    <w:rsid w:val="00C01335"/>
    <w:rsid w:val="00C068E3"/>
    <w:rsid w:val="00C126FE"/>
    <w:rsid w:val="00C14190"/>
    <w:rsid w:val="00C160B9"/>
    <w:rsid w:val="00C169C5"/>
    <w:rsid w:val="00C17B70"/>
    <w:rsid w:val="00C267DC"/>
    <w:rsid w:val="00C31305"/>
    <w:rsid w:val="00C37A11"/>
    <w:rsid w:val="00C52B87"/>
    <w:rsid w:val="00C6056F"/>
    <w:rsid w:val="00C70440"/>
    <w:rsid w:val="00C71390"/>
    <w:rsid w:val="00C73130"/>
    <w:rsid w:val="00C74501"/>
    <w:rsid w:val="00C76A17"/>
    <w:rsid w:val="00C903EE"/>
    <w:rsid w:val="00C90B35"/>
    <w:rsid w:val="00C92992"/>
    <w:rsid w:val="00C93572"/>
    <w:rsid w:val="00C936F0"/>
    <w:rsid w:val="00C9419A"/>
    <w:rsid w:val="00C958B9"/>
    <w:rsid w:val="00C9720C"/>
    <w:rsid w:val="00CA0825"/>
    <w:rsid w:val="00CA0847"/>
    <w:rsid w:val="00CA1C80"/>
    <w:rsid w:val="00CA317F"/>
    <w:rsid w:val="00CA7C0D"/>
    <w:rsid w:val="00CB2A2B"/>
    <w:rsid w:val="00CB61AD"/>
    <w:rsid w:val="00CD7948"/>
    <w:rsid w:val="00CE0180"/>
    <w:rsid w:val="00CE2F24"/>
    <w:rsid w:val="00CF08DE"/>
    <w:rsid w:val="00CF7915"/>
    <w:rsid w:val="00D041E8"/>
    <w:rsid w:val="00D0572E"/>
    <w:rsid w:val="00D15574"/>
    <w:rsid w:val="00D220CD"/>
    <w:rsid w:val="00D22D81"/>
    <w:rsid w:val="00D325D1"/>
    <w:rsid w:val="00D342D7"/>
    <w:rsid w:val="00D413A7"/>
    <w:rsid w:val="00D45671"/>
    <w:rsid w:val="00D50014"/>
    <w:rsid w:val="00D541AF"/>
    <w:rsid w:val="00D54444"/>
    <w:rsid w:val="00D5500C"/>
    <w:rsid w:val="00D60317"/>
    <w:rsid w:val="00D63A6D"/>
    <w:rsid w:val="00D7250C"/>
    <w:rsid w:val="00D90898"/>
    <w:rsid w:val="00D93BD0"/>
    <w:rsid w:val="00D95721"/>
    <w:rsid w:val="00D979F0"/>
    <w:rsid w:val="00DA1B21"/>
    <w:rsid w:val="00DA5F9F"/>
    <w:rsid w:val="00DB27A9"/>
    <w:rsid w:val="00DB79BC"/>
    <w:rsid w:val="00DC4274"/>
    <w:rsid w:val="00DD5971"/>
    <w:rsid w:val="00DD72E5"/>
    <w:rsid w:val="00DD746B"/>
    <w:rsid w:val="00DE6BFC"/>
    <w:rsid w:val="00DE7084"/>
    <w:rsid w:val="00DE7FEF"/>
    <w:rsid w:val="00DF1269"/>
    <w:rsid w:val="00DF1676"/>
    <w:rsid w:val="00DF2663"/>
    <w:rsid w:val="00DF756B"/>
    <w:rsid w:val="00E05BDA"/>
    <w:rsid w:val="00E05CEA"/>
    <w:rsid w:val="00E06D39"/>
    <w:rsid w:val="00E1110A"/>
    <w:rsid w:val="00E112B0"/>
    <w:rsid w:val="00E1281A"/>
    <w:rsid w:val="00E12881"/>
    <w:rsid w:val="00E147A7"/>
    <w:rsid w:val="00E304D3"/>
    <w:rsid w:val="00E416C7"/>
    <w:rsid w:val="00E476DD"/>
    <w:rsid w:val="00E50337"/>
    <w:rsid w:val="00E508F1"/>
    <w:rsid w:val="00E50E98"/>
    <w:rsid w:val="00E50F65"/>
    <w:rsid w:val="00E53D3F"/>
    <w:rsid w:val="00E60A9D"/>
    <w:rsid w:val="00E64638"/>
    <w:rsid w:val="00E660C2"/>
    <w:rsid w:val="00E6757E"/>
    <w:rsid w:val="00E7018C"/>
    <w:rsid w:val="00E70A43"/>
    <w:rsid w:val="00E71A49"/>
    <w:rsid w:val="00E81275"/>
    <w:rsid w:val="00E834BA"/>
    <w:rsid w:val="00E841BD"/>
    <w:rsid w:val="00E95668"/>
    <w:rsid w:val="00E95FB0"/>
    <w:rsid w:val="00EA0277"/>
    <w:rsid w:val="00EA148C"/>
    <w:rsid w:val="00EA56F6"/>
    <w:rsid w:val="00EA5F16"/>
    <w:rsid w:val="00EB178F"/>
    <w:rsid w:val="00EB233B"/>
    <w:rsid w:val="00EB299E"/>
    <w:rsid w:val="00EB2A1C"/>
    <w:rsid w:val="00EB3E93"/>
    <w:rsid w:val="00EB6522"/>
    <w:rsid w:val="00EB7AB9"/>
    <w:rsid w:val="00EC1B6E"/>
    <w:rsid w:val="00ED0DAB"/>
    <w:rsid w:val="00ED3534"/>
    <w:rsid w:val="00ED51AC"/>
    <w:rsid w:val="00ED74B4"/>
    <w:rsid w:val="00EE045B"/>
    <w:rsid w:val="00EE1E47"/>
    <w:rsid w:val="00EF786F"/>
    <w:rsid w:val="00F0066E"/>
    <w:rsid w:val="00F03262"/>
    <w:rsid w:val="00F054DD"/>
    <w:rsid w:val="00F06549"/>
    <w:rsid w:val="00F1100E"/>
    <w:rsid w:val="00F148E1"/>
    <w:rsid w:val="00F2078F"/>
    <w:rsid w:val="00F248E8"/>
    <w:rsid w:val="00F25B1B"/>
    <w:rsid w:val="00F26B47"/>
    <w:rsid w:val="00F3173A"/>
    <w:rsid w:val="00F358E6"/>
    <w:rsid w:val="00F50531"/>
    <w:rsid w:val="00F518A1"/>
    <w:rsid w:val="00F51E1B"/>
    <w:rsid w:val="00F604AE"/>
    <w:rsid w:val="00F615C9"/>
    <w:rsid w:val="00F67970"/>
    <w:rsid w:val="00F75158"/>
    <w:rsid w:val="00F77064"/>
    <w:rsid w:val="00F771AA"/>
    <w:rsid w:val="00F809D1"/>
    <w:rsid w:val="00F8687D"/>
    <w:rsid w:val="00F90282"/>
    <w:rsid w:val="00F92985"/>
    <w:rsid w:val="00FA4602"/>
    <w:rsid w:val="00FA5BFC"/>
    <w:rsid w:val="00FA74BA"/>
    <w:rsid w:val="00FB2502"/>
    <w:rsid w:val="00FB51BB"/>
    <w:rsid w:val="00FB6335"/>
    <w:rsid w:val="00FC0AC2"/>
    <w:rsid w:val="00FC47E0"/>
    <w:rsid w:val="00FD1945"/>
    <w:rsid w:val="00FD3FA1"/>
    <w:rsid w:val="00FD59AA"/>
    <w:rsid w:val="00FD703F"/>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250F"/>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CA7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5124</TotalTime>
  <Pages>7</Pages>
  <Words>1207</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228</cp:revision>
  <dcterms:created xsi:type="dcterms:W3CDTF">2022-07-06T02:29:00Z</dcterms:created>
  <dcterms:modified xsi:type="dcterms:W3CDTF">2023-11-09T16:47:00Z</dcterms:modified>
</cp:coreProperties>
</file>