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A00AEB" w:rsidRDefault="00906282" w:rsidP="00D95263">
      <w:pPr>
        <w:jc w:val="center"/>
        <w:outlineLvl w:val="0"/>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00AEB">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A00AEB" w:rsidRDefault="00375DE6" w:rsidP="00375DE6">
      <w:pPr>
        <w:spacing w:after="0"/>
        <w:rPr>
          <w:rFonts w:ascii="Century Gothic" w:hAnsi="Century Gothic"/>
          <w:b/>
        </w:rPr>
      </w:pPr>
    </w:p>
    <w:p w14:paraId="0B47FE9D" w14:textId="4037FB09"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Presentación del Informe</w:t>
      </w:r>
      <w:r w:rsidRPr="00A00AEB">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18T00:00:00Z">
            <w:dateFormat w:val="dd/MM/yyyy"/>
            <w:lid w:val="es-CO"/>
            <w:storeMappedDataAs w:val="dateTime"/>
            <w:calendar w:val="gregorian"/>
          </w:date>
        </w:sdtPr>
        <w:sdtEndPr>
          <w:rPr>
            <w:rStyle w:val="Fuentedeprrafopredeter"/>
            <w:rFonts w:asciiTheme="minorHAnsi" w:hAnsiTheme="minorHAnsi"/>
            <w:b/>
            <w:caps w:val="0"/>
          </w:rPr>
        </w:sdtEndPr>
        <w:sdtContent>
          <w:r w:rsidR="00B74574">
            <w:rPr>
              <w:rStyle w:val="Estilo3"/>
              <w:b w:val="0"/>
              <w:bCs/>
            </w:rPr>
            <w:t>1</w:t>
          </w:r>
          <w:r w:rsidR="00790A1E" w:rsidRPr="00A00AEB">
            <w:rPr>
              <w:rStyle w:val="Estilo3"/>
              <w:b w:val="0"/>
              <w:bCs/>
            </w:rPr>
            <w:t>8/08/2024</w:t>
          </w:r>
        </w:sdtContent>
      </w:sdt>
      <w:r w:rsidRPr="00A00AEB">
        <w:rPr>
          <w:rFonts w:ascii="Century Gothic" w:hAnsi="Century Gothic"/>
        </w:rPr>
        <w:t xml:space="preserve">                                       </w:t>
      </w:r>
    </w:p>
    <w:p w14:paraId="63FF7917" w14:textId="4FD7F159" w:rsidR="00906282" w:rsidRPr="00A00AEB" w:rsidRDefault="00906282" w:rsidP="00906282">
      <w:pPr>
        <w:spacing w:line="360" w:lineRule="auto"/>
        <w:rPr>
          <w:rFonts w:ascii="Century Gothic" w:hAnsi="Century Gothic"/>
        </w:rPr>
      </w:pPr>
      <w:r w:rsidRPr="00A00AEB">
        <w:rPr>
          <w:rFonts w:ascii="Century Gothic" w:hAnsi="Century Gothic"/>
          <w:b/>
        </w:rPr>
        <w:t>SGC</w:t>
      </w:r>
      <w:r w:rsidRPr="00A00AEB">
        <w:rPr>
          <w:rFonts w:ascii="Century Gothic" w:hAnsi="Century Gothic"/>
        </w:rPr>
        <w:t xml:space="preserve">: </w:t>
      </w:r>
      <w:r w:rsidR="008122C9" w:rsidRPr="00A00AEB">
        <w:rPr>
          <w:rFonts w:ascii="Century Gothic" w:hAnsi="Century Gothic"/>
          <w:color w:val="000000"/>
          <w:shd w:val="clear" w:color="auto" w:fill="FFFFFF"/>
        </w:rPr>
        <w:t> </w:t>
      </w:r>
      <w:r w:rsidR="009210F0">
        <w:rPr>
          <w:rFonts w:ascii="Century Gothic" w:hAnsi="Century Gothic"/>
          <w:color w:val="000000"/>
          <w:shd w:val="clear" w:color="auto" w:fill="FFFFFF"/>
        </w:rPr>
        <w:t>9591</w:t>
      </w:r>
    </w:p>
    <w:p w14:paraId="5AD56010" w14:textId="3A16AAE5" w:rsidR="00906282" w:rsidRPr="00A00AEB" w:rsidRDefault="00906282" w:rsidP="00906282">
      <w:pPr>
        <w:spacing w:line="360" w:lineRule="auto"/>
        <w:rPr>
          <w:rFonts w:ascii="Century Gothic" w:hAnsi="Century Gothic"/>
        </w:rPr>
      </w:pPr>
      <w:r w:rsidRPr="00A00AEB">
        <w:rPr>
          <w:rFonts w:ascii="Century Gothic" w:hAnsi="Century Gothic"/>
          <w:b/>
        </w:rPr>
        <w:t>Despacho Judicial</w:t>
      </w:r>
      <w:r w:rsidRPr="00A00AEB">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9933C4">
            <w:rPr>
              <w:rStyle w:val="Estilo3"/>
              <w:b w:val="0"/>
            </w:rPr>
            <w:t>6</w:t>
          </w:r>
        </w:sdtContent>
      </w:sdt>
      <w:r w:rsidRPr="00A00AEB">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9933C4">
            <w:rPr>
              <w:rStyle w:val="Estilo3"/>
              <w:b w:val="0"/>
            </w:rPr>
            <w:t>CIVIL DEL CIRCUITO</w:t>
          </w:r>
        </w:sdtContent>
      </w:sdt>
      <w:r w:rsidRPr="00A00AEB">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9933C4">
            <w:rPr>
              <w:rStyle w:val="Estilo3"/>
              <w:b w:val="0"/>
            </w:rPr>
            <w:t>CARTAGENA</w:t>
          </w:r>
        </w:sdtContent>
      </w:sdt>
    </w:p>
    <w:p w14:paraId="46D3378E" w14:textId="621215E1" w:rsidR="00906282" w:rsidRPr="00A00AEB" w:rsidRDefault="00906282" w:rsidP="00D95263">
      <w:pPr>
        <w:spacing w:line="360" w:lineRule="auto"/>
        <w:outlineLvl w:val="0"/>
        <w:rPr>
          <w:rFonts w:ascii="Century Gothic" w:hAnsi="Century Gothic"/>
        </w:rPr>
      </w:pPr>
      <w:r w:rsidRPr="00A00AEB">
        <w:rPr>
          <w:rFonts w:ascii="Century Gothic" w:hAnsi="Century Gothic"/>
          <w:b/>
        </w:rPr>
        <w:t>Radicado</w:t>
      </w:r>
      <w:r w:rsidRPr="00A00AEB">
        <w:rPr>
          <w:rFonts w:ascii="Century Gothic" w:hAnsi="Century Gothic"/>
        </w:rPr>
        <w:t>:</w:t>
      </w:r>
      <w:sdt>
        <w:sdtPr>
          <w:rPr>
            <w:rFonts w:ascii="Century Gothic" w:hAnsi="Century Gothic" w:cs="Arial"/>
            <w:b/>
            <w:bCs/>
          </w:rPr>
          <w:alias w:val="RADICADO"/>
          <w:tag w:val="RADICADO"/>
          <w:id w:val="-31735373"/>
          <w:placeholder>
            <w:docPart w:val="2A04DD0832104E9B9C6DF4825D091F15"/>
          </w:placeholder>
          <w:text/>
        </w:sdtPr>
        <w:sdtContent>
          <w:r w:rsidR="009933C4" w:rsidRPr="009933C4">
            <w:rPr>
              <w:rFonts w:ascii="Century Gothic" w:hAnsi="Century Gothic" w:cs="Arial"/>
              <w:b/>
              <w:bCs/>
            </w:rPr>
            <w:t>13001310300620220031100</w:t>
          </w:r>
        </w:sdtContent>
      </w:sdt>
    </w:p>
    <w:p w14:paraId="59898224" w14:textId="7A78DD82" w:rsidR="00726FDE" w:rsidRPr="00A00AEB" w:rsidRDefault="00906282" w:rsidP="00790A1E">
      <w:pPr>
        <w:spacing w:line="360" w:lineRule="auto"/>
        <w:jc w:val="both"/>
        <w:rPr>
          <w:rStyle w:val="Estilo3"/>
          <w:b w:val="0"/>
          <w:bCs/>
        </w:rPr>
      </w:pPr>
      <w:r w:rsidRPr="00A00AEB">
        <w:rPr>
          <w:rFonts w:ascii="Century Gothic" w:hAnsi="Century Gothic"/>
          <w:b/>
        </w:rPr>
        <w:t>Demandante</w:t>
      </w:r>
      <w:r w:rsidRPr="00A00AEB">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260D46">
            <w:rPr>
              <w:rStyle w:val="Estilo3"/>
              <w:b w:val="0"/>
              <w:bCs/>
            </w:rPr>
            <w:t xml:space="preserve">CLAUDIA ROSA PADAUI ORTIZ, CLAUDIA PATRICIA TINOCO, AUGUSTO ENRIQUE TINOCO, CLAUDINE CABRALES FLOREZ Y RAQUEL MARIA TINOCO. </w:t>
          </w:r>
        </w:sdtContent>
      </w:sdt>
    </w:p>
    <w:p w14:paraId="1A4DA51E" w14:textId="5DF57DE5" w:rsidR="00906282" w:rsidRPr="00A00AEB" w:rsidRDefault="00906282" w:rsidP="00AF2A13">
      <w:pPr>
        <w:spacing w:line="360" w:lineRule="auto"/>
        <w:jc w:val="both"/>
        <w:rPr>
          <w:rFonts w:ascii="Century Gothic" w:hAnsi="Century Gothic"/>
        </w:rPr>
      </w:pPr>
      <w:r w:rsidRPr="00A00AEB">
        <w:rPr>
          <w:rFonts w:ascii="Century Gothic" w:hAnsi="Century Gothic"/>
          <w:b/>
        </w:rPr>
        <w:t>Demandado</w:t>
      </w:r>
      <w:r w:rsidRPr="00A00AEB">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FF681D" w:rsidRPr="00FF681D">
            <w:rPr>
              <w:rStyle w:val="Estilo3"/>
              <w:b w:val="0"/>
              <w:bCs/>
            </w:rPr>
            <w:t>EPS SANITAS INTERNACIONAL S.A.S., SOCIEDAD CLINICA ESTRIOS S.A.S., SOCIEDAD LITOTRICIA S.A., SOCIEDAD PROMOTORA BOCAGRANDE S.A., LITO LUIS PORTO</w:t>
          </w:r>
          <w:r w:rsidR="00C21AD4">
            <w:rPr>
              <w:rStyle w:val="Estilo3"/>
              <w:b w:val="0"/>
              <w:bCs/>
            </w:rPr>
            <w:t xml:space="preserve"> </w:t>
          </w:r>
          <w:r w:rsidR="00FF681D" w:rsidRPr="00FF681D">
            <w:rPr>
              <w:rStyle w:val="Estilo3"/>
              <w:b w:val="0"/>
              <w:bCs/>
            </w:rPr>
            <w:t>PORTO, CARLOS FERNANDO MARRUGO PAZ</w:t>
          </w:r>
        </w:sdtContent>
      </w:sdt>
    </w:p>
    <w:p w14:paraId="2FC4428C" w14:textId="7AD18BF7" w:rsidR="00906282" w:rsidRPr="00A00AEB" w:rsidRDefault="00906282" w:rsidP="00906282">
      <w:pPr>
        <w:spacing w:line="360" w:lineRule="auto"/>
        <w:rPr>
          <w:rFonts w:ascii="Century Gothic" w:hAnsi="Century Gothic"/>
        </w:rPr>
      </w:pPr>
      <w:r w:rsidRPr="00A00AEB">
        <w:rPr>
          <w:rFonts w:ascii="Century Gothic" w:hAnsi="Century Gothic"/>
          <w:b/>
        </w:rPr>
        <w:t>Llamados en Garantía</w:t>
      </w:r>
      <w:r w:rsidRPr="00A00AEB">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B555F7" w:rsidRPr="00A00AEB">
            <w:rPr>
              <w:rStyle w:val="Estilo3"/>
              <w:b w:val="0"/>
            </w:rPr>
            <w:t>LA EQUIDAD SEGUROS GENERALES</w:t>
          </w:r>
        </w:sdtContent>
      </w:sdt>
    </w:p>
    <w:p w14:paraId="1739B5C0" w14:textId="0308BCAD" w:rsidR="00906282" w:rsidRPr="00A00AEB" w:rsidRDefault="00906282" w:rsidP="00D95263">
      <w:pPr>
        <w:spacing w:line="360" w:lineRule="auto"/>
        <w:outlineLvl w:val="0"/>
        <w:rPr>
          <w:rFonts w:ascii="Century Gothic" w:hAnsi="Century Gothic"/>
        </w:rPr>
      </w:pPr>
      <w:r w:rsidRPr="00A00AEB">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167D8" w:rsidRPr="00A00AEB">
            <w:rPr>
              <w:rStyle w:val="Estilo3"/>
              <w:b w:val="0"/>
            </w:rPr>
            <w:t>LLAMADOS EN GARANTÍA</w:t>
          </w:r>
        </w:sdtContent>
      </w:sdt>
    </w:p>
    <w:p w14:paraId="1BFE45C4" w14:textId="0E79459F" w:rsidR="00906282" w:rsidRPr="00A00AEB" w:rsidRDefault="00906282" w:rsidP="00D95263">
      <w:pPr>
        <w:spacing w:line="360" w:lineRule="auto"/>
        <w:outlineLvl w:val="0"/>
        <w:rPr>
          <w:rFonts w:ascii="Century Gothic" w:hAnsi="Century Gothic"/>
        </w:rPr>
      </w:pPr>
      <w:r w:rsidRPr="00A00AEB">
        <w:rPr>
          <w:rFonts w:ascii="Century Gothic" w:hAnsi="Century Gothic"/>
          <w:b/>
        </w:rPr>
        <w:t>Fecha Notificación</w:t>
      </w:r>
      <w:r w:rsidRPr="00A00AEB">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8-15T00:00:00Z">
            <w:dateFormat w:val="dd/MM/yyyy"/>
            <w:lid w:val="es-CO"/>
            <w:storeMappedDataAs w:val="dateTime"/>
            <w:calendar w:val="gregorian"/>
          </w:date>
        </w:sdtPr>
        <w:sdtEndPr>
          <w:rPr>
            <w:rStyle w:val="Fuentedeprrafopredeter"/>
            <w:rFonts w:asciiTheme="minorHAnsi" w:hAnsiTheme="minorHAnsi"/>
            <w:b/>
            <w:caps w:val="0"/>
          </w:rPr>
        </w:sdtEndPr>
        <w:sdtContent>
          <w:r w:rsidR="00FF681D">
            <w:rPr>
              <w:rStyle w:val="Estilo3"/>
              <w:b w:val="0"/>
            </w:rPr>
            <w:t>15/08/2024</w:t>
          </w:r>
        </w:sdtContent>
      </w:sdt>
    </w:p>
    <w:p w14:paraId="04C740D4" w14:textId="2304A25D" w:rsidR="00906282" w:rsidRPr="00A00AEB" w:rsidRDefault="00906282" w:rsidP="00906282">
      <w:pPr>
        <w:spacing w:line="360" w:lineRule="auto"/>
        <w:rPr>
          <w:rFonts w:ascii="Century Gothic" w:hAnsi="Century Gothic"/>
        </w:rPr>
      </w:pPr>
      <w:r w:rsidRPr="00A00AEB">
        <w:rPr>
          <w:rFonts w:ascii="Century Gothic" w:hAnsi="Century Gothic"/>
          <w:b/>
        </w:rPr>
        <w:t>Fecha fin Término</w:t>
      </w:r>
      <w:r w:rsidRPr="00A00AEB">
        <w:rPr>
          <w:rFonts w:ascii="Century Gothic" w:hAnsi="Century Gothic"/>
        </w:rPr>
        <w:t xml:space="preserve">: </w:t>
      </w:r>
      <w:sdt>
        <w:sdtPr>
          <w:rPr>
            <w:rFonts w:ascii="Century Gothic" w:hAnsi="Century Gothic"/>
          </w:rPr>
          <w:id w:val="-62026635"/>
          <w:placeholder>
            <w:docPart w:val="058B5A2D546346938DE7ED9DE620076B"/>
          </w:placeholder>
          <w:date w:fullDate="2024-09-13T00:00:00Z">
            <w:dateFormat w:val="dd/MM/yyyy"/>
            <w:lid w:val="es-CO"/>
            <w:storeMappedDataAs w:val="dateTime"/>
            <w:calendar w:val="gregorian"/>
          </w:date>
        </w:sdtPr>
        <w:sdtContent>
          <w:r w:rsidR="00260D46">
            <w:rPr>
              <w:rFonts w:ascii="Century Gothic" w:hAnsi="Century Gothic"/>
            </w:rPr>
            <w:t>13</w:t>
          </w:r>
          <w:r w:rsidR="00260D46" w:rsidRPr="00A00AEB">
            <w:rPr>
              <w:rFonts w:ascii="Century Gothic" w:hAnsi="Century Gothic"/>
            </w:rPr>
            <w:t>/0</w:t>
          </w:r>
          <w:r w:rsidR="00260D46">
            <w:rPr>
              <w:rFonts w:ascii="Century Gothic" w:hAnsi="Century Gothic"/>
            </w:rPr>
            <w:t>9</w:t>
          </w:r>
          <w:r w:rsidR="00260D46" w:rsidRPr="00A00AEB">
            <w:rPr>
              <w:rFonts w:ascii="Century Gothic" w:hAnsi="Century Gothic"/>
            </w:rPr>
            <w:t>/2024</w:t>
          </w:r>
        </w:sdtContent>
      </w:sdt>
    </w:p>
    <w:p w14:paraId="6B0EC993" w14:textId="45E7D0E6" w:rsidR="00906282" w:rsidRPr="00A00AEB" w:rsidRDefault="00906282" w:rsidP="00906282">
      <w:pPr>
        <w:spacing w:line="360" w:lineRule="auto"/>
        <w:rPr>
          <w:rFonts w:ascii="Century Gothic" w:hAnsi="Century Gothic"/>
        </w:rPr>
      </w:pPr>
      <w:r w:rsidRPr="00A00AEB">
        <w:rPr>
          <w:rFonts w:ascii="Century Gothic" w:hAnsi="Century Gothic"/>
          <w:b/>
        </w:rPr>
        <w:t>Fecha Siniestro</w:t>
      </w:r>
      <w:r w:rsidRPr="00A00AEB">
        <w:rPr>
          <w:rFonts w:ascii="Century Gothic" w:hAnsi="Century Gothic"/>
        </w:rPr>
        <w:t xml:space="preserve">:  </w:t>
      </w:r>
      <w:sdt>
        <w:sdtPr>
          <w:rPr>
            <w:rStyle w:val="Estilo3"/>
            <w:b w:val="0"/>
          </w:rPr>
          <w:alias w:val="FECHA"/>
          <w:tag w:val="FEHCA"/>
          <w:id w:val="1298109440"/>
          <w:placeholder>
            <w:docPart w:val="7B79A3F3CDAC4E69BBE8C2888BCC0E7C"/>
          </w:placeholder>
          <w:date w:fullDate="2018-08-22T00:00:00Z">
            <w:dateFormat w:val="dd/MM/yyyy"/>
            <w:lid w:val="es-CO"/>
            <w:storeMappedDataAs w:val="dateTime"/>
            <w:calendar w:val="gregorian"/>
          </w:date>
        </w:sdtPr>
        <w:sdtEndPr>
          <w:rPr>
            <w:rStyle w:val="Fuentedeprrafopredeter"/>
            <w:rFonts w:asciiTheme="minorHAnsi" w:hAnsiTheme="minorHAnsi"/>
            <w:b/>
            <w:caps w:val="0"/>
          </w:rPr>
        </w:sdtEndPr>
        <w:sdtContent>
          <w:r w:rsidR="00F95B0F">
            <w:rPr>
              <w:rStyle w:val="Estilo3"/>
              <w:b w:val="0"/>
            </w:rPr>
            <w:t>22/08/2018</w:t>
          </w:r>
        </w:sdtContent>
      </w:sdt>
    </w:p>
    <w:p w14:paraId="3157EDF6" w14:textId="2DEBB59A" w:rsidR="00906282" w:rsidRPr="00A00AEB" w:rsidRDefault="00906282" w:rsidP="0070538E">
      <w:pPr>
        <w:spacing w:line="360" w:lineRule="auto"/>
        <w:jc w:val="both"/>
        <w:rPr>
          <w:rFonts w:ascii="Century Gothic" w:hAnsi="Century Gothic"/>
          <w:color w:val="FF0000"/>
        </w:rPr>
      </w:pPr>
      <w:r w:rsidRPr="00A00AEB">
        <w:rPr>
          <w:rFonts w:ascii="Century Gothic" w:hAnsi="Century Gothic"/>
          <w:b/>
        </w:rPr>
        <w:t>Hechos</w:t>
      </w:r>
      <w:r w:rsidRPr="00A00AEB">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9933C4" w:rsidRPr="009933C4">
            <w:rPr>
              <w:rFonts w:ascii="Century Gothic" w:hAnsi="Century Gothic"/>
            </w:rPr>
            <w:t xml:space="preserve">1. El señor Augusto Tinoco Garcés (Q.E.P.D) fue diagnosticado con adenocarcinoma de próstata, y tras la realización de una biopsia transrectal, se determinó que requería una prostatectomía radical más linfadenectomía pélvica. Sin embargo, no se documentó la firma del consentimiento informado del paciente. 2. Durante la cirugía, realizada por el doctor Carlos Fernando Marrugo Paz, se perforó el intestino del paciente, pues se indica que el galeno no tomó las precauciones necesarias, como detener la cirugía al encontrar adherencias intestinales. 3. La perforación del intestino causó una serie de complicaciones graves, incluyendo una fístula entero-cutánea y una peritonitis, lo que desembocó posteriormente en una sepsis y el fallecimiento del señor Tinoco Garcés el 22 de </w:t>
          </w:r>
          <w:r w:rsidR="009933C4" w:rsidRPr="009933C4">
            <w:rPr>
              <w:rFonts w:ascii="Century Gothic" w:hAnsi="Century Gothic"/>
            </w:rPr>
            <w:lastRenderedPageBreak/>
            <w:t>agosto de 2018. 4. En el manejo postoperatorio se tardó en involucrar a un especialista en infectología, lo que contribuyó al deterioro del estado de salud del paciente. Además, hubo demora en trasladar al señor Tinoco Garcés a la UCI, junto con la falta de recursos adecuados. 5. La clínica Estrios y los hospitales involucrados no contaban con la habilitación en servicios de salud requerida para ofrecer los tratamientos que realizaron. Además, las condiciones de los equipos y la infraestructura fueron inadecuadas.</w:t>
          </w:r>
        </w:sdtContent>
      </w:sdt>
    </w:p>
    <w:p w14:paraId="1550BD07" w14:textId="0E63C117" w:rsidR="00906282" w:rsidRPr="00A00AEB" w:rsidRDefault="00906282" w:rsidP="00D95263">
      <w:pPr>
        <w:spacing w:line="360" w:lineRule="auto"/>
        <w:outlineLvl w:val="0"/>
        <w:rPr>
          <w:rFonts w:ascii="Century Gothic" w:hAnsi="Century Gothic"/>
        </w:rPr>
      </w:pPr>
      <w:r w:rsidRPr="00A00AEB">
        <w:rPr>
          <w:rFonts w:ascii="Century Gothic" w:hAnsi="Century Gothic"/>
          <w:b/>
        </w:rPr>
        <w:t>Audiencia Prejudicial</w:t>
      </w:r>
      <w:r w:rsidRPr="00A00AEB">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74574">
            <w:rPr>
              <w:rStyle w:val="Estilo3"/>
              <w:b w:val="0"/>
            </w:rPr>
            <w:t>NO</w:t>
          </w:r>
        </w:sdtContent>
      </w:sdt>
    </w:p>
    <w:p w14:paraId="469A087A" w14:textId="6F91BA98" w:rsidR="00E20E95" w:rsidRPr="00A00AEB" w:rsidRDefault="00906282" w:rsidP="009933C4">
      <w:pPr>
        <w:spacing w:line="360" w:lineRule="auto"/>
        <w:jc w:val="both"/>
        <w:rPr>
          <w:rFonts w:ascii="Century Gothic" w:hAnsi="Century Gothic"/>
        </w:rPr>
      </w:pPr>
      <w:r w:rsidRPr="00A00AEB">
        <w:rPr>
          <w:rFonts w:ascii="Century Gothic" w:hAnsi="Century Gothic"/>
          <w:b/>
        </w:rPr>
        <w:t>Pretensiones de la demanda</w:t>
      </w:r>
      <w:r w:rsidRPr="00A00AEB">
        <w:rPr>
          <w:rFonts w:ascii="Century Gothic" w:hAnsi="Century Gothic"/>
        </w:rPr>
        <w:t xml:space="preserve">:  </w:t>
      </w:r>
      <w:sdt>
        <w:sdtPr>
          <w:rPr>
            <w:rFonts w:ascii="Century Gothic" w:eastAsia="Times New Roman" w:hAnsi="Century Gothic" w:cs="Segoe UI"/>
            <w:color w:val="424242"/>
          </w:rPr>
          <w:alias w:val="PRETENSIONES"/>
          <w:tag w:val="PRETENSIONES"/>
          <w:id w:val="-321507162"/>
          <w:placeholder>
            <w:docPart w:val="7057A85CA769434CB181176B5C5C151A"/>
          </w:placeholder>
          <w:text/>
        </w:sdtPr>
        <w:sdtContent>
          <w:r w:rsidR="009933C4" w:rsidRPr="009933C4">
            <w:rPr>
              <w:rFonts w:ascii="Century Gothic" w:eastAsia="Times New Roman" w:hAnsi="Century Gothic" w:cs="Segoe UI"/>
              <w:color w:val="424242"/>
            </w:rPr>
            <w:t>Se Declare la responsabilidad civil extracontractual, en forma solidaria, de la EPS SANITAS INTERNACIONAL, la CLINICA ESTRIOS S.A.S., PROMOTORA BOCAGRANDE S.A., LITOTRICIA S.A., LITO PORTO PORTO, CARLOS FERNANDO MARRUGO PAZ y JUAN CARLOS VELEZ ROMAN por le los daños patrimoniales y extrapatrimoniales causados a CLAUDIA ROSA PADAUI ORTIZ, CLAUDIA PATRICIA TINOCO PADAUI, AUGUSTO ENRIQUE TINOCO PADAUI, CLAUDINE CABRALES FLOREZ, y RAQUEL MARIA TINOCO GARCES · Que como consecuencia de lo anterior, se condene a las demandadas a pagar las siguientes sumas: 1. Indemnización por Daño Moral: Claudia Rosa Padaúi Ortiz (Esposa): $78.124.200,oo</w:t>
          </w:r>
          <w:r w:rsidR="00C21AD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Claudia Patricia Tinoco Padaúi (Hija): $78.124.200,oo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Augusto Enrique Tinoco Padaúi (Hijo): $78.124.200,oo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Claudine Cabrales Flórez (Nuera): $78.124.200,oo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Raquel María Tinoco Garcés (Hermana): $78.124.200,oo 2. Indemnización por Daño Emergente: Honorarios de perito (Claudia Rosa Padaúi Ortiz): $2.200.000,oo</w:t>
          </w:r>
          <w:r w:rsidR="009933C4">
            <w:rPr>
              <w:rFonts w:ascii="Century Gothic" w:eastAsia="Times New Roman" w:hAnsi="Century Gothic" w:cs="Segoe UI"/>
              <w:color w:val="424242"/>
            </w:rPr>
            <w:t xml:space="preserve"> </w:t>
          </w:r>
          <w:r w:rsidR="009933C4" w:rsidRPr="009933C4">
            <w:rPr>
              <w:rFonts w:ascii="Century Gothic" w:eastAsia="Times New Roman" w:hAnsi="Century Gothic" w:cs="Segoe UI"/>
              <w:color w:val="424242"/>
            </w:rPr>
            <w:t>Servicios de auxiliar de enfermería (Claudia Rosa Padaúi Ortiz): $3.300.000,oo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Servicios de auxiliar de enfermería en domingos y festivos (Claudia Rosa Padaúi Ortiz): $1.120.000,oo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Servicios funerarios (Claudia Patricia Tinoco Padaúi): $3.500.000,oo</w:t>
          </w:r>
          <w:r w:rsidR="009933C4">
            <w:rPr>
              <w:rFonts w:ascii="Century Gothic" w:eastAsia="Times New Roman" w:hAnsi="Century Gothic" w:cs="Segoe UI"/>
              <w:color w:val="424242"/>
            </w:rPr>
            <w:t xml:space="preserve"> - </w:t>
          </w:r>
          <w:r w:rsidR="009933C4" w:rsidRPr="009933C4">
            <w:rPr>
              <w:rFonts w:ascii="Century Gothic" w:eastAsia="Times New Roman" w:hAnsi="Century Gothic" w:cs="Segoe UI"/>
              <w:color w:val="424242"/>
            </w:rPr>
            <w:t>Servicios de cementerio (Claudia Patricia Tinoco Padaúi): $1.945.000,oo  3. Indemnización por Lucro Cesante: -Lucro Cesante Pasado (Claudia Rosa Padaúi Ortiz): $476.579.841,82-Lucro Cesante Futuro (Claudia Rosa Padaúi Ortiz): $1.233.493.299,53</w:t>
          </w:r>
        </w:sdtContent>
      </w:sdt>
    </w:p>
    <w:p w14:paraId="4D5CE540" w14:textId="77777777" w:rsidR="005206D1" w:rsidRPr="00A00AEB" w:rsidRDefault="00906282" w:rsidP="00D95263">
      <w:pPr>
        <w:spacing w:line="360" w:lineRule="auto"/>
        <w:jc w:val="both"/>
        <w:outlineLvl w:val="0"/>
        <w:rPr>
          <w:rFonts w:ascii="Century Gothic" w:hAnsi="Century Gothic"/>
          <w:b/>
        </w:rPr>
      </w:pPr>
      <w:r w:rsidRPr="00A00AEB">
        <w:rPr>
          <w:rFonts w:ascii="Century Gothic" w:hAnsi="Century Gothic"/>
          <w:b/>
        </w:rPr>
        <w:t xml:space="preserve">Liquidación objetivada de las pretensiones: </w:t>
      </w:r>
    </w:p>
    <w:p w14:paraId="607812E1" w14:textId="4358E509" w:rsidR="004F3C43" w:rsidRPr="00A00AEB" w:rsidRDefault="00D81C6B" w:rsidP="00B422B7">
      <w:pPr>
        <w:spacing w:line="360" w:lineRule="auto"/>
        <w:jc w:val="both"/>
        <w:rPr>
          <w:rFonts w:ascii="Century Gothic" w:hAnsi="Century Gothic"/>
          <w:bCs/>
        </w:rPr>
      </w:pPr>
      <w:r w:rsidRPr="00A00AEB">
        <w:rPr>
          <w:rFonts w:ascii="Century Gothic" w:hAnsi="Century Gothic"/>
          <w:bCs/>
        </w:rPr>
        <w:lastRenderedPageBreak/>
        <w:t>Como</w:t>
      </w:r>
      <w:r w:rsidR="00777CB6" w:rsidRPr="00A00AEB">
        <w:rPr>
          <w:rFonts w:ascii="Century Gothic" w:hAnsi="Century Gothic"/>
          <w:bCs/>
        </w:rPr>
        <w:t xml:space="preserve"> liquidación objetiva de perjuicios se ta</w:t>
      </w:r>
      <w:r w:rsidR="00587596" w:rsidRPr="00A00AEB">
        <w:rPr>
          <w:rFonts w:ascii="Century Gothic" w:hAnsi="Century Gothic"/>
          <w:bCs/>
        </w:rPr>
        <w:t>s</w:t>
      </w:r>
      <w:r w:rsidR="00777CB6" w:rsidRPr="00A00AEB">
        <w:rPr>
          <w:rFonts w:ascii="Century Gothic" w:hAnsi="Century Gothic"/>
          <w:bCs/>
        </w:rPr>
        <w:t xml:space="preserve">a la suma de </w:t>
      </w:r>
      <w:r w:rsidR="00777CB6" w:rsidRPr="00A00AEB">
        <w:rPr>
          <w:rFonts w:ascii="Century Gothic" w:hAnsi="Century Gothic"/>
          <w:b/>
          <w:u w:val="single"/>
        </w:rPr>
        <w:t>$</w:t>
      </w:r>
      <w:r w:rsidR="0071784D" w:rsidRPr="0071784D">
        <w:rPr>
          <w:rFonts w:ascii="Century Gothic" w:hAnsi="Century Gothic"/>
          <w:b/>
          <w:u w:val="single"/>
        </w:rPr>
        <w:t>465,234,016</w:t>
      </w:r>
      <w:r w:rsidR="00B3609D" w:rsidRPr="00A00AEB">
        <w:rPr>
          <w:rFonts w:ascii="Century Gothic" w:hAnsi="Century Gothic"/>
          <w:bCs/>
        </w:rPr>
        <w:t xml:space="preserve">. </w:t>
      </w:r>
      <w:r w:rsidR="00777CB6" w:rsidRPr="00A00AEB">
        <w:rPr>
          <w:rFonts w:ascii="Century Gothic" w:hAnsi="Century Gothic"/>
          <w:bCs/>
        </w:rPr>
        <w:t>Lo anterior, con base en los siguientes fundamentos:</w:t>
      </w:r>
      <w:bookmarkStart w:id="0" w:name="_Hlk142585138"/>
    </w:p>
    <w:p w14:paraId="7DFD7783" w14:textId="2C1A139E" w:rsidR="00A866C9" w:rsidRPr="0071784D" w:rsidRDefault="004A2149" w:rsidP="0071784D">
      <w:pPr>
        <w:pStyle w:val="Prrafodelista"/>
        <w:numPr>
          <w:ilvl w:val="0"/>
          <w:numId w:val="4"/>
        </w:numPr>
        <w:spacing w:line="360" w:lineRule="auto"/>
        <w:jc w:val="both"/>
        <w:rPr>
          <w:rFonts w:ascii="Century Gothic" w:hAnsi="Century Gothic"/>
        </w:rPr>
      </w:pPr>
      <w:r w:rsidRPr="00A00AEB">
        <w:rPr>
          <w:rFonts w:ascii="Century Gothic" w:hAnsi="Century Gothic"/>
          <w:b/>
          <w:bCs/>
        </w:rPr>
        <w:t>Daño moral</w:t>
      </w:r>
      <w:r w:rsidR="0029437D" w:rsidRPr="00A00AEB">
        <w:rPr>
          <w:rFonts w:ascii="Century Gothic" w:hAnsi="Century Gothic"/>
          <w:b/>
          <w:bCs/>
        </w:rPr>
        <w:t>:</w:t>
      </w:r>
      <w:r w:rsidR="0029437D" w:rsidRPr="00A00AEB">
        <w:rPr>
          <w:rFonts w:ascii="Century Gothic" w:hAnsi="Century Gothic"/>
        </w:rPr>
        <w:t xml:space="preserve"> </w:t>
      </w:r>
      <w:r w:rsidR="00CC7E03">
        <w:rPr>
          <w:rFonts w:ascii="Century Gothic" w:hAnsi="Century Gothic"/>
        </w:rPr>
        <w:t xml:space="preserve">Se reconoce la suma de </w:t>
      </w:r>
      <w:r w:rsidR="00A866C9" w:rsidRPr="00A00AEB">
        <w:rPr>
          <w:rFonts w:ascii="Century Gothic" w:hAnsi="Century Gothic"/>
        </w:rPr>
        <w:t>$</w:t>
      </w:r>
      <w:r w:rsidR="00C21AD4">
        <w:rPr>
          <w:rFonts w:ascii="Century Gothic" w:hAnsi="Century Gothic"/>
        </w:rPr>
        <w:t>210.000.000</w:t>
      </w:r>
      <w:r w:rsidR="00CC7E03">
        <w:rPr>
          <w:rFonts w:ascii="Century Gothic" w:hAnsi="Century Gothic"/>
        </w:rPr>
        <w:t xml:space="preserve">. </w:t>
      </w:r>
      <w:r w:rsidR="00D472EF" w:rsidRPr="0071784D">
        <w:rPr>
          <w:rFonts w:ascii="Century Gothic" w:hAnsi="Century Gothic"/>
        </w:rPr>
        <w:t>Se tomó como daño moral la suma de $</w:t>
      </w:r>
      <w:r w:rsidR="00C21AD4" w:rsidRPr="0071784D">
        <w:rPr>
          <w:rFonts w:ascii="Century Gothic" w:hAnsi="Century Gothic"/>
        </w:rPr>
        <w:t>60.000.000</w:t>
      </w:r>
      <w:r w:rsidR="00C93FC4" w:rsidRPr="0071784D">
        <w:rPr>
          <w:rFonts w:ascii="Century Gothic" w:hAnsi="Century Gothic"/>
        </w:rPr>
        <w:t xml:space="preserve"> para </w:t>
      </w:r>
      <w:r w:rsidR="008F22B1" w:rsidRPr="0071784D">
        <w:rPr>
          <w:rFonts w:ascii="Century Gothic" w:hAnsi="Century Gothic"/>
        </w:rPr>
        <w:t xml:space="preserve">la señora </w:t>
      </w:r>
      <w:r w:rsidR="00C21AD4" w:rsidRPr="0071784D">
        <w:rPr>
          <w:rFonts w:ascii="Century Gothic" w:hAnsi="Century Gothic"/>
        </w:rPr>
        <w:t>CLAUDIA ROSA PADAUI</w:t>
      </w:r>
      <w:r w:rsidR="00F71532" w:rsidRPr="0071784D">
        <w:rPr>
          <w:rFonts w:ascii="Century Gothic" w:hAnsi="Century Gothic"/>
        </w:rPr>
        <w:t xml:space="preserve"> (cónyuge)</w:t>
      </w:r>
      <w:r w:rsidR="00CC7E03">
        <w:rPr>
          <w:rFonts w:ascii="Century Gothic" w:hAnsi="Century Gothic"/>
        </w:rPr>
        <w:t xml:space="preserve"> y para</w:t>
      </w:r>
      <w:r w:rsidR="00C21AD4" w:rsidRPr="0071784D">
        <w:rPr>
          <w:rFonts w:ascii="Century Gothic" w:hAnsi="Century Gothic"/>
        </w:rPr>
        <w:t xml:space="preserve"> </w:t>
      </w:r>
      <w:r w:rsidR="00F71532" w:rsidRPr="0071784D">
        <w:rPr>
          <w:rFonts w:ascii="Century Gothic" w:hAnsi="Century Gothic"/>
        </w:rPr>
        <w:t xml:space="preserve">CLAUDIA PATRICIA TINOCO </w:t>
      </w:r>
      <w:r w:rsidR="00CC7E03">
        <w:rPr>
          <w:rFonts w:ascii="Century Gothic" w:hAnsi="Century Gothic"/>
        </w:rPr>
        <w:t>y</w:t>
      </w:r>
      <w:r w:rsidR="00F71532" w:rsidRPr="0071784D">
        <w:rPr>
          <w:rFonts w:ascii="Century Gothic" w:hAnsi="Century Gothic"/>
        </w:rPr>
        <w:t xml:space="preserve"> AUGUSTO ENRIQUE TINOCO </w:t>
      </w:r>
      <w:r w:rsidR="00CC7E03">
        <w:rPr>
          <w:rFonts w:ascii="Century Gothic" w:hAnsi="Century Gothic"/>
        </w:rPr>
        <w:t xml:space="preserve">en calidad de hijos. Este valor se fijó </w:t>
      </w:r>
      <w:r w:rsidR="004A54DE">
        <w:rPr>
          <w:rFonts w:ascii="Century Gothic" w:hAnsi="Century Gothic"/>
        </w:rPr>
        <w:t>teniendo en cuenta que la jurisprudencia de la Corte Suprema de Justicia (Sentencia del 23/05/2018, MP: Aroldo Wilson Quiroz) ha establecido que en caso de fallecimiento de un familiar de primer grado de consanguinidad o afinidad se les debe reconocer por daño moral la suma de $60,000,000. Ahora bien,</w:t>
      </w:r>
      <w:r w:rsidR="00F71532" w:rsidRPr="0071784D">
        <w:rPr>
          <w:rFonts w:ascii="Century Gothic" w:hAnsi="Century Gothic"/>
        </w:rPr>
        <w:t xml:space="preserve"> </w:t>
      </w:r>
      <w:r w:rsidR="004A54DE">
        <w:rPr>
          <w:rFonts w:ascii="Century Gothic" w:hAnsi="Century Gothic"/>
        </w:rPr>
        <w:t xml:space="preserve">frente </w:t>
      </w:r>
      <w:r w:rsidR="00F71532" w:rsidRPr="0071784D">
        <w:rPr>
          <w:rFonts w:ascii="Century Gothic" w:hAnsi="Century Gothic"/>
        </w:rPr>
        <w:t xml:space="preserve">a RAQUEL MARIA TINOCO (hermana) </w:t>
      </w:r>
      <w:r w:rsidR="004A54DE">
        <w:rPr>
          <w:rFonts w:ascii="Century Gothic" w:hAnsi="Century Gothic"/>
        </w:rPr>
        <w:t xml:space="preserve">se reconoce </w:t>
      </w:r>
      <w:r w:rsidR="00F71532" w:rsidRPr="0071784D">
        <w:rPr>
          <w:rFonts w:ascii="Century Gothic" w:hAnsi="Century Gothic"/>
        </w:rPr>
        <w:t xml:space="preserve">la suma de $30.000.000, </w:t>
      </w:r>
      <w:r w:rsidR="00C93FC4" w:rsidRPr="0071784D">
        <w:rPr>
          <w:rFonts w:ascii="Century Gothic" w:hAnsi="Century Gothic"/>
        </w:rPr>
        <w:t>siguiendo el criterio jurisprudencial de la sentencia SC562-2</w:t>
      </w:r>
      <w:r w:rsidR="003F378D" w:rsidRPr="0071784D">
        <w:rPr>
          <w:rFonts w:ascii="Century Gothic" w:hAnsi="Century Gothic"/>
        </w:rPr>
        <w:t xml:space="preserve">020 M.P. Ariel Salazar Ramírez. </w:t>
      </w:r>
      <w:r w:rsidR="00B422B7" w:rsidRPr="0071784D">
        <w:rPr>
          <w:rFonts w:ascii="Century Gothic" w:hAnsi="Century Gothic"/>
        </w:rPr>
        <w:t>No procede reconocer en este momento suma alguna a favor</w:t>
      </w:r>
      <w:r w:rsidR="00F71532" w:rsidRPr="0071784D">
        <w:rPr>
          <w:rFonts w:ascii="Century Gothic" w:hAnsi="Century Gothic"/>
        </w:rPr>
        <w:t xml:space="preserve"> de CLAUDINE CABRALES</w:t>
      </w:r>
      <w:r w:rsidR="00B422B7" w:rsidRPr="0071784D">
        <w:rPr>
          <w:rFonts w:ascii="Century Gothic" w:hAnsi="Century Gothic"/>
        </w:rPr>
        <w:t xml:space="preserve">, por cuanto no </w:t>
      </w:r>
      <w:r w:rsidR="00F71532" w:rsidRPr="0071784D">
        <w:rPr>
          <w:rFonts w:ascii="Century Gothic" w:hAnsi="Century Gothic"/>
        </w:rPr>
        <w:t xml:space="preserve">comparte </w:t>
      </w:r>
      <w:r w:rsidR="00B422B7" w:rsidRPr="0071784D">
        <w:rPr>
          <w:rFonts w:ascii="Century Gothic" w:hAnsi="Century Gothic"/>
        </w:rPr>
        <w:t xml:space="preserve">parentesco con </w:t>
      </w:r>
      <w:r w:rsidR="00F71532" w:rsidRPr="0071784D">
        <w:rPr>
          <w:rFonts w:ascii="Century Gothic" w:hAnsi="Century Gothic"/>
        </w:rPr>
        <w:t>el señor AUGUSTO TINOCO (QEPD)</w:t>
      </w:r>
      <w:r w:rsidR="00B422B7" w:rsidRPr="0071784D">
        <w:rPr>
          <w:rFonts w:ascii="Century Gothic" w:hAnsi="Century Gothic"/>
        </w:rPr>
        <w:t>.</w:t>
      </w:r>
    </w:p>
    <w:p w14:paraId="5D96B974" w14:textId="77777777" w:rsidR="00F71532" w:rsidRDefault="00F71532" w:rsidP="0071784D"/>
    <w:p w14:paraId="0F4A228F" w14:textId="68814BD0" w:rsidR="00F71532" w:rsidRPr="0071784D" w:rsidRDefault="00F71532" w:rsidP="0071784D">
      <w:pPr>
        <w:pStyle w:val="Prrafodelista"/>
        <w:numPr>
          <w:ilvl w:val="0"/>
          <w:numId w:val="4"/>
        </w:numPr>
        <w:spacing w:line="360" w:lineRule="auto"/>
        <w:jc w:val="both"/>
        <w:rPr>
          <w:rFonts w:ascii="Century Gothic" w:hAnsi="Century Gothic"/>
        </w:rPr>
      </w:pPr>
      <w:r>
        <w:rPr>
          <w:rFonts w:ascii="Century Gothic" w:hAnsi="Century Gothic"/>
          <w:b/>
          <w:bCs/>
        </w:rPr>
        <w:t>Daño emergente</w:t>
      </w:r>
      <w:r w:rsidRPr="00A00AEB">
        <w:rPr>
          <w:rFonts w:ascii="Century Gothic" w:hAnsi="Century Gothic"/>
          <w:b/>
          <w:bCs/>
        </w:rPr>
        <w:t>:</w:t>
      </w:r>
      <w:r w:rsidRPr="00A00AEB">
        <w:rPr>
          <w:rFonts w:ascii="Century Gothic" w:hAnsi="Century Gothic"/>
        </w:rPr>
        <w:t xml:space="preserve"> </w:t>
      </w:r>
      <w:r w:rsidR="004A54DE">
        <w:rPr>
          <w:rFonts w:ascii="Century Gothic" w:hAnsi="Century Gothic"/>
        </w:rPr>
        <w:t xml:space="preserve">Se reconoce la suma de </w:t>
      </w:r>
      <w:r w:rsidRPr="00A00AEB">
        <w:rPr>
          <w:rFonts w:ascii="Century Gothic" w:hAnsi="Century Gothic"/>
        </w:rPr>
        <w:t>$</w:t>
      </w:r>
      <w:r>
        <w:rPr>
          <w:rFonts w:ascii="Century Gothic" w:hAnsi="Century Gothic"/>
        </w:rPr>
        <w:t>5.445.000</w:t>
      </w:r>
      <w:r w:rsidRPr="00A00AEB">
        <w:rPr>
          <w:rFonts w:ascii="Century Gothic" w:hAnsi="Century Gothic"/>
        </w:rPr>
        <w:t xml:space="preserve"> </w:t>
      </w:r>
      <w:r w:rsidRPr="0071784D">
        <w:rPr>
          <w:rFonts w:ascii="Century Gothic" w:hAnsi="Century Gothic"/>
        </w:rPr>
        <w:t>por concepto de daño emergente, respecto de la factura No. 10-032253 emitida por FUNERARIA</w:t>
      </w:r>
      <w:r w:rsidR="00B74574">
        <w:rPr>
          <w:rFonts w:ascii="Century Gothic" w:hAnsi="Century Gothic"/>
        </w:rPr>
        <w:t xml:space="preserve"> </w:t>
      </w:r>
      <w:r w:rsidRPr="0071784D">
        <w:rPr>
          <w:rFonts w:ascii="Century Gothic" w:hAnsi="Century Gothic"/>
        </w:rPr>
        <w:t xml:space="preserve">LORDUY S.A de fecha 30 de agosto de 2018 y </w:t>
      </w:r>
      <w:r w:rsidR="00B74574">
        <w:rPr>
          <w:rFonts w:ascii="Century Gothic" w:hAnsi="Century Gothic"/>
        </w:rPr>
        <w:t xml:space="preserve">la factura </w:t>
      </w:r>
      <w:r w:rsidRPr="0071784D">
        <w:rPr>
          <w:rFonts w:ascii="Century Gothic" w:hAnsi="Century Gothic"/>
        </w:rPr>
        <w:t xml:space="preserve">No. </w:t>
      </w:r>
      <w:r w:rsidR="00B96856" w:rsidRPr="0071784D">
        <w:rPr>
          <w:rFonts w:ascii="Century Gothic" w:hAnsi="Century Gothic"/>
        </w:rPr>
        <w:t xml:space="preserve">CG34019 </w:t>
      </w:r>
      <w:r w:rsidR="00B74574">
        <w:rPr>
          <w:rFonts w:ascii="Century Gothic" w:hAnsi="Century Gothic"/>
        </w:rPr>
        <w:t xml:space="preserve">emitida por PARQUES Y FUNERARIAS S.A.S. </w:t>
      </w:r>
      <w:r w:rsidR="00B96856" w:rsidRPr="0071784D">
        <w:rPr>
          <w:rFonts w:ascii="Century Gothic" w:hAnsi="Century Gothic"/>
        </w:rPr>
        <w:t>el 27 de agosto de 2018</w:t>
      </w:r>
      <w:r w:rsidR="00B74574">
        <w:rPr>
          <w:rFonts w:ascii="Century Gothic" w:hAnsi="Century Gothic"/>
        </w:rPr>
        <w:t>.</w:t>
      </w:r>
      <w:r w:rsidR="00B96856" w:rsidRPr="0071784D">
        <w:rPr>
          <w:rFonts w:ascii="Century Gothic" w:hAnsi="Century Gothic"/>
        </w:rPr>
        <w:t xml:space="preserve"> </w:t>
      </w:r>
      <w:r w:rsidR="00B74574">
        <w:rPr>
          <w:rFonts w:ascii="Century Gothic" w:hAnsi="Century Gothic"/>
        </w:rPr>
        <w:t xml:space="preserve">Lo anterior, </w:t>
      </w:r>
      <w:r w:rsidR="00B96856" w:rsidRPr="0071784D">
        <w:rPr>
          <w:rFonts w:ascii="Century Gothic" w:hAnsi="Century Gothic"/>
        </w:rPr>
        <w:t>por cuanto son documentos contables idóneos para demostrar un detrimento patrimonial</w:t>
      </w:r>
      <w:r w:rsidR="00B74574">
        <w:rPr>
          <w:rFonts w:ascii="Century Gothic" w:hAnsi="Century Gothic"/>
        </w:rPr>
        <w:t xml:space="preserve"> con ocasión al fallecimiento del señor Augusto Enrique Tinoco Garcés</w:t>
      </w:r>
      <w:r w:rsidR="00B96856" w:rsidRPr="0071784D">
        <w:rPr>
          <w:rFonts w:ascii="Century Gothic" w:hAnsi="Century Gothic"/>
        </w:rPr>
        <w:t xml:space="preserve">. </w:t>
      </w:r>
      <w:r w:rsidR="00B74574">
        <w:rPr>
          <w:rFonts w:ascii="Century Gothic" w:hAnsi="Century Gothic"/>
        </w:rPr>
        <w:t>Ahora bien, n</w:t>
      </w:r>
      <w:r w:rsidR="00B96856" w:rsidRPr="0071784D">
        <w:rPr>
          <w:rFonts w:ascii="Century Gothic" w:hAnsi="Century Gothic"/>
        </w:rPr>
        <w:t xml:space="preserve">o se reconoce </w:t>
      </w:r>
      <w:r w:rsidR="00B74574">
        <w:rPr>
          <w:rFonts w:ascii="Century Gothic" w:hAnsi="Century Gothic"/>
        </w:rPr>
        <w:t>suma adicional, en tanto se solicita el reconocimiento de daño emergente con ocasión al cobro efectuado por e</w:t>
      </w:r>
      <w:r w:rsidR="00B96856" w:rsidRPr="0071784D">
        <w:rPr>
          <w:rFonts w:ascii="Century Gothic" w:hAnsi="Century Gothic"/>
        </w:rPr>
        <w:t xml:space="preserve">l perito EDGARDO MIRANDA, </w:t>
      </w:r>
      <w:r w:rsidR="00DF5532">
        <w:rPr>
          <w:rFonts w:ascii="Century Gothic" w:hAnsi="Century Gothic"/>
        </w:rPr>
        <w:t xml:space="preserve">siendo este un rubro que obedece al trámite judicial, por el cual no procede ningún reconocimiento. Finalmente, tampoco se reconoce suma alguna </w:t>
      </w:r>
      <w:r w:rsidR="00B74574">
        <w:rPr>
          <w:rFonts w:ascii="Century Gothic" w:hAnsi="Century Gothic"/>
        </w:rPr>
        <w:t xml:space="preserve">por las </w:t>
      </w:r>
      <w:r w:rsidR="00B96856" w:rsidRPr="0071784D">
        <w:rPr>
          <w:rFonts w:ascii="Century Gothic" w:hAnsi="Century Gothic"/>
        </w:rPr>
        <w:t>cuentas de cobro de ADALGIZA CONTRERAS y LENIA LEGUIA</w:t>
      </w:r>
      <w:r w:rsidR="00DF5532">
        <w:rPr>
          <w:rFonts w:ascii="Century Gothic" w:hAnsi="Century Gothic"/>
        </w:rPr>
        <w:t>,</w:t>
      </w:r>
      <w:r w:rsidR="00B96856" w:rsidRPr="0071784D">
        <w:rPr>
          <w:rFonts w:ascii="Century Gothic" w:hAnsi="Century Gothic"/>
        </w:rPr>
        <w:t xml:space="preserve"> por no </w:t>
      </w:r>
      <w:r w:rsidR="00DF5532">
        <w:rPr>
          <w:rFonts w:ascii="Century Gothic" w:hAnsi="Century Gothic"/>
        </w:rPr>
        <w:t xml:space="preserve">allegar los </w:t>
      </w:r>
      <w:r w:rsidR="00B96856" w:rsidRPr="0071784D">
        <w:rPr>
          <w:rFonts w:ascii="Century Gothic" w:hAnsi="Century Gothic"/>
        </w:rPr>
        <w:t>soportes contables que demuestren un detrimento patrimonial.</w:t>
      </w:r>
    </w:p>
    <w:p w14:paraId="1DF00DA7" w14:textId="77777777" w:rsidR="00B422B7" w:rsidRPr="00A00AEB" w:rsidRDefault="00B422B7" w:rsidP="00B422B7">
      <w:pPr>
        <w:pStyle w:val="Prrafodelista"/>
        <w:spacing w:line="360" w:lineRule="auto"/>
        <w:jc w:val="both"/>
        <w:rPr>
          <w:rFonts w:ascii="Century Gothic" w:hAnsi="Century Gothic"/>
        </w:rPr>
      </w:pPr>
    </w:p>
    <w:p w14:paraId="62D7D922" w14:textId="3B1CF071" w:rsidR="00B96856" w:rsidRPr="0071784D" w:rsidRDefault="00B96856" w:rsidP="0071784D">
      <w:pPr>
        <w:pStyle w:val="Prrafodelista"/>
        <w:shd w:val="clear" w:color="auto" w:fill="FFFFFF"/>
        <w:spacing w:beforeAutospacing="1" w:after="0" w:afterAutospacing="1" w:line="360" w:lineRule="auto"/>
        <w:jc w:val="both"/>
        <w:textAlignment w:val="baseline"/>
        <w:rPr>
          <w:rFonts w:ascii="Century Gothic" w:eastAsia="Times New Roman" w:hAnsi="Century Gothic" w:cs="Segoe UI"/>
          <w:color w:val="000000"/>
          <w:bdr w:val="none" w:sz="0" w:space="0" w:color="auto" w:frame="1"/>
          <w:lang w:eastAsia="es-CO"/>
        </w:rPr>
      </w:pPr>
      <w:r>
        <w:rPr>
          <w:rFonts w:ascii="Century Gothic" w:hAnsi="Century Gothic"/>
          <w:b/>
          <w:bCs/>
        </w:rPr>
        <w:t>Lucro cesante</w:t>
      </w:r>
      <w:r w:rsidR="00F95B0F">
        <w:rPr>
          <w:rFonts w:ascii="Century Gothic" w:hAnsi="Century Gothic"/>
          <w:b/>
          <w:bCs/>
        </w:rPr>
        <w:t xml:space="preserve">: </w:t>
      </w:r>
      <w:r w:rsidR="0071784D" w:rsidRPr="00E27F6C">
        <w:rPr>
          <w:rFonts w:ascii="Century Gothic" w:eastAsia="Times New Roman" w:hAnsi="Century Gothic" w:cs="Segoe UI"/>
          <w:color w:val="000000"/>
          <w:lang w:eastAsia="es-CO"/>
        </w:rPr>
        <w:t>Se tendrá en cuenta la suma de: $</w:t>
      </w:r>
      <w:r w:rsidR="0071784D">
        <w:rPr>
          <w:rFonts w:ascii="Century Gothic" w:eastAsia="Times New Roman" w:hAnsi="Century Gothic" w:cs="Segoe UI"/>
          <w:color w:val="000000"/>
          <w:lang w:eastAsia="es-CO"/>
        </w:rPr>
        <w:t xml:space="preserve">249.789.016 </w:t>
      </w:r>
      <w:r w:rsidR="0071784D" w:rsidRPr="00E27F6C">
        <w:rPr>
          <w:rFonts w:ascii="Century Gothic" w:eastAsia="Times New Roman" w:hAnsi="Century Gothic" w:cs="Segoe UI"/>
          <w:color w:val="000000"/>
          <w:lang w:eastAsia="es-CO"/>
        </w:rPr>
        <w:t>por concepto de lucro cesante consolidado</w:t>
      </w:r>
      <w:r w:rsidR="00DF5532">
        <w:rPr>
          <w:rFonts w:ascii="Century Gothic" w:eastAsia="Times New Roman" w:hAnsi="Century Gothic" w:cs="Segoe UI"/>
          <w:color w:val="000000"/>
          <w:lang w:eastAsia="es-CO"/>
        </w:rPr>
        <w:t xml:space="preserve"> y futuro</w:t>
      </w:r>
      <w:r w:rsidR="0071784D" w:rsidRPr="00E27F6C">
        <w:rPr>
          <w:rFonts w:ascii="Century Gothic" w:eastAsia="Times New Roman" w:hAnsi="Century Gothic" w:cs="Segoe UI"/>
          <w:color w:val="000000"/>
          <w:lang w:eastAsia="es-CO"/>
        </w:rPr>
        <w:t>. Al respecto, resulta necesario indicar que siguiendo los lineamientos de la sentencia SC20950-2017 con ponencia del doctor Ariel Salazar Ramírez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como quiera que el extremo actor no acreditó con la presentación de la demanda el valor de los ingresos de</w:t>
      </w:r>
      <w:r w:rsidR="0071784D">
        <w:rPr>
          <w:rFonts w:ascii="Century Gothic" w:eastAsia="Times New Roman" w:hAnsi="Century Gothic" w:cs="Segoe UI"/>
          <w:color w:val="000000"/>
          <w:lang w:eastAsia="es-CO"/>
        </w:rPr>
        <w:t>l señor Augusto Tinoco Garcés</w:t>
      </w:r>
      <w:r w:rsidR="0071784D" w:rsidRPr="00E27F6C">
        <w:rPr>
          <w:rFonts w:ascii="Century Gothic" w:eastAsia="Times New Roman" w:hAnsi="Century Gothic" w:cs="Segoe UI"/>
          <w:color w:val="000000"/>
          <w:lang w:eastAsia="es-CO"/>
        </w:rPr>
        <w:t>. En virtud de lo expuesto y siguiendo los lineamientos de la Corte, la suma a reconocer sería de $</w:t>
      </w:r>
      <w:r w:rsidR="0071784D" w:rsidRPr="0071784D">
        <w:rPr>
          <w:rFonts w:ascii="Century Gothic" w:eastAsia="Times New Roman" w:hAnsi="Century Gothic" w:cs="Segoe UI"/>
          <w:color w:val="000000"/>
          <w:lang w:eastAsia="es-CO"/>
        </w:rPr>
        <w:t xml:space="preserve">113,137,298 </w:t>
      </w:r>
      <w:r w:rsidR="0071784D" w:rsidRPr="00E27F6C">
        <w:rPr>
          <w:rFonts w:ascii="Century Gothic" w:eastAsia="Times New Roman" w:hAnsi="Century Gothic" w:cs="Segoe UI"/>
          <w:color w:val="000000"/>
          <w:lang w:eastAsia="es-CO"/>
        </w:rPr>
        <w:t>por lucro cesante consolidado</w:t>
      </w:r>
      <w:r w:rsidR="0071784D">
        <w:rPr>
          <w:rFonts w:ascii="Century Gothic" w:eastAsia="Times New Roman" w:hAnsi="Century Gothic" w:cs="Segoe UI"/>
          <w:color w:val="000000"/>
          <w:lang w:eastAsia="es-CO"/>
        </w:rPr>
        <w:t xml:space="preserve"> y </w:t>
      </w:r>
      <w:r w:rsidR="0071784D" w:rsidRPr="0071784D">
        <w:rPr>
          <w:rFonts w:ascii="Century Gothic" w:eastAsia="Times New Roman" w:hAnsi="Century Gothic" w:cs="Segoe UI"/>
          <w:color w:val="000000"/>
          <w:lang w:eastAsia="es-CO"/>
        </w:rPr>
        <w:t>$136,651,718</w:t>
      </w:r>
      <w:r w:rsidR="0071784D">
        <w:rPr>
          <w:rFonts w:ascii="Century Gothic" w:eastAsia="Times New Roman" w:hAnsi="Century Gothic" w:cs="Segoe UI"/>
          <w:color w:val="000000"/>
          <w:lang w:eastAsia="es-CO"/>
        </w:rPr>
        <w:t xml:space="preserve"> por lucro cesante futuro para un total de $249.789.016.</w:t>
      </w:r>
    </w:p>
    <w:bookmarkEnd w:id="0"/>
    <w:p w14:paraId="5066E994" w14:textId="77777777" w:rsidR="00FD07C5" w:rsidRPr="00A00AEB" w:rsidRDefault="00906282" w:rsidP="00A47ECC">
      <w:pPr>
        <w:spacing w:line="360" w:lineRule="auto"/>
        <w:jc w:val="both"/>
        <w:rPr>
          <w:rFonts w:ascii="Century Gothic" w:hAnsi="Century Gothic"/>
        </w:rPr>
      </w:pPr>
      <w:r w:rsidRPr="00A00AEB">
        <w:rPr>
          <w:rFonts w:ascii="Century Gothic" w:hAnsi="Century Gothic"/>
          <w:b/>
        </w:rPr>
        <w:t>Excepciones</w:t>
      </w:r>
      <w:r w:rsidRPr="00A00AEB">
        <w:rPr>
          <w:rFonts w:ascii="Century Gothic" w:hAnsi="Century Gothic"/>
        </w:rPr>
        <w:t>:</w:t>
      </w:r>
    </w:p>
    <w:p w14:paraId="0DBFFA86" w14:textId="2550FF40" w:rsidR="00FD07C5" w:rsidRPr="00A00AEB" w:rsidRDefault="00FD07C5" w:rsidP="00696A71">
      <w:pPr>
        <w:pStyle w:val="Prrafodelista"/>
        <w:numPr>
          <w:ilvl w:val="0"/>
          <w:numId w:val="5"/>
        </w:numPr>
        <w:spacing w:line="360" w:lineRule="auto"/>
        <w:jc w:val="both"/>
        <w:rPr>
          <w:rFonts w:ascii="Century Gothic" w:hAnsi="Century Gothic"/>
          <w:b/>
          <w:bCs/>
        </w:rPr>
      </w:pPr>
      <w:r w:rsidRPr="00A00AEB">
        <w:rPr>
          <w:rFonts w:ascii="Century Gothic" w:hAnsi="Century Gothic"/>
          <w:b/>
          <w:bCs/>
        </w:rPr>
        <w:t xml:space="preserve">EXCEPCIONES DE FONDO FRENTE A LA DEMANDA: </w:t>
      </w:r>
    </w:p>
    <w:p w14:paraId="459A2329" w14:textId="77777777" w:rsidR="00BA3A58" w:rsidRPr="00A00AEB" w:rsidRDefault="00BA3A58" w:rsidP="00696A71">
      <w:pPr>
        <w:pStyle w:val="Prrafodelista"/>
        <w:numPr>
          <w:ilvl w:val="1"/>
          <w:numId w:val="5"/>
        </w:numPr>
        <w:spacing w:line="360" w:lineRule="auto"/>
        <w:jc w:val="both"/>
        <w:rPr>
          <w:rFonts w:ascii="Century Gothic" w:hAnsi="Century Gothic"/>
        </w:rPr>
      </w:pPr>
      <w:r w:rsidRPr="00A00AEB">
        <w:rPr>
          <w:rFonts w:ascii="Century Gothic" w:hAnsi="Century Gothic"/>
        </w:rPr>
        <w:t xml:space="preserve">EXCEPCIONES PLANTEADAS POR QUIEN FORMULÓ EL LLAMAMIENTO EN GARANTÍA A MI REPRESENTADA. </w:t>
      </w:r>
    </w:p>
    <w:p w14:paraId="43087C9E"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INEXISTENCIA DE RESPONSABILIDAD DE LA EPS SANITAS COMO CONSECUENCIA DEL CUMPLIMIENTO DE LAS OBLIGACIONES LEGALES QUE LE CORRESPONDEN COMO ENTIDAD PROMOTORA DE SALUD. </w:t>
      </w:r>
    </w:p>
    <w:p w14:paraId="6BB03C19"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INEXISTENCIA DE FALLA MÉDICA Y DE RESPONSABILIDAD, DEBIDO A LA PRESTACIÓN DILIGENTE, OPORTUNA, ADECUADA, CUIDADOSA Y CARENTE DE CULPA REALIZADO POR EL EXTREMO PASIVO. </w:t>
      </w:r>
    </w:p>
    <w:p w14:paraId="5459E07F"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INEXISTENTE RELACIÓN DE CAUSALIDAD ENTRE EL DAÑO O PERJUICIO ALEGADO POR LA PARTE ACTORA Y LA ACTUACIÓN DE LA EPS SANITAS S.A.</w:t>
      </w:r>
    </w:p>
    <w:p w14:paraId="0B9B4862"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FALTA DE LEGITIMACIÓN EN LA CAUSA POR ACTIVA DE LA SEÑORA CLAUDINE CABRALES FLOREZ.</w:t>
      </w:r>
    </w:p>
    <w:p w14:paraId="45069D6B" w14:textId="370E4745" w:rsidR="00CC0C06" w:rsidRDefault="00CC0C06" w:rsidP="00696A71">
      <w:pPr>
        <w:pStyle w:val="Prrafodelista"/>
        <w:numPr>
          <w:ilvl w:val="1"/>
          <w:numId w:val="5"/>
        </w:numPr>
        <w:spacing w:line="360" w:lineRule="auto"/>
        <w:jc w:val="both"/>
        <w:rPr>
          <w:rFonts w:ascii="Century Gothic" w:hAnsi="Century Gothic"/>
        </w:rPr>
      </w:pPr>
      <w:r w:rsidRPr="00A00AEB">
        <w:rPr>
          <w:rFonts w:ascii="Century Gothic" w:hAnsi="Century Gothic"/>
        </w:rPr>
        <w:lastRenderedPageBreak/>
        <w:t>LOS PERJUICIOS MORALES SOLICITADOS DESCONOCEN LOS LÍMITESJURISPRUDENCIALES ESTABLECIDOS POR EL MÁXIMO ÓRGANO DE LAJURISDICCIÓN ORDINARIA.</w:t>
      </w:r>
    </w:p>
    <w:p w14:paraId="2D5822C3"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IMPROCEDENCIA DEL LUCRO CESANTE</w:t>
      </w:r>
    </w:p>
    <w:p w14:paraId="78727351" w14:textId="4E2B362B"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IMPROCEDENCIA Y FALTA ABSOLUTA DE PRUEBA DEL DAÑO EMERGENTE</w:t>
      </w:r>
    </w:p>
    <w:p w14:paraId="3AFC8E50" w14:textId="35FC4430" w:rsidR="00FD07C5" w:rsidRDefault="00CC0C06" w:rsidP="00696A71">
      <w:pPr>
        <w:pStyle w:val="Prrafodelista"/>
        <w:numPr>
          <w:ilvl w:val="1"/>
          <w:numId w:val="5"/>
        </w:numPr>
        <w:spacing w:line="360" w:lineRule="auto"/>
        <w:jc w:val="both"/>
        <w:rPr>
          <w:rFonts w:ascii="Century Gothic" w:hAnsi="Century Gothic"/>
        </w:rPr>
      </w:pPr>
      <w:r w:rsidRPr="00A00AEB">
        <w:rPr>
          <w:rFonts w:ascii="Century Gothic" w:hAnsi="Century Gothic"/>
        </w:rPr>
        <w:t>GENÉRICA O INNOMINADA</w:t>
      </w:r>
    </w:p>
    <w:p w14:paraId="46F0C7DB" w14:textId="77777777" w:rsidR="00696A71" w:rsidRPr="00696A71" w:rsidRDefault="00696A71" w:rsidP="00696A71">
      <w:pPr>
        <w:pStyle w:val="Prrafodelista"/>
        <w:spacing w:line="360" w:lineRule="auto"/>
        <w:ind w:left="1080"/>
        <w:jc w:val="both"/>
        <w:rPr>
          <w:rFonts w:ascii="Century Gothic" w:hAnsi="Century Gothic"/>
        </w:rPr>
      </w:pPr>
    </w:p>
    <w:p w14:paraId="594CF474" w14:textId="77777777" w:rsidR="00CA01DF" w:rsidRPr="00A00AEB" w:rsidRDefault="00FD07C5" w:rsidP="00696A71">
      <w:pPr>
        <w:pStyle w:val="Prrafodelista"/>
        <w:numPr>
          <w:ilvl w:val="0"/>
          <w:numId w:val="5"/>
        </w:numPr>
        <w:spacing w:line="360" w:lineRule="auto"/>
        <w:jc w:val="both"/>
        <w:rPr>
          <w:rFonts w:ascii="Century Gothic" w:hAnsi="Century Gothic"/>
          <w:b/>
          <w:bCs/>
        </w:rPr>
      </w:pPr>
      <w:r w:rsidRPr="00A00AEB">
        <w:rPr>
          <w:rFonts w:ascii="Century Gothic" w:hAnsi="Century Gothic"/>
          <w:b/>
          <w:bCs/>
        </w:rPr>
        <w:t>EXCEPCIONES FRENTE AL LLAMAMIENTO EN GARANTÍA:</w:t>
      </w:r>
      <w:r w:rsidR="007F5E92" w:rsidRPr="00A00AEB">
        <w:rPr>
          <w:rFonts w:ascii="Century Gothic" w:hAnsi="Century Gothic"/>
          <w:b/>
          <w:bCs/>
        </w:rPr>
        <w:t xml:space="preserve"> </w:t>
      </w:r>
    </w:p>
    <w:p w14:paraId="636E9D42" w14:textId="784AEC91" w:rsidR="00FA477F" w:rsidRPr="00A00AEB" w:rsidRDefault="00FA477F" w:rsidP="00696A71">
      <w:pPr>
        <w:pStyle w:val="Prrafodelista"/>
        <w:spacing w:line="360" w:lineRule="auto"/>
        <w:jc w:val="both"/>
        <w:rPr>
          <w:rFonts w:ascii="Century Gothic" w:hAnsi="Century Gothic"/>
          <w:b/>
          <w:bCs/>
        </w:rPr>
      </w:pPr>
    </w:p>
    <w:p w14:paraId="76B83734"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FALTA DE COBERTURA MATERIAL AL ESTAR ANTE RIESGOS EXPRESAMENTE EXCLUIDOS DE AMPARO – NUMERAL 9 DEL LITERAL C “EXCLUSIONES APLICABLES A TODAS LAS COBETURAS”</w:t>
      </w:r>
    </w:p>
    <w:p w14:paraId="5A7F7382" w14:textId="7777777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 xml:space="preserve">PRESCRIPCIÓN DE LA ACCIÓN DERIVADA DEL CONTRATO DE SEGURO. </w:t>
      </w:r>
    </w:p>
    <w:p w14:paraId="28BDD6BC" w14:textId="77777777" w:rsid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NO EXISTE OBLIGACIÓN INDEMNIZATORIA A CARGO DE LA EQUIDAD SEGUROS O.C., TODA VEZ QUE NO SE HA REALIZADO EL RIESGO ASEGURADO</w:t>
      </w:r>
    </w:p>
    <w:p w14:paraId="78493D4F" w14:textId="7EE4F494"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RIESGOS EXPRESAMENTE EXCLUIDOS EN LA PÓLIZA DE RESPONSABILIDAD CIVIL PROFESIONAL CLÍNICAS Y HOSPITALES No. AA195705</w:t>
      </w:r>
    </w:p>
    <w:p w14:paraId="1F416A88" w14:textId="4DB4668A"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CARÁCTER MERAMENTE INDEMNIZATORIO QUE REVISTEN LOS CONTRATOS DE SEGUROS.</w:t>
      </w:r>
    </w:p>
    <w:p w14:paraId="409DB96A" w14:textId="2B3821C9"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 xml:space="preserve">EN CUALQUIER CASO, DE NINGUNA FORMA SE PODRÁ EXCEDER EL LÍMITE DEL VALOR ASEGURADO EN LA PÓLIZA No. </w:t>
      </w:r>
      <w:r w:rsidR="00696A71" w:rsidRPr="00696A71">
        <w:rPr>
          <w:rFonts w:ascii="Century Gothic" w:hAnsi="Century Gothic"/>
        </w:rPr>
        <w:t>AA195705</w:t>
      </w:r>
      <w:r w:rsidRPr="00A00AEB">
        <w:rPr>
          <w:rFonts w:ascii="Century Gothic" w:hAnsi="Century Gothic"/>
        </w:rPr>
        <w:t>.</w:t>
      </w:r>
    </w:p>
    <w:p w14:paraId="6F28A969" w14:textId="230B5E5B"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 xml:space="preserve">LIMITES MÁXIMOS DE RESPONSABILIDAD DEL ASEGURADOR EN LO ATINENTE AL DEDUCIBLE PACTADO EN LA PÓLIZA No. </w:t>
      </w:r>
      <w:r w:rsidR="00696A71" w:rsidRPr="00696A71">
        <w:rPr>
          <w:rFonts w:ascii="Century Gothic" w:hAnsi="Century Gothic"/>
        </w:rPr>
        <w:t>AA195705</w:t>
      </w:r>
    </w:p>
    <w:p w14:paraId="60C0FCE5" w14:textId="0D555B0D" w:rsidR="00CC0C06"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DISPONIBILIDAD DEL VALOR ASEGURADO.</w:t>
      </w:r>
    </w:p>
    <w:p w14:paraId="4F7C5EA4" w14:textId="29611D87" w:rsidR="00696A71" w:rsidRPr="00696A71" w:rsidRDefault="00696A71" w:rsidP="00696A71">
      <w:pPr>
        <w:pStyle w:val="Prrafodelista"/>
        <w:numPr>
          <w:ilvl w:val="1"/>
          <w:numId w:val="5"/>
        </w:numPr>
        <w:spacing w:line="360" w:lineRule="auto"/>
        <w:rPr>
          <w:rFonts w:ascii="Century Gothic" w:hAnsi="Century Gothic"/>
        </w:rPr>
      </w:pPr>
      <w:r w:rsidRPr="00696A71">
        <w:rPr>
          <w:rFonts w:ascii="Century Gothic" w:hAnsi="Century Gothic"/>
        </w:rPr>
        <w:t>SUJECIÓN A LAS CONDICIONES PARTICULARES Y GENERALES DEL CONTRATO DE SEGURO, EN LA QUE SE IDENTIFICA LA PÓLIZA No. AA195705, EL CLAUSULADO Y LOS AMPAROS.</w:t>
      </w:r>
    </w:p>
    <w:p w14:paraId="6BAD4FF0" w14:textId="5FA9DC5D" w:rsidR="00CC0C06" w:rsidRPr="00A00AEB" w:rsidRDefault="00CC0C06" w:rsidP="00696A71">
      <w:pPr>
        <w:pStyle w:val="Prrafodelista"/>
        <w:numPr>
          <w:ilvl w:val="1"/>
          <w:numId w:val="5"/>
        </w:numPr>
        <w:spacing w:line="360" w:lineRule="auto"/>
        <w:rPr>
          <w:rFonts w:ascii="Century Gothic" w:hAnsi="Century Gothic"/>
        </w:rPr>
      </w:pPr>
      <w:r w:rsidRPr="00A00AEB">
        <w:rPr>
          <w:rFonts w:ascii="Century Gothic" w:hAnsi="Century Gothic"/>
        </w:rPr>
        <w:t>GENÉRICA O INNOMINADA</w:t>
      </w:r>
    </w:p>
    <w:p w14:paraId="035C3E82" w14:textId="0982209A" w:rsidR="00906282" w:rsidRPr="00A00AEB" w:rsidRDefault="00906282" w:rsidP="00FD07C5">
      <w:pPr>
        <w:spacing w:line="360" w:lineRule="auto"/>
        <w:rPr>
          <w:rFonts w:ascii="Century Gothic" w:hAnsi="Century Gothic"/>
        </w:rPr>
      </w:pPr>
      <w:r w:rsidRPr="00A00AEB">
        <w:rPr>
          <w:rFonts w:ascii="Century Gothic" w:hAnsi="Century Gothic"/>
          <w:b/>
        </w:rPr>
        <w:t>Siniestro</w:t>
      </w:r>
      <w:r w:rsidRPr="00A00AEB">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9210F0" w:rsidRPr="009210F0">
            <w:rPr>
              <w:rFonts w:ascii="Century Gothic" w:hAnsi="Century Gothic"/>
              <w:color w:val="000000"/>
              <w:shd w:val="clear" w:color="auto" w:fill="FFFFFF"/>
            </w:rPr>
            <w:t>10146810</w:t>
          </w:r>
        </w:sdtContent>
      </w:sdt>
    </w:p>
    <w:p w14:paraId="04D6BA07" w14:textId="45E7610E" w:rsidR="00906282" w:rsidRPr="00A00AEB" w:rsidRDefault="00906282" w:rsidP="00877CAA">
      <w:pPr>
        <w:spacing w:line="360" w:lineRule="auto"/>
        <w:jc w:val="both"/>
        <w:rPr>
          <w:rFonts w:ascii="Century Gothic" w:hAnsi="Century Gothic"/>
        </w:rPr>
      </w:pPr>
      <w:r w:rsidRPr="00A00AEB">
        <w:rPr>
          <w:rFonts w:ascii="Century Gothic" w:hAnsi="Century Gothic"/>
          <w:b/>
        </w:rPr>
        <w:lastRenderedPageBreak/>
        <w:t>Póliza</w:t>
      </w:r>
      <w:r w:rsidRPr="00A00AEB">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CC0C06" w:rsidRPr="00A00AEB">
            <w:rPr>
              <w:rStyle w:val="Estilo3"/>
              <w:b w:val="0"/>
              <w:bCs/>
            </w:rPr>
            <w:t xml:space="preserve">Póliza de Seguro Responsabilidad Civil Profesional Clínicas y Hospitales No. </w:t>
          </w:r>
          <w:r w:rsidR="00773FE7">
            <w:rPr>
              <w:rStyle w:val="Estilo3"/>
              <w:b w:val="0"/>
              <w:bCs/>
            </w:rPr>
            <w:t>AA195705</w:t>
          </w:r>
          <w:r w:rsidR="00CC0C06" w:rsidRPr="00A00AEB">
            <w:rPr>
              <w:rStyle w:val="Estilo3"/>
              <w:b w:val="0"/>
              <w:bCs/>
            </w:rPr>
            <w:t>.</w:t>
          </w:r>
        </w:sdtContent>
      </w:sdt>
    </w:p>
    <w:p w14:paraId="3CAB45E1" w14:textId="4A937119" w:rsidR="00906282" w:rsidRPr="00A00AEB" w:rsidRDefault="00906282" w:rsidP="00FD07C5">
      <w:pPr>
        <w:spacing w:line="360" w:lineRule="auto"/>
        <w:rPr>
          <w:rFonts w:ascii="Century Gothic" w:hAnsi="Century Gothic"/>
        </w:rPr>
      </w:pPr>
      <w:r w:rsidRPr="00A00AEB">
        <w:rPr>
          <w:rFonts w:ascii="Century Gothic" w:hAnsi="Century Gothic"/>
          <w:b/>
        </w:rPr>
        <w:t>Vigencia Afectada</w:t>
      </w:r>
      <w:r w:rsidRPr="00A00AEB">
        <w:rPr>
          <w:rFonts w:ascii="Century Gothic" w:hAnsi="Century Gothic"/>
        </w:rPr>
        <w:t xml:space="preserve">: </w:t>
      </w:r>
      <w:sdt>
        <w:sdtPr>
          <w:rPr>
            <w:rFonts w:ascii="Century Gothic" w:hAnsi="Century Gothic"/>
          </w:rPr>
          <w:id w:val="-878393758"/>
          <w:placeholder>
            <w:docPart w:val="0840BF8604D14C35874A893D390FBAE9"/>
          </w:placeholder>
          <w:date w:fullDate="2019-08-30T00:00:00Z">
            <w:dateFormat w:val="dd/MM/yyyy"/>
            <w:lid w:val="es-CO"/>
            <w:storeMappedDataAs w:val="dateTime"/>
            <w:calendar w:val="gregorian"/>
          </w:date>
        </w:sdtPr>
        <w:sdtContent>
          <w:r w:rsidR="00773FE7">
            <w:rPr>
              <w:rFonts w:ascii="Century Gothic" w:hAnsi="Century Gothic"/>
            </w:rPr>
            <w:t>30/08/2019</w:t>
          </w:r>
        </w:sdtContent>
      </w:sdt>
      <w:r w:rsidRPr="00A00AEB">
        <w:rPr>
          <w:rFonts w:ascii="Century Gothic" w:hAnsi="Century Gothic"/>
        </w:rPr>
        <w:t xml:space="preserve"> al </w:t>
      </w:r>
      <w:sdt>
        <w:sdtPr>
          <w:rPr>
            <w:rFonts w:ascii="Century Gothic" w:hAnsi="Century Gothic"/>
          </w:rPr>
          <w:id w:val="-1195382093"/>
          <w:placeholder>
            <w:docPart w:val="0840BF8604D14C35874A893D390FBAE9"/>
          </w:placeholder>
          <w:date w:fullDate="2020-08-30T00:00:00Z">
            <w:dateFormat w:val="dd/MM/yyyy"/>
            <w:lid w:val="es-CO"/>
            <w:storeMappedDataAs w:val="dateTime"/>
            <w:calendar w:val="gregorian"/>
          </w:date>
        </w:sdtPr>
        <w:sdtContent>
          <w:r w:rsidR="00773FE7">
            <w:rPr>
              <w:rFonts w:ascii="Century Gothic" w:hAnsi="Century Gothic"/>
            </w:rPr>
            <w:t>30/08/2020</w:t>
          </w:r>
        </w:sdtContent>
      </w:sdt>
    </w:p>
    <w:p w14:paraId="11A4B071" w14:textId="5750C0FB" w:rsidR="00906282" w:rsidRPr="00A00AEB" w:rsidRDefault="00906282" w:rsidP="00906282">
      <w:pPr>
        <w:spacing w:line="360" w:lineRule="auto"/>
        <w:rPr>
          <w:rFonts w:ascii="Century Gothic" w:hAnsi="Century Gothic"/>
        </w:rPr>
      </w:pPr>
      <w:r w:rsidRPr="00A00AEB">
        <w:rPr>
          <w:rFonts w:ascii="Century Gothic" w:hAnsi="Century Gothic"/>
          <w:b/>
        </w:rPr>
        <w:t>Ramo</w:t>
      </w:r>
      <w:r w:rsidRPr="00A00AEB">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2136A2" w:rsidRPr="00A00AEB">
            <w:rPr>
              <w:rStyle w:val="Estilo3"/>
              <w:b w:val="0"/>
              <w:bCs/>
            </w:rPr>
            <w:t>RC SALUD</w:t>
          </w:r>
        </w:sdtContent>
      </w:sdt>
    </w:p>
    <w:p w14:paraId="7611A182" w14:textId="6CFB5A62" w:rsidR="00906282" w:rsidRPr="00A00AEB" w:rsidRDefault="00906282" w:rsidP="00906282">
      <w:pPr>
        <w:spacing w:line="360" w:lineRule="auto"/>
        <w:rPr>
          <w:rFonts w:ascii="Century Gothic" w:hAnsi="Century Gothic"/>
        </w:rPr>
      </w:pPr>
      <w:r w:rsidRPr="00A00AEB">
        <w:rPr>
          <w:rFonts w:ascii="Century Gothic" w:hAnsi="Century Gothic"/>
          <w:b/>
        </w:rPr>
        <w:t>Agencia Expide</w:t>
      </w:r>
      <w:r w:rsidRPr="00A00AEB">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2136A2" w:rsidRPr="00A00AEB">
            <w:rPr>
              <w:rStyle w:val="Estilo3"/>
              <w:b w:val="0"/>
            </w:rPr>
            <w:t>100001 BOGOTA CALLE 100</w:t>
          </w:r>
        </w:sdtContent>
      </w:sdt>
    </w:p>
    <w:p w14:paraId="1D6DFCDA" w14:textId="0FEF688E" w:rsidR="00906282" w:rsidRPr="00A00AEB" w:rsidRDefault="00906282" w:rsidP="00906282">
      <w:pPr>
        <w:spacing w:line="360" w:lineRule="auto"/>
        <w:rPr>
          <w:rFonts w:ascii="Century Gothic" w:hAnsi="Century Gothic"/>
        </w:rPr>
      </w:pPr>
      <w:r w:rsidRPr="00A00AEB">
        <w:rPr>
          <w:rFonts w:ascii="Century Gothic" w:hAnsi="Century Gothic"/>
          <w:b/>
        </w:rPr>
        <w:t>Placa</w:t>
      </w:r>
      <w:r w:rsidRPr="00A00AEB">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2136A2" w:rsidRPr="00A00AEB">
            <w:rPr>
              <w:rStyle w:val="Estilo3"/>
              <w:b w:val="0"/>
              <w:bCs/>
            </w:rPr>
            <w:t>N/A</w:t>
          </w:r>
        </w:sdtContent>
      </w:sdt>
    </w:p>
    <w:p w14:paraId="1F89FE28" w14:textId="203000EB" w:rsidR="00906282" w:rsidRPr="00A00AEB" w:rsidRDefault="00906282" w:rsidP="00906282">
      <w:pPr>
        <w:spacing w:line="360" w:lineRule="auto"/>
        <w:rPr>
          <w:rFonts w:ascii="Century Gothic" w:hAnsi="Century Gothic"/>
        </w:rPr>
      </w:pPr>
      <w:r w:rsidRPr="00A00AEB">
        <w:rPr>
          <w:rFonts w:ascii="Century Gothic" w:hAnsi="Century Gothic"/>
          <w:b/>
        </w:rPr>
        <w:t>Valor Asegurado</w:t>
      </w:r>
      <w:r w:rsidRPr="00A00AEB">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2136A2" w:rsidRPr="00A00AEB">
            <w:rPr>
              <w:rFonts w:ascii="Century Gothic" w:hAnsi="Century Gothic"/>
            </w:rPr>
            <w:t>$</w:t>
          </w:r>
          <w:r w:rsidR="00CC0C06" w:rsidRPr="00A00AEB">
            <w:rPr>
              <w:rFonts w:ascii="Century Gothic" w:hAnsi="Century Gothic"/>
            </w:rPr>
            <w:t>4.500.000.000</w:t>
          </w:r>
          <w:r w:rsidR="00970CC7" w:rsidRPr="00A00AEB">
            <w:rPr>
              <w:rFonts w:ascii="Century Gothic" w:hAnsi="Century Gothic"/>
            </w:rPr>
            <w:t xml:space="preserve"> </w:t>
          </w:r>
        </w:sdtContent>
      </w:sdt>
    </w:p>
    <w:p w14:paraId="0BE7F889" w14:textId="543F4BEB" w:rsidR="00906282" w:rsidRPr="00A00AEB" w:rsidRDefault="00906282" w:rsidP="00906282">
      <w:pPr>
        <w:spacing w:line="360" w:lineRule="auto"/>
        <w:rPr>
          <w:rFonts w:ascii="Century Gothic" w:hAnsi="Century Gothic"/>
        </w:rPr>
      </w:pPr>
      <w:r w:rsidRPr="00A00AEB">
        <w:rPr>
          <w:rFonts w:ascii="Century Gothic" w:hAnsi="Century Gothic"/>
          <w:b/>
        </w:rPr>
        <w:t>Deducible</w:t>
      </w:r>
      <w:r w:rsidRPr="00A00AEB">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970CC7" w:rsidRPr="00A00AEB">
            <w:rPr>
              <w:rStyle w:val="Estilo3"/>
              <w:b w:val="0"/>
            </w:rPr>
            <w:t>1</w:t>
          </w:r>
          <w:r w:rsidR="00CC0C06" w:rsidRPr="00A00AEB">
            <w:rPr>
              <w:rStyle w:val="Estilo3"/>
              <w:b w:val="0"/>
            </w:rPr>
            <w:t>0</w:t>
          </w:r>
          <w:r w:rsidRPr="00A00AEB">
            <w:rPr>
              <w:rStyle w:val="Estilo3"/>
              <w:b w:val="0"/>
            </w:rPr>
            <w:t xml:space="preserve"> </w:t>
          </w:r>
        </w:sdtContent>
      </w:sdt>
      <w:r w:rsidRPr="00A00AEB">
        <w:rPr>
          <w:rFonts w:ascii="Century Gothic" w:hAnsi="Century Gothic"/>
        </w:rPr>
        <w:t>%</w:t>
      </w:r>
      <w:r w:rsidR="002136A2" w:rsidRPr="00A00AEB">
        <w:rPr>
          <w:rFonts w:ascii="Century Gothic" w:hAnsi="Century Gothic"/>
        </w:rPr>
        <w:t xml:space="preserve"> (Mínimo $</w:t>
      </w:r>
      <w:r w:rsidR="009531C3" w:rsidRPr="00A00AEB">
        <w:rPr>
          <w:rFonts w:ascii="Century Gothic" w:hAnsi="Century Gothic"/>
        </w:rPr>
        <w:t>1SMMLV</w:t>
      </w:r>
      <w:r w:rsidR="002136A2" w:rsidRPr="00A00AEB">
        <w:rPr>
          <w:rFonts w:ascii="Century Gothic" w:hAnsi="Century Gothic"/>
        </w:rPr>
        <w:t>)</w:t>
      </w:r>
    </w:p>
    <w:p w14:paraId="5D36557E" w14:textId="089888CF" w:rsidR="00906282" w:rsidRPr="00A00AEB" w:rsidRDefault="00906282" w:rsidP="00970CC7">
      <w:pPr>
        <w:spacing w:line="360" w:lineRule="auto"/>
        <w:jc w:val="both"/>
        <w:rPr>
          <w:rFonts w:ascii="Century Gothic" w:hAnsi="Century Gothic"/>
        </w:rPr>
      </w:pPr>
      <w:r w:rsidRPr="00A00AEB">
        <w:rPr>
          <w:rFonts w:ascii="Century Gothic" w:hAnsi="Century Gothic"/>
          <w:b/>
        </w:rPr>
        <w:t>Exceso</w:t>
      </w:r>
      <w:r w:rsidRPr="00A00AEB">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A00AEB">
            <w:rPr>
              <w:rStyle w:val="Estilo3"/>
              <w:b w:val="0"/>
            </w:rPr>
            <w:t>NO</w:t>
          </w:r>
        </w:sdtContent>
      </w:sdt>
    </w:p>
    <w:p w14:paraId="087AA5AF" w14:textId="7B1BEE50" w:rsidR="00906282" w:rsidRPr="00A00AEB" w:rsidRDefault="00906282" w:rsidP="00D95263">
      <w:pPr>
        <w:spacing w:line="360" w:lineRule="auto"/>
        <w:outlineLvl w:val="0"/>
        <w:rPr>
          <w:rFonts w:ascii="Century Gothic" w:hAnsi="Century Gothic"/>
        </w:rPr>
      </w:pPr>
      <w:r w:rsidRPr="00A00AEB">
        <w:rPr>
          <w:rFonts w:ascii="Century Gothic" w:hAnsi="Century Gothic"/>
          <w:b/>
        </w:rPr>
        <w:t>Contingencia</w:t>
      </w:r>
      <w:r w:rsidRPr="00A00AEB">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A00AEB" w:rsidRPr="00A00AEB">
            <w:rPr>
              <w:rStyle w:val="Estilo3"/>
              <w:b w:val="0"/>
            </w:rPr>
            <w:t>PROBABLE</w:t>
          </w:r>
        </w:sdtContent>
      </w:sdt>
    </w:p>
    <w:p w14:paraId="0D2479EB" w14:textId="7F53B1A5" w:rsidR="00906282" w:rsidRPr="00A00AEB" w:rsidRDefault="00906282" w:rsidP="00906282">
      <w:pPr>
        <w:spacing w:line="360" w:lineRule="auto"/>
        <w:jc w:val="both"/>
        <w:rPr>
          <w:rFonts w:ascii="Century Gothic" w:hAnsi="Century Gothic"/>
        </w:rPr>
      </w:pPr>
      <w:r w:rsidRPr="00A00AEB">
        <w:rPr>
          <w:rFonts w:ascii="Century Gothic" w:hAnsi="Century Gothic"/>
          <w:b/>
        </w:rPr>
        <w:t>Reserva sugerida</w:t>
      </w:r>
      <w:r w:rsidRPr="00A00AEB">
        <w:rPr>
          <w:rFonts w:ascii="Century Gothic" w:hAnsi="Century Gothic"/>
        </w:rPr>
        <w:t>:</w:t>
      </w:r>
      <w:r w:rsidR="00AC00CB" w:rsidRPr="00A00AEB">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71784D" w:rsidRPr="0071784D">
            <w:rPr>
              <w:rFonts w:ascii="Century Gothic" w:hAnsi="Century Gothic"/>
            </w:rPr>
            <w:t>$372,187,212</w:t>
          </w:r>
        </w:sdtContent>
      </w:sdt>
    </w:p>
    <w:p w14:paraId="2B838E92" w14:textId="10D05717" w:rsidR="00E63391" w:rsidRPr="00A00AEB" w:rsidRDefault="00906282" w:rsidP="00B84BF0">
      <w:pPr>
        <w:spacing w:line="360" w:lineRule="auto"/>
        <w:jc w:val="both"/>
        <w:rPr>
          <w:rFonts w:ascii="Century Gothic" w:hAnsi="Century Gothic"/>
          <w:bCs/>
        </w:rPr>
      </w:pPr>
      <w:r w:rsidRPr="00A00AEB">
        <w:rPr>
          <w:rFonts w:ascii="Century Gothic" w:hAnsi="Century Gothic"/>
          <w:b/>
          <w:bCs/>
        </w:rPr>
        <w:t>Concepto del Apoderado designado para el caso</w:t>
      </w:r>
      <w:r w:rsidRPr="00A00AEB">
        <w:rPr>
          <w:rFonts w:ascii="Century Gothic" w:hAnsi="Century Gothic"/>
          <w:bCs/>
        </w:rPr>
        <w:t xml:space="preserve">:  </w:t>
      </w:r>
      <w:r w:rsidR="002D381D" w:rsidRPr="00A00AEB">
        <w:rPr>
          <w:rFonts w:ascii="Century Gothic" w:hAnsi="Century Gothic"/>
          <w:bCs/>
        </w:rPr>
        <w:t xml:space="preserve">La contingencia se califica como </w:t>
      </w:r>
      <w:r w:rsidR="00A00AEB" w:rsidRPr="00A00AEB">
        <w:rPr>
          <w:rFonts w:ascii="Century Gothic" w:hAnsi="Century Gothic"/>
          <w:bCs/>
        </w:rPr>
        <w:t>PROBABLE</w:t>
      </w:r>
      <w:r w:rsidR="002D381D" w:rsidRPr="00A00AEB">
        <w:rPr>
          <w:rFonts w:ascii="Century Gothic" w:hAnsi="Century Gothic"/>
          <w:bCs/>
        </w:rPr>
        <w:t xml:space="preserve">, </w:t>
      </w:r>
      <w:r w:rsidR="00A00AEB" w:rsidRPr="00A00AEB">
        <w:rPr>
          <w:rFonts w:ascii="Century Gothic" w:hAnsi="Century Gothic"/>
          <w:bCs/>
        </w:rPr>
        <w:t>por cuanto</w:t>
      </w:r>
      <w:r w:rsidR="00514A64" w:rsidRPr="00A00AEB">
        <w:rPr>
          <w:rFonts w:ascii="Century Gothic" w:hAnsi="Century Gothic"/>
          <w:bCs/>
        </w:rPr>
        <w:t xml:space="preserve"> </w:t>
      </w:r>
      <w:r w:rsidR="00636388" w:rsidRPr="00A00AEB">
        <w:rPr>
          <w:rFonts w:ascii="Century Gothic" w:hAnsi="Century Gothic"/>
          <w:bCs/>
        </w:rPr>
        <w:t xml:space="preserve">la </w:t>
      </w:r>
      <w:r w:rsidR="00514A64" w:rsidRPr="00A00AEB">
        <w:rPr>
          <w:rFonts w:ascii="Century Gothic" w:hAnsi="Century Gothic"/>
          <w:bCs/>
        </w:rPr>
        <w:t xml:space="preserve">póliza </w:t>
      </w:r>
      <w:r w:rsidR="00773FE7">
        <w:rPr>
          <w:rStyle w:val="Estilo3"/>
          <w:b w:val="0"/>
          <w:bCs/>
        </w:rPr>
        <w:t xml:space="preserve">AA195705 </w:t>
      </w:r>
      <w:r w:rsidR="00514A64" w:rsidRPr="00A00AEB">
        <w:rPr>
          <w:rFonts w:ascii="Century Gothic" w:hAnsi="Century Gothic"/>
          <w:bCs/>
        </w:rPr>
        <w:t>presta cobertura temporal y material</w:t>
      </w:r>
      <w:r w:rsidR="00EE5B9C">
        <w:rPr>
          <w:rFonts w:ascii="Century Gothic" w:hAnsi="Century Gothic"/>
          <w:bCs/>
        </w:rPr>
        <w:t>. Así mismo,</w:t>
      </w:r>
      <w:r w:rsidR="00514A64" w:rsidRPr="00A00AEB">
        <w:rPr>
          <w:rFonts w:ascii="Century Gothic" w:hAnsi="Century Gothic"/>
          <w:bCs/>
        </w:rPr>
        <w:t xml:space="preserve"> </w:t>
      </w:r>
      <w:bookmarkStart w:id="1" w:name="_Hlk142487042"/>
      <w:r w:rsidR="000B55E3">
        <w:rPr>
          <w:rFonts w:ascii="Century Gothic" w:hAnsi="Century Gothic"/>
          <w:bCs/>
        </w:rPr>
        <w:t xml:space="preserve">dependerá del debate probatorio determinar si </w:t>
      </w:r>
      <w:r w:rsidR="00A00AEB" w:rsidRPr="00A00AEB">
        <w:rPr>
          <w:rFonts w:ascii="Century Gothic" w:hAnsi="Century Gothic"/>
          <w:bCs/>
        </w:rPr>
        <w:t xml:space="preserve">existe </w:t>
      </w:r>
      <w:r w:rsidR="00EE5B9C">
        <w:rPr>
          <w:rFonts w:ascii="Century Gothic" w:hAnsi="Century Gothic"/>
          <w:bCs/>
        </w:rPr>
        <w:t>relación causal entre la atención médica prestada entre mayo y agosto de 2018 y el fallecimiento del señor Augusto Enrique Tinoco Garcés</w:t>
      </w:r>
      <w:r w:rsidR="00A00AEB" w:rsidRPr="00A00AEB">
        <w:rPr>
          <w:rFonts w:ascii="Century Gothic" w:hAnsi="Century Gothic"/>
          <w:bCs/>
        </w:rPr>
        <w:t>.</w:t>
      </w:r>
    </w:p>
    <w:p w14:paraId="3245D2D8" w14:textId="6D01CE34" w:rsidR="00EF49D9" w:rsidRDefault="00EF49D9" w:rsidP="00072E80">
      <w:pPr>
        <w:spacing w:line="360" w:lineRule="auto"/>
        <w:jc w:val="both"/>
        <w:rPr>
          <w:rFonts w:ascii="Century Gothic" w:hAnsi="Century Gothic"/>
          <w:bCs/>
        </w:rPr>
      </w:pPr>
      <w:r w:rsidRPr="00A00AEB">
        <w:rPr>
          <w:rFonts w:ascii="Century Gothic" w:hAnsi="Century Gothic"/>
          <w:bCs/>
        </w:rPr>
        <w:t xml:space="preserve">Lo primero que debe tomarse en consideración es que la Póliza </w:t>
      </w:r>
      <w:r w:rsidR="00773FE7">
        <w:rPr>
          <w:rStyle w:val="Estilo3"/>
          <w:b w:val="0"/>
          <w:bCs/>
        </w:rPr>
        <w:t xml:space="preserve">AA195705 </w:t>
      </w:r>
      <w:r w:rsidRPr="00A00AEB">
        <w:rPr>
          <w:rFonts w:ascii="Century Gothic" w:hAnsi="Century Gothic"/>
          <w:bCs/>
        </w:rPr>
        <w:t xml:space="preserve">cuyo tomador y asegurado es </w:t>
      </w:r>
      <w:r w:rsidR="00EE5B9C">
        <w:rPr>
          <w:rFonts w:ascii="Century Gothic" w:hAnsi="Century Gothic"/>
          <w:bCs/>
        </w:rPr>
        <w:t>Entidad Promotora de Salud Sanitas</w:t>
      </w:r>
      <w:r w:rsidR="00773FE7">
        <w:rPr>
          <w:rFonts w:ascii="Century Gothic" w:hAnsi="Century Gothic"/>
          <w:bCs/>
        </w:rPr>
        <w:t xml:space="preserve"> S.A</w:t>
      </w:r>
      <w:r w:rsidR="009531C3" w:rsidRPr="00A00AEB">
        <w:rPr>
          <w:rFonts w:ascii="Century Gothic" w:hAnsi="Century Gothic"/>
          <w:bCs/>
        </w:rPr>
        <w:t>.</w:t>
      </w:r>
      <w:r w:rsidRPr="00A00AEB">
        <w:rPr>
          <w:rFonts w:ascii="Century Gothic" w:hAnsi="Century Gothic"/>
          <w:bCs/>
        </w:rPr>
        <w:t xml:space="preserve"> presta cobertura</w:t>
      </w:r>
      <w:r w:rsidR="00EE5B9C">
        <w:rPr>
          <w:rFonts w:ascii="Century Gothic" w:hAnsi="Century Gothic"/>
          <w:bCs/>
        </w:rPr>
        <w:t xml:space="preserve"> material y temporal de conformidad con los hechos y pretensiones de la demanda. </w:t>
      </w:r>
      <w:r w:rsidR="00555AE1">
        <w:rPr>
          <w:rFonts w:ascii="Century Gothic" w:hAnsi="Century Gothic"/>
          <w:bCs/>
        </w:rPr>
        <w:t xml:space="preserve">Frente a la cobertura material, debe mencionarse que la póliza ampara la responsabilidad civil profesional, pretensión que se endilga a la EPS asegurada. Frente a la cobertura temporal, debe decirse que su modalidad </w:t>
      </w:r>
      <w:r w:rsidRPr="00A00AEB">
        <w:rPr>
          <w:rFonts w:ascii="Century Gothic" w:hAnsi="Century Gothic"/>
          <w:bCs/>
        </w:rPr>
        <w:t>de cobertura</w:t>
      </w:r>
      <w:r w:rsidR="00555AE1">
        <w:rPr>
          <w:rFonts w:ascii="Century Gothic" w:hAnsi="Century Gothic"/>
          <w:bCs/>
        </w:rPr>
        <w:t xml:space="preserve"> es</w:t>
      </w:r>
      <w:r w:rsidRPr="00A00AEB">
        <w:rPr>
          <w:rFonts w:ascii="Century Gothic" w:hAnsi="Century Gothic"/>
          <w:bCs/>
        </w:rPr>
        <w:t xml:space="preserve"> Claims Made,</w:t>
      </w:r>
      <w:r w:rsidR="00555AE1">
        <w:rPr>
          <w:rFonts w:ascii="Century Gothic" w:hAnsi="Century Gothic"/>
          <w:bCs/>
        </w:rPr>
        <w:t xml:space="preserve"> la cual ampara las indemnizaciones por las reclamaciones escritas presentadas por terceros afectados y, por primera vez al asegurado o a la aseguradora durante la vigencia de la póliza, por hechos ocurridos durante la misma vigencia o desde las vigencias anteriores contadas a partir del 1 de julio de </w:t>
      </w:r>
      <w:r w:rsidR="00555AE1">
        <w:rPr>
          <w:rFonts w:ascii="Century Gothic" w:hAnsi="Century Gothic"/>
          <w:bCs/>
        </w:rPr>
        <w:lastRenderedPageBreak/>
        <w:t xml:space="preserve">2006. De ese modo, debe tenerse en cuenta que la vigencia de la póliza está comprendida </w:t>
      </w:r>
      <w:r w:rsidRPr="00A00AEB">
        <w:rPr>
          <w:rFonts w:ascii="Century Gothic" w:hAnsi="Century Gothic"/>
          <w:bCs/>
        </w:rPr>
        <w:t xml:space="preserve">desde el </w:t>
      </w:r>
      <w:r w:rsidR="00E71365">
        <w:rPr>
          <w:rFonts w:ascii="Century Gothic" w:hAnsi="Century Gothic"/>
          <w:bCs/>
        </w:rPr>
        <w:t>30</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w:t>
      </w:r>
      <w:r w:rsidR="00E71365">
        <w:rPr>
          <w:rFonts w:ascii="Century Gothic" w:hAnsi="Century Gothic"/>
          <w:bCs/>
        </w:rPr>
        <w:t>19</w:t>
      </w:r>
      <w:r w:rsidR="00514A64" w:rsidRPr="00A00AEB">
        <w:rPr>
          <w:rFonts w:ascii="Century Gothic" w:hAnsi="Century Gothic"/>
          <w:bCs/>
        </w:rPr>
        <w:t xml:space="preserve"> hasta el </w:t>
      </w:r>
      <w:r w:rsidR="00E71365">
        <w:rPr>
          <w:rFonts w:ascii="Century Gothic" w:hAnsi="Century Gothic"/>
          <w:bCs/>
        </w:rPr>
        <w:t>30</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202</w:t>
      </w:r>
      <w:r w:rsidR="00E71365">
        <w:rPr>
          <w:rFonts w:ascii="Century Gothic" w:hAnsi="Century Gothic"/>
          <w:bCs/>
        </w:rPr>
        <w:t>0</w:t>
      </w:r>
      <w:r w:rsidR="00555AE1">
        <w:rPr>
          <w:rFonts w:ascii="Century Gothic" w:hAnsi="Century Gothic"/>
          <w:bCs/>
        </w:rPr>
        <w:t xml:space="preserve">. Ahora bien, como la primera reclamación al asegurado se presentó con la audiencia de conciliación extrajudicial </w:t>
      </w:r>
      <w:r w:rsidR="00BB216E">
        <w:rPr>
          <w:rFonts w:ascii="Century Gothic" w:hAnsi="Century Gothic"/>
          <w:bCs/>
        </w:rPr>
        <w:t>el 6 de agosto de 2019,</w:t>
      </w:r>
      <w:r w:rsidR="00DF5532">
        <w:rPr>
          <w:rFonts w:ascii="Century Gothic" w:hAnsi="Century Gothic"/>
          <w:bCs/>
        </w:rPr>
        <w:t xml:space="preserve"> </w:t>
      </w:r>
      <w:r w:rsidR="00BB216E">
        <w:rPr>
          <w:rFonts w:ascii="Century Gothic" w:hAnsi="Century Gothic"/>
          <w:bCs/>
        </w:rPr>
        <w:t>esto es, dentro de la delimitación temporal de la póliza</w:t>
      </w:r>
      <w:r w:rsidRPr="00A00AEB">
        <w:rPr>
          <w:rFonts w:ascii="Century Gothic" w:hAnsi="Century Gothic"/>
          <w:bCs/>
        </w:rPr>
        <w:t xml:space="preserve"> </w:t>
      </w:r>
      <w:r w:rsidR="00BB216E">
        <w:rPr>
          <w:rFonts w:ascii="Century Gothic" w:hAnsi="Century Gothic"/>
          <w:bCs/>
        </w:rPr>
        <w:t>y</w:t>
      </w:r>
      <w:r w:rsidR="00BB216E" w:rsidRPr="00A00AEB">
        <w:rPr>
          <w:rFonts w:ascii="Century Gothic" w:hAnsi="Century Gothic"/>
          <w:bCs/>
        </w:rPr>
        <w:t xml:space="preserve"> </w:t>
      </w:r>
      <w:r w:rsidR="00636388" w:rsidRPr="00A00AEB">
        <w:rPr>
          <w:rFonts w:ascii="Century Gothic" w:hAnsi="Century Gothic"/>
          <w:bCs/>
        </w:rPr>
        <w:t>los actos médicos reputados acaecieron</w:t>
      </w:r>
      <w:r w:rsidR="00514A64" w:rsidRPr="00A00AEB">
        <w:rPr>
          <w:rFonts w:ascii="Century Gothic" w:hAnsi="Century Gothic"/>
          <w:bCs/>
        </w:rPr>
        <w:t xml:space="preserve"> e</w:t>
      </w:r>
      <w:r w:rsidR="00E71365">
        <w:rPr>
          <w:rFonts w:ascii="Century Gothic" w:hAnsi="Century Gothic"/>
          <w:bCs/>
        </w:rPr>
        <w:t>ntre el 31 de mayo de 2018 y el</w:t>
      </w:r>
      <w:r w:rsidR="00514A64" w:rsidRPr="00A00AEB">
        <w:rPr>
          <w:rFonts w:ascii="Century Gothic" w:hAnsi="Century Gothic"/>
          <w:bCs/>
        </w:rPr>
        <w:t xml:space="preserve"> </w:t>
      </w:r>
      <w:r w:rsidR="00E71365">
        <w:rPr>
          <w:rFonts w:ascii="Century Gothic" w:hAnsi="Century Gothic"/>
          <w:bCs/>
        </w:rPr>
        <w:t>22</w:t>
      </w:r>
      <w:r w:rsidR="00514A64" w:rsidRPr="00A00AEB">
        <w:rPr>
          <w:rFonts w:ascii="Century Gothic" w:hAnsi="Century Gothic"/>
          <w:bCs/>
        </w:rPr>
        <w:t xml:space="preserve"> de </w:t>
      </w:r>
      <w:r w:rsidR="00E71365">
        <w:rPr>
          <w:rFonts w:ascii="Century Gothic" w:hAnsi="Century Gothic"/>
          <w:bCs/>
        </w:rPr>
        <w:t xml:space="preserve">agosto </w:t>
      </w:r>
      <w:r w:rsidR="00514A64" w:rsidRPr="00A00AEB">
        <w:rPr>
          <w:rFonts w:ascii="Century Gothic" w:hAnsi="Century Gothic"/>
          <w:bCs/>
        </w:rPr>
        <w:t>de 20</w:t>
      </w:r>
      <w:r w:rsidR="00E71365">
        <w:rPr>
          <w:rFonts w:ascii="Century Gothic" w:hAnsi="Century Gothic"/>
          <w:bCs/>
        </w:rPr>
        <w:t>18</w:t>
      </w:r>
      <w:r w:rsidR="00636388" w:rsidRPr="00A00AEB">
        <w:rPr>
          <w:rFonts w:ascii="Century Gothic" w:hAnsi="Century Gothic"/>
          <w:bCs/>
        </w:rPr>
        <w:t xml:space="preserve">, </w:t>
      </w:r>
      <w:r w:rsidR="00BB216E">
        <w:rPr>
          <w:rFonts w:ascii="Century Gothic" w:hAnsi="Century Gothic"/>
          <w:bCs/>
        </w:rPr>
        <w:t>dentro d</w:t>
      </w:r>
      <w:r w:rsidR="00636388" w:rsidRPr="00A00AEB">
        <w:rPr>
          <w:rFonts w:ascii="Century Gothic" w:hAnsi="Century Gothic"/>
          <w:bCs/>
        </w:rPr>
        <w:t>el periodo de</w:t>
      </w:r>
      <w:r w:rsidRPr="00A00AEB">
        <w:rPr>
          <w:rFonts w:ascii="Century Gothic" w:hAnsi="Century Gothic"/>
          <w:bCs/>
        </w:rPr>
        <w:t xml:space="preserve"> retroactividad </w:t>
      </w:r>
      <w:r w:rsidR="00636388" w:rsidRPr="00A00AEB">
        <w:rPr>
          <w:rFonts w:ascii="Century Gothic" w:hAnsi="Century Gothic"/>
          <w:bCs/>
        </w:rPr>
        <w:t xml:space="preserve">pactado </w:t>
      </w:r>
      <w:r w:rsidRPr="00A00AEB">
        <w:rPr>
          <w:rFonts w:ascii="Century Gothic" w:hAnsi="Century Gothic"/>
          <w:bCs/>
        </w:rPr>
        <w:t xml:space="preserve">desde el </w:t>
      </w:r>
      <w:r w:rsidR="00514A64" w:rsidRPr="00A00AEB">
        <w:rPr>
          <w:rFonts w:ascii="Century Gothic" w:hAnsi="Century Gothic"/>
          <w:bCs/>
        </w:rPr>
        <w:t>1</w:t>
      </w:r>
      <w:r w:rsidRPr="00A00AEB">
        <w:rPr>
          <w:rFonts w:ascii="Century Gothic" w:hAnsi="Century Gothic"/>
          <w:bCs/>
        </w:rPr>
        <w:t xml:space="preserve"> de </w:t>
      </w:r>
      <w:r w:rsidR="00514A64" w:rsidRPr="00A00AEB">
        <w:rPr>
          <w:rFonts w:ascii="Century Gothic" w:hAnsi="Century Gothic"/>
          <w:bCs/>
        </w:rPr>
        <w:t xml:space="preserve">julio </w:t>
      </w:r>
      <w:r w:rsidRPr="00A00AEB">
        <w:rPr>
          <w:rFonts w:ascii="Century Gothic" w:hAnsi="Century Gothic"/>
          <w:bCs/>
        </w:rPr>
        <w:t>de 2006</w:t>
      </w:r>
      <w:r w:rsidR="00BB216E">
        <w:rPr>
          <w:rFonts w:ascii="Century Gothic" w:hAnsi="Century Gothic"/>
          <w:bCs/>
        </w:rPr>
        <w:t>, es claro que presta cobertura temporal</w:t>
      </w:r>
      <w:r w:rsidR="00636388" w:rsidRPr="00A00AEB">
        <w:rPr>
          <w:rFonts w:ascii="Century Gothic" w:hAnsi="Century Gothic"/>
          <w:bCs/>
        </w:rPr>
        <w:t>.</w:t>
      </w:r>
      <w:r w:rsidR="00D27CE0" w:rsidRPr="00A00AEB">
        <w:rPr>
          <w:rFonts w:ascii="Century Gothic" w:hAnsi="Century Gothic"/>
          <w:bCs/>
        </w:rPr>
        <w:t xml:space="preserve"> </w:t>
      </w:r>
    </w:p>
    <w:p w14:paraId="5B127E6A" w14:textId="0453DEE9" w:rsidR="00DF5532" w:rsidRPr="00A00AEB" w:rsidRDefault="00DF5532" w:rsidP="00072E80">
      <w:pPr>
        <w:spacing w:line="360" w:lineRule="auto"/>
        <w:jc w:val="both"/>
        <w:rPr>
          <w:rFonts w:ascii="Century Gothic" w:hAnsi="Century Gothic"/>
          <w:bCs/>
        </w:rPr>
      </w:pPr>
      <w:r>
        <w:rPr>
          <w:rFonts w:ascii="Century Gothic" w:hAnsi="Century Gothic"/>
          <w:bCs/>
        </w:rPr>
        <w:t xml:space="preserve">Ahora bien, aunque los hechos de este proceso den lugar a la configuración de la exclusión contenida en literal C numeral 9 de las condiciones generales del seguro, lo cierto es que la misma no se encuentra a partir de la primera página de la póliza, y como consecuencia, podría ser declarada ineficaz, en los términos del artículo 184 del Estatuto Orgánico del Sistema Financiero y del artículo 44 de la Ley 45 de 1990. </w:t>
      </w:r>
    </w:p>
    <w:p w14:paraId="20CC2260" w14:textId="418CB433" w:rsidR="001D3E40" w:rsidRPr="00A00AEB" w:rsidRDefault="00787E02" w:rsidP="00787E02">
      <w:pPr>
        <w:spacing w:line="360" w:lineRule="auto"/>
        <w:jc w:val="both"/>
        <w:rPr>
          <w:rFonts w:ascii="Century Gothic" w:hAnsi="Century Gothic"/>
          <w:bCs/>
        </w:rPr>
      </w:pPr>
      <w:r w:rsidRPr="00A00AEB">
        <w:rPr>
          <w:rFonts w:ascii="Century Gothic" w:hAnsi="Century Gothic"/>
          <w:bCs/>
        </w:rPr>
        <w:t xml:space="preserve">Por otro lado, frente a la responsabilidad del asegurado, debe decirse que </w:t>
      </w:r>
      <w:r w:rsidR="000B55E3">
        <w:rPr>
          <w:rFonts w:ascii="Century Gothic" w:hAnsi="Century Gothic"/>
          <w:bCs/>
        </w:rPr>
        <w:t>dependerá del debate probatorio establecer la responsabilidad del asegurado en el fallecimiento del señor Augusto Tinoco. Lo anterior, considerando que los agravios en la salud del paciente dan inicio con la lesión intestinal causada durante un procedimiento laparoscópico</w:t>
      </w:r>
      <w:r w:rsidR="008401C1">
        <w:rPr>
          <w:rFonts w:ascii="Century Gothic" w:hAnsi="Century Gothic"/>
          <w:bCs/>
        </w:rPr>
        <w:t xml:space="preserve"> en una de las IPS adscritas a EPS Sanitas</w:t>
      </w:r>
      <w:r w:rsidR="000B55E3">
        <w:rPr>
          <w:rFonts w:ascii="Century Gothic" w:hAnsi="Century Gothic"/>
          <w:bCs/>
        </w:rPr>
        <w:t>, sin determinarse aún</w:t>
      </w:r>
      <w:r w:rsidR="008401C1">
        <w:rPr>
          <w:rFonts w:ascii="Century Gothic" w:hAnsi="Century Gothic"/>
          <w:bCs/>
        </w:rPr>
        <w:t>,</w:t>
      </w:r>
      <w:r w:rsidR="000B55E3">
        <w:rPr>
          <w:rFonts w:ascii="Century Gothic" w:hAnsi="Century Gothic"/>
          <w:bCs/>
        </w:rPr>
        <w:t xml:space="preserve"> que haya obedecido a un acto negligente o imprudent</w:t>
      </w:r>
      <w:r w:rsidR="008401C1">
        <w:rPr>
          <w:rFonts w:ascii="Century Gothic" w:hAnsi="Century Gothic"/>
          <w:bCs/>
        </w:rPr>
        <w:t>e de las demandadas</w:t>
      </w:r>
      <w:r w:rsidR="000B55E3">
        <w:rPr>
          <w:rFonts w:ascii="Century Gothic" w:hAnsi="Century Gothic"/>
          <w:bCs/>
        </w:rPr>
        <w:t xml:space="preserve">. Aunado a ello, </w:t>
      </w:r>
      <w:r w:rsidRPr="00A00AEB">
        <w:rPr>
          <w:rFonts w:ascii="Century Gothic" w:hAnsi="Century Gothic"/>
          <w:bCs/>
        </w:rPr>
        <w:t xml:space="preserve">conforme se extrae de las observaciones realizadas internamente por el asegurado, </w:t>
      </w:r>
      <w:r w:rsidR="000B55E3">
        <w:rPr>
          <w:rFonts w:ascii="Century Gothic" w:hAnsi="Century Gothic"/>
          <w:bCs/>
        </w:rPr>
        <w:t>existe evidencia que indica</w:t>
      </w:r>
      <w:r w:rsidRPr="00A00AEB">
        <w:rPr>
          <w:rFonts w:ascii="Century Gothic" w:hAnsi="Century Gothic"/>
          <w:bCs/>
        </w:rPr>
        <w:t xml:space="preserve"> que</w:t>
      </w:r>
      <w:r w:rsidR="000B55E3">
        <w:rPr>
          <w:rFonts w:ascii="Century Gothic" w:hAnsi="Century Gothic"/>
          <w:bCs/>
        </w:rPr>
        <w:t>,</w:t>
      </w:r>
      <w:r w:rsidRPr="00A00AEB">
        <w:rPr>
          <w:rFonts w:ascii="Century Gothic" w:hAnsi="Century Gothic"/>
          <w:bCs/>
        </w:rPr>
        <w:t xml:space="preserve"> </w:t>
      </w:r>
      <w:r w:rsidR="000B55E3">
        <w:rPr>
          <w:rFonts w:ascii="Century Gothic" w:hAnsi="Century Gothic"/>
          <w:bCs/>
        </w:rPr>
        <w:t>a la fecha de fallecimiento del señor Augusto Tinoco Garcés, no se encontraba bajo el cuidado y atención requerido para la gravedad de la herida causada por la lesión causada en su intestino, esto en atención a que fue remitido a una sala general y no en un área de atención especializada</w:t>
      </w:r>
      <w:r w:rsidR="00E5525B">
        <w:rPr>
          <w:rFonts w:ascii="Century Gothic" w:hAnsi="Century Gothic"/>
          <w:bCs/>
        </w:rPr>
        <w:t>.</w:t>
      </w:r>
      <w:r w:rsidR="000B55E3">
        <w:rPr>
          <w:rFonts w:ascii="Century Gothic" w:hAnsi="Century Gothic"/>
          <w:bCs/>
        </w:rPr>
        <w:t xml:space="preserve"> </w:t>
      </w:r>
      <w:r w:rsidR="00E5525B">
        <w:rPr>
          <w:rFonts w:ascii="Century Gothic" w:hAnsi="Century Gothic"/>
          <w:bCs/>
        </w:rPr>
        <w:t xml:space="preserve">Así mismo, debe considerarse </w:t>
      </w:r>
      <w:r w:rsidR="000B55E3">
        <w:rPr>
          <w:rFonts w:ascii="Century Gothic" w:hAnsi="Century Gothic"/>
          <w:bCs/>
        </w:rPr>
        <w:t>el resultado de hemocultivo</w:t>
      </w:r>
      <w:r w:rsidR="00E5525B">
        <w:rPr>
          <w:rFonts w:ascii="Century Gothic" w:hAnsi="Century Gothic"/>
          <w:bCs/>
        </w:rPr>
        <w:t>, que</w:t>
      </w:r>
      <w:r w:rsidR="000B55E3">
        <w:rPr>
          <w:rFonts w:ascii="Century Gothic" w:hAnsi="Century Gothic"/>
          <w:bCs/>
        </w:rPr>
        <w:t xml:space="preserve"> reportaba </w:t>
      </w:r>
      <w:r w:rsidR="00E5525B">
        <w:rPr>
          <w:rFonts w:ascii="Century Gothic" w:hAnsi="Century Gothic"/>
          <w:bCs/>
        </w:rPr>
        <w:t xml:space="preserve">la </w:t>
      </w:r>
      <w:r w:rsidR="000B55E3">
        <w:rPr>
          <w:rFonts w:ascii="Century Gothic" w:hAnsi="Century Gothic"/>
          <w:bCs/>
        </w:rPr>
        <w:t xml:space="preserve">existencia de bacterias dentro del organismo, </w:t>
      </w:r>
      <w:r w:rsidR="00E5525B">
        <w:rPr>
          <w:rFonts w:ascii="Century Gothic" w:hAnsi="Century Gothic"/>
          <w:bCs/>
        </w:rPr>
        <w:t xml:space="preserve">que es consistente con el </w:t>
      </w:r>
      <w:r w:rsidR="000B55E3">
        <w:rPr>
          <w:rFonts w:ascii="Century Gothic" w:hAnsi="Century Gothic"/>
          <w:bCs/>
        </w:rPr>
        <w:t>cuadro de fiebre y malestar crónico</w:t>
      </w:r>
      <w:r w:rsidR="00E5525B">
        <w:rPr>
          <w:rFonts w:ascii="Century Gothic" w:hAnsi="Century Gothic"/>
          <w:bCs/>
        </w:rPr>
        <w:t xml:space="preserve"> que presentaba el señor Tinoco</w:t>
      </w:r>
      <w:r w:rsidR="000B55E3">
        <w:rPr>
          <w:rFonts w:ascii="Century Gothic" w:hAnsi="Century Gothic"/>
          <w:bCs/>
        </w:rPr>
        <w:t>. Todo lo anterior permite concluir que,</w:t>
      </w:r>
      <w:r w:rsidR="00E5525B">
        <w:rPr>
          <w:rFonts w:ascii="Century Gothic" w:hAnsi="Century Gothic"/>
          <w:bCs/>
        </w:rPr>
        <w:t xml:space="preserve"> puede existir</w:t>
      </w:r>
      <w:r w:rsidR="000B55E3">
        <w:rPr>
          <w:rFonts w:ascii="Century Gothic" w:hAnsi="Century Gothic"/>
          <w:bCs/>
        </w:rPr>
        <w:t xml:space="preserve"> </w:t>
      </w:r>
      <w:r w:rsidR="00E5525B">
        <w:rPr>
          <w:rFonts w:ascii="Century Gothic" w:hAnsi="Century Gothic"/>
          <w:bCs/>
        </w:rPr>
        <w:t xml:space="preserve">una relación de causalidad entre el procedimiento quirúrgico practicado en la sociedad Clínica </w:t>
      </w:r>
      <w:r w:rsidR="00E5525B">
        <w:rPr>
          <w:rFonts w:ascii="Century Gothic" w:hAnsi="Century Gothic"/>
          <w:bCs/>
        </w:rPr>
        <w:lastRenderedPageBreak/>
        <w:t>Estrios S.A.S. (IPS adscrita a la EPS Sanitas)</w:t>
      </w:r>
      <w:r w:rsidR="000B55E3">
        <w:rPr>
          <w:rFonts w:ascii="Century Gothic" w:hAnsi="Century Gothic"/>
          <w:bCs/>
        </w:rPr>
        <w:t xml:space="preserve"> </w:t>
      </w:r>
      <w:r w:rsidR="00E5525B">
        <w:rPr>
          <w:rFonts w:ascii="Century Gothic" w:hAnsi="Century Gothic"/>
          <w:bCs/>
        </w:rPr>
        <w:t>y el fallecimiento del señor Augusto Enrique, lo que derivaría en la declaratoria de responsabilidad de la asegurada. Por lo anterior, dependerá del debate probatorio, y en especial de la práctica de los testimonios médicos y de la contradicción de los dictámenes periciales, para determinar si es posible erigir un juicio de responsabilidad en contra de EPS Sanitas.</w:t>
      </w:r>
    </w:p>
    <w:p w14:paraId="7D1B98E9" w14:textId="4C4DE392" w:rsidR="00DB1B28" w:rsidRPr="00A00AEB" w:rsidRDefault="00F8146E" w:rsidP="00072E80">
      <w:pPr>
        <w:spacing w:line="360" w:lineRule="auto"/>
        <w:jc w:val="both"/>
        <w:rPr>
          <w:rFonts w:ascii="Century Gothic" w:hAnsi="Century Gothic"/>
          <w:bCs/>
        </w:rPr>
      </w:pPr>
      <w:r w:rsidRPr="00A00AEB">
        <w:rPr>
          <w:rFonts w:ascii="Century Gothic" w:hAnsi="Century Gothic"/>
          <w:bCs/>
        </w:rPr>
        <w:t>Todo l</w:t>
      </w:r>
      <w:r w:rsidR="00072E80" w:rsidRPr="00A00AEB">
        <w:rPr>
          <w:rFonts w:ascii="Century Gothic" w:hAnsi="Century Gothic"/>
          <w:bCs/>
        </w:rPr>
        <w:t xml:space="preserve">o anterior, sin perjuicio del carácter contingente del proceso. </w:t>
      </w:r>
      <w:bookmarkStart w:id="2" w:name="_Hlk142487052"/>
      <w:bookmarkEnd w:id="1"/>
    </w:p>
    <w:bookmarkEnd w:id="2"/>
    <w:p w14:paraId="49EDDE08" w14:textId="3E4A64DC" w:rsidR="00906282" w:rsidRPr="00A00AEB" w:rsidRDefault="00906282" w:rsidP="00D95263">
      <w:pPr>
        <w:spacing w:line="360" w:lineRule="auto"/>
        <w:jc w:val="both"/>
        <w:outlineLvl w:val="0"/>
        <w:rPr>
          <w:rFonts w:ascii="Century Gothic" w:hAnsi="Century Gothic"/>
          <w:bCs/>
        </w:rPr>
      </w:pPr>
      <w:r w:rsidRPr="00A00AEB">
        <w:rPr>
          <w:rFonts w:ascii="Century Gothic" w:hAnsi="Century Gothic"/>
          <w:b/>
          <w:bCs/>
        </w:rPr>
        <w:t>Solicitud Autorización</w:t>
      </w:r>
      <w:r w:rsidR="00AC00CB" w:rsidRPr="00A00AEB">
        <w:rPr>
          <w:rFonts w:ascii="Century Gothic" w:hAnsi="Century Gothic"/>
          <w:b/>
          <w:bCs/>
        </w:rPr>
        <w:t xml:space="preserve">: </w:t>
      </w:r>
      <w:r w:rsidRPr="00A00AEB">
        <w:rPr>
          <w:rFonts w:ascii="Century Gothic" w:hAnsi="Century Gothic"/>
          <w:b/>
          <w:bCs/>
        </w:rPr>
        <w:t>Se deben indicar los argumentos que justifican la solicitud</w:t>
      </w:r>
    </w:p>
    <w:p w14:paraId="0F9D0826" w14:textId="677856F1" w:rsidR="003F3828" w:rsidRPr="00A00AEB" w:rsidRDefault="00236A83" w:rsidP="00D95263">
      <w:pPr>
        <w:spacing w:line="360" w:lineRule="auto"/>
        <w:jc w:val="both"/>
        <w:outlineLvl w:val="0"/>
        <w:rPr>
          <w:rFonts w:ascii="Century Gothic" w:hAnsi="Century Gothic" w:cs="Arial"/>
          <w:bCs/>
        </w:rPr>
      </w:pPr>
      <w:r w:rsidRPr="00A00AEB">
        <w:rPr>
          <w:rFonts w:ascii="Century Gothic" w:hAnsi="Century Gothic" w:cs="Arial"/>
          <w:bCs/>
        </w:rPr>
        <w:t xml:space="preserve">Firma: </w:t>
      </w:r>
      <w:r w:rsidR="005A70AA" w:rsidRPr="00A00AEB">
        <w:rPr>
          <w:rFonts w:ascii="Century Gothic" w:hAnsi="Century Gothic" w:cs="Arial"/>
          <w:bCs/>
        </w:rPr>
        <w:t>GAFC</w:t>
      </w:r>
    </w:p>
    <w:p w14:paraId="06526756" w14:textId="1A9442C8" w:rsidR="000F0821" w:rsidRPr="00A00AEB" w:rsidRDefault="00236A83" w:rsidP="003F3828">
      <w:pPr>
        <w:spacing w:line="360" w:lineRule="auto"/>
        <w:jc w:val="both"/>
        <w:rPr>
          <w:rFonts w:ascii="Century Gothic" w:eastAsia="Times New Roman" w:hAnsi="Century Gothic"/>
          <w:color w:val="000000"/>
        </w:rPr>
      </w:pPr>
      <w:r w:rsidRPr="00A00AEB">
        <w:rPr>
          <w:rFonts w:ascii="Century Gothic" w:hAnsi="Century Gothic" w:cs="Arial"/>
          <w:bCs/>
        </w:rPr>
        <w:t>GHA Abogados &amp; Asociados</w:t>
      </w:r>
    </w:p>
    <w:sectPr w:rsidR="000F0821" w:rsidRPr="00A00AEB"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33E7B" w14:textId="77777777" w:rsidR="00E435F1" w:rsidRDefault="00E435F1" w:rsidP="00F361C1">
      <w:pPr>
        <w:spacing w:after="0" w:line="240" w:lineRule="auto"/>
      </w:pPr>
      <w:r>
        <w:separator/>
      </w:r>
    </w:p>
  </w:endnote>
  <w:endnote w:type="continuationSeparator" w:id="0">
    <w:p w14:paraId="221F5963" w14:textId="77777777" w:rsidR="00E435F1" w:rsidRDefault="00E435F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EC63" w14:textId="77777777" w:rsidR="00E435F1" w:rsidRDefault="00E435F1" w:rsidP="00F361C1">
      <w:pPr>
        <w:spacing w:after="0" w:line="240" w:lineRule="auto"/>
      </w:pPr>
      <w:r>
        <w:separator/>
      </w:r>
    </w:p>
  </w:footnote>
  <w:footnote w:type="continuationSeparator" w:id="0">
    <w:p w14:paraId="015A691E" w14:textId="77777777" w:rsidR="00E435F1" w:rsidRDefault="00E435F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s-ES_tradnl" w:eastAsia="es-ES_tradnl"/>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19327E"/>
    <w:multiLevelType w:val="multilevel"/>
    <w:tmpl w:val="903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6D41016"/>
    <w:multiLevelType w:val="multilevel"/>
    <w:tmpl w:val="969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501258">
    <w:abstractNumId w:val="1"/>
  </w:num>
  <w:num w:numId="2" w16cid:durableId="855388000">
    <w:abstractNumId w:val="4"/>
  </w:num>
  <w:num w:numId="3" w16cid:durableId="525682335">
    <w:abstractNumId w:val="6"/>
  </w:num>
  <w:num w:numId="4" w16cid:durableId="2102602581">
    <w:abstractNumId w:val="0"/>
  </w:num>
  <w:num w:numId="5" w16cid:durableId="110588573">
    <w:abstractNumId w:val="2"/>
  </w:num>
  <w:num w:numId="6" w16cid:durableId="902062675">
    <w:abstractNumId w:val="5"/>
  </w:num>
  <w:num w:numId="7" w16cid:durableId="131367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0B30"/>
    <w:rsid w:val="0001594E"/>
    <w:rsid w:val="00023CF4"/>
    <w:rsid w:val="00062C49"/>
    <w:rsid w:val="00067DC9"/>
    <w:rsid w:val="00072E80"/>
    <w:rsid w:val="0007419D"/>
    <w:rsid w:val="000910AC"/>
    <w:rsid w:val="000978C5"/>
    <w:rsid w:val="000B291C"/>
    <w:rsid w:val="000B3887"/>
    <w:rsid w:val="000B55E3"/>
    <w:rsid w:val="000C4C62"/>
    <w:rsid w:val="000C63A1"/>
    <w:rsid w:val="000F0821"/>
    <w:rsid w:val="00110599"/>
    <w:rsid w:val="0014135E"/>
    <w:rsid w:val="001450DF"/>
    <w:rsid w:val="001471FA"/>
    <w:rsid w:val="00147B0A"/>
    <w:rsid w:val="00174384"/>
    <w:rsid w:val="0019597E"/>
    <w:rsid w:val="001B384C"/>
    <w:rsid w:val="001D3E40"/>
    <w:rsid w:val="001E1AC1"/>
    <w:rsid w:val="001F3A28"/>
    <w:rsid w:val="0020620F"/>
    <w:rsid w:val="00211D25"/>
    <w:rsid w:val="002136A2"/>
    <w:rsid w:val="00217259"/>
    <w:rsid w:val="00217582"/>
    <w:rsid w:val="00225AC7"/>
    <w:rsid w:val="00236A83"/>
    <w:rsid w:val="002401D5"/>
    <w:rsid w:val="00240D9B"/>
    <w:rsid w:val="00260D46"/>
    <w:rsid w:val="0028429C"/>
    <w:rsid w:val="0029437D"/>
    <w:rsid w:val="00295AC2"/>
    <w:rsid w:val="002B032F"/>
    <w:rsid w:val="002B795C"/>
    <w:rsid w:val="002C2683"/>
    <w:rsid w:val="002D381D"/>
    <w:rsid w:val="002E4D87"/>
    <w:rsid w:val="002E6DB4"/>
    <w:rsid w:val="003076D3"/>
    <w:rsid w:val="0031273C"/>
    <w:rsid w:val="003362DE"/>
    <w:rsid w:val="0033734E"/>
    <w:rsid w:val="003377F2"/>
    <w:rsid w:val="003415F9"/>
    <w:rsid w:val="00364B6C"/>
    <w:rsid w:val="00375DE6"/>
    <w:rsid w:val="003800B9"/>
    <w:rsid w:val="0038500F"/>
    <w:rsid w:val="003B13FD"/>
    <w:rsid w:val="003B506C"/>
    <w:rsid w:val="003C1FCA"/>
    <w:rsid w:val="003D7618"/>
    <w:rsid w:val="003F378D"/>
    <w:rsid w:val="003F3828"/>
    <w:rsid w:val="004268F1"/>
    <w:rsid w:val="00463FAE"/>
    <w:rsid w:val="00480D56"/>
    <w:rsid w:val="004A2149"/>
    <w:rsid w:val="004A54DE"/>
    <w:rsid w:val="004B03F6"/>
    <w:rsid w:val="004C7AF3"/>
    <w:rsid w:val="004E1A80"/>
    <w:rsid w:val="004F3C43"/>
    <w:rsid w:val="005100C7"/>
    <w:rsid w:val="00514A64"/>
    <w:rsid w:val="005167D8"/>
    <w:rsid w:val="005206D1"/>
    <w:rsid w:val="00551CEE"/>
    <w:rsid w:val="00552784"/>
    <w:rsid w:val="00555AE1"/>
    <w:rsid w:val="005676AA"/>
    <w:rsid w:val="0057518D"/>
    <w:rsid w:val="00587596"/>
    <w:rsid w:val="00591544"/>
    <w:rsid w:val="0059648E"/>
    <w:rsid w:val="005A70AA"/>
    <w:rsid w:val="005D4092"/>
    <w:rsid w:val="005E0BF8"/>
    <w:rsid w:val="00612FC4"/>
    <w:rsid w:val="00613028"/>
    <w:rsid w:val="00616398"/>
    <w:rsid w:val="00636388"/>
    <w:rsid w:val="00640DB9"/>
    <w:rsid w:val="0066727F"/>
    <w:rsid w:val="006723EA"/>
    <w:rsid w:val="006744B0"/>
    <w:rsid w:val="00675022"/>
    <w:rsid w:val="00681E7C"/>
    <w:rsid w:val="00696A71"/>
    <w:rsid w:val="006C2256"/>
    <w:rsid w:val="006D5EBD"/>
    <w:rsid w:val="006E1F23"/>
    <w:rsid w:val="006E4066"/>
    <w:rsid w:val="007049CA"/>
    <w:rsid w:val="0070538E"/>
    <w:rsid w:val="00714849"/>
    <w:rsid w:val="0071784D"/>
    <w:rsid w:val="0072189C"/>
    <w:rsid w:val="00726FDE"/>
    <w:rsid w:val="00730BF7"/>
    <w:rsid w:val="00735B12"/>
    <w:rsid w:val="00740484"/>
    <w:rsid w:val="00773FE7"/>
    <w:rsid w:val="007749E5"/>
    <w:rsid w:val="00777CB6"/>
    <w:rsid w:val="00787E02"/>
    <w:rsid w:val="00790A1E"/>
    <w:rsid w:val="007A1B13"/>
    <w:rsid w:val="007B524E"/>
    <w:rsid w:val="007C6B4B"/>
    <w:rsid w:val="007E014B"/>
    <w:rsid w:val="007F5E92"/>
    <w:rsid w:val="00806862"/>
    <w:rsid w:val="008122C9"/>
    <w:rsid w:val="00815589"/>
    <w:rsid w:val="008401C1"/>
    <w:rsid w:val="0085543A"/>
    <w:rsid w:val="00877C4E"/>
    <w:rsid w:val="00877CAA"/>
    <w:rsid w:val="00895DC8"/>
    <w:rsid w:val="008A0005"/>
    <w:rsid w:val="008B5A75"/>
    <w:rsid w:val="008B5F1E"/>
    <w:rsid w:val="008B7F80"/>
    <w:rsid w:val="008D11A0"/>
    <w:rsid w:val="008F1A57"/>
    <w:rsid w:val="008F22B1"/>
    <w:rsid w:val="008F542E"/>
    <w:rsid w:val="00904357"/>
    <w:rsid w:val="00906282"/>
    <w:rsid w:val="0091506B"/>
    <w:rsid w:val="00920A35"/>
    <w:rsid w:val="009210F0"/>
    <w:rsid w:val="00921216"/>
    <w:rsid w:val="009509E1"/>
    <w:rsid w:val="009531C3"/>
    <w:rsid w:val="00954E3C"/>
    <w:rsid w:val="00970CC7"/>
    <w:rsid w:val="00980383"/>
    <w:rsid w:val="009933C4"/>
    <w:rsid w:val="00993B48"/>
    <w:rsid w:val="009B0641"/>
    <w:rsid w:val="009C7C02"/>
    <w:rsid w:val="009E1170"/>
    <w:rsid w:val="009E1F9D"/>
    <w:rsid w:val="00A00AEB"/>
    <w:rsid w:val="00A0393C"/>
    <w:rsid w:val="00A10CBF"/>
    <w:rsid w:val="00A207C1"/>
    <w:rsid w:val="00A41226"/>
    <w:rsid w:val="00A47ECC"/>
    <w:rsid w:val="00A62BDF"/>
    <w:rsid w:val="00A71964"/>
    <w:rsid w:val="00A737EE"/>
    <w:rsid w:val="00A82083"/>
    <w:rsid w:val="00A85B78"/>
    <w:rsid w:val="00A866C9"/>
    <w:rsid w:val="00A93689"/>
    <w:rsid w:val="00A9597D"/>
    <w:rsid w:val="00AA0275"/>
    <w:rsid w:val="00AA07D6"/>
    <w:rsid w:val="00AC00CB"/>
    <w:rsid w:val="00AD1174"/>
    <w:rsid w:val="00AE44A2"/>
    <w:rsid w:val="00AF0D87"/>
    <w:rsid w:val="00AF2A13"/>
    <w:rsid w:val="00AF5457"/>
    <w:rsid w:val="00B13FD3"/>
    <w:rsid w:val="00B3609D"/>
    <w:rsid w:val="00B422B7"/>
    <w:rsid w:val="00B4416D"/>
    <w:rsid w:val="00B555F7"/>
    <w:rsid w:val="00B56B85"/>
    <w:rsid w:val="00B74574"/>
    <w:rsid w:val="00B77384"/>
    <w:rsid w:val="00B84BF0"/>
    <w:rsid w:val="00B92724"/>
    <w:rsid w:val="00B92756"/>
    <w:rsid w:val="00B936EC"/>
    <w:rsid w:val="00B95E36"/>
    <w:rsid w:val="00B96856"/>
    <w:rsid w:val="00BA3A58"/>
    <w:rsid w:val="00BA41D5"/>
    <w:rsid w:val="00BA6678"/>
    <w:rsid w:val="00BB216E"/>
    <w:rsid w:val="00BD610E"/>
    <w:rsid w:val="00BE3AA7"/>
    <w:rsid w:val="00BF7F49"/>
    <w:rsid w:val="00C07DCC"/>
    <w:rsid w:val="00C12439"/>
    <w:rsid w:val="00C16A9C"/>
    <w:rsid w:val="00C21AD4"/>
    <w:rsid w:val="00C239D6"/>
    <w:rsid w:val="00C4220D"/>
    <w:rsid w:val="00C900F5"/>
    <w:rsid w:val="00C93FC4"/>
    <w:rsid w:val="00CA01DF"/>
    <w:rsid w:val="00CA757D"/>
    <w:rsid w:val="00CB1F95"/>
    <w:rsid w:val="00CC0C06"/>
    <w:rsid w:val="00CC7E03"/>
    <w:rsid w:val="00CD49F5"/>
    <w:rsid w:val="00CF0700"/>
    <w:rsid w:val="00D07732"/>
    <w:rsid w:val="00D10362"/>
    <w:rsid w:val="00D1036E"/>
    <w:rsid w:val="00D149A0"/>
    <w:rsid w:val="00D152CF"/>
    <w:rsid w:val="00D229A5"/>
    <w:rsid w:val="00D27CE0"/>
    <w:rsid w:val="00D33C99"/>
    <w:rsid w:val="00D472EF"/>
    <w:rsid w:val="00D5468D"/>
    <w:rsid w:val="00D60B9B"/>
    <w:rsid w:val="00D635E5"/>
    <w:rsid w:val="00D8054C"/>
    <w:rsid w:val="00D81C6B"/>
    <w:rsid w:val="00D87C88"/>
    <w:rsid w:val="00D95263"/>
    <w:rsid w:val="00D95CDC"/>
    <w:rsid w:val="00DB0797"/>
    <w:rsid w:val="00DB1B28"/>
    <w:rsid w:val="00DE485D"/>
    <w:rsid w:val="00DF5532"/>
    <w:rsid w:val="00E05384"/>
    <w:rsid w:val="00E10DCE"/>
    <w:rsid w:val="00E20E95"/>
    <w:rsid w:val="00E241DB"/>
    <w:rsid w:val="00E37E0B"/>
    <w:rsid w:val="00E435F1"/>
    <w:rsid w:val="00E5525B"/>
    <w:rsid w:val="00E63391"/>
    <w:rsid w:val="00E657A3"/>
    <w:rsid w:val="00E67101"/>
    <w:rsid w:val="00E71365"/>
    <w:rsid w:val="00E8277F"/>
    <w:rsid w:val="00E92FBA"/>
    <w:rsid w:val="00EE5B9C"/>
    <w:rsid w:val="00EF49D9"/>
    <w:rsid w:val="00EF7845"/>
    <w:rsid w:val="00F26789"/>
    <w:rsid w:val="00F3171C"/>
    <w:rsid w:val="00F361C1"/>
    <w:rsid w:val="00F64FB0"/>
    <w:rsid w:val="00F71532"/>
    <w:rsid w:val="00F748A7"/>
    <w:rsid w:val="00F8146E"/>
    <w:rsid w:val="00F92584"/>
    <w:rsid w:val="00F95B0F"/>
    <w:rsid w:val="00FA477F"/>
    <w:rsid w:val="00FA4D04"/>
    <w:rsid w:val="00FB5541"/>
    <w:rsid w:val="00FD07C5"/>
    <w:rsid w:val="00FD2B92"/>
    <w:rsid w:val="00FE44A6"/>
    <w:rsid w:val="00FF3D05"/>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282"/>
    <w:rPr>
      <w:lang w:val="es-CO"/>
    </w:rPr>
  </w:style>
  <w:style w:type="paragraph" w:styleId="Ttulo2">
    <w:name w:val="heading 2"/>
    <w:basedOn w:val="Normal"/>
    <w:next w:val="Normal"/>
    <w:link w:val="Ttulo2Car"/>
    <w:uiPriority w:val="9"/>
    <w:semiHidden/>
    <w:unhideWhenUsed/>
    <w:qFormat/>
    <w:rsid w:val="005964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character" w:customStyle="1" w:styleId="Ttulo2Car">
    <w:name w:val="Título 2 Car"/>
    <w:basedOn w:val="Fuentedeprrafopredeter"/>
    <w:link w:val="Ttulo2"/>
    <w:uiPriority w:val="9"/>
    <w:semiHidden/>
    <w:rsid w:val="0059648E"/>
    <w:rPr>
      <w:rFonts w:asciiTheme="majorHAnsi" w:eastAsiaTheme="majorEastAsia" w:hAnsiTheme="majorHAnsi" w:cstheme="majorBidi"/>
      <w:color w:val="2E74B5" w:themeColor="accent1" w:themeShade="BF"/>
      <w:sz w:val="26"/>
      <w:szCs w:val="26"/>
      <w:lang w:val="es-CO"/>
    </w:rPr>
  </w:style>
  <w:style w:type="paragraph" w:styleId="Revisin">
    <w:name w:val="Revision"/>
    <w:hidden/>
    <w:uiPriority w:val="99"/>
    <w:semiHidden/>
    <w:rsid w:val="00BA41D5"/>
    <w:pPr>
      <w:spacing w:after="0" w:line="240" w:lineRule="auto"/>
    </w:pPr>
    <w:rPr>
      <w:lang w:val="es-CO"/>
    </w:rPr>
  </w:style>
  <w:style w:type="paragraph" w:styleId="Textodeglobo">
    <w:name w:val="Balloon Text"/>
    <w:basedOn w:val="Normal"/>
    <w:link w:val="TextodegloboCar"/>
    <w:uiPriority w:val="99"/>
    <w:semiHidden/>
    <w:unhideWhenUsed/>
    <w:rsid w:val="00D805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8054C"/>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147014479">
      <w:bodyDiv w:val="1"/>
      <w:marLeft w:val="0"/>
      <w:marRight w:val="0"/>
      <w:marTop w:val="0"/>
      <w:marBottom w:val="0"/>
      <w:divBdr>
        <w:top w:val="none" w:sz="0" w:space="0" w:color="auto"/>
        <w:left w:val="none" w:sz="0" w:space="0" w:color="auto"/>
        <w:bottom w:val="none" w:sz="0" w:space="0" w:color="auto"/>
        <w:right w:val="none" w:sz="0" w:space="0" w:color="auto"/>
      </w:divBdr>
      <w:divsChild>
        <w:div w:id="588121343">
          <w:marLeft w:val="0"/>
          <w:marRight w:val="0"/>
          <w:marTop w:val="0"/>
          <w:marBottom w:val="160"/>
          <w:divBdr>
            <w:top w:val="none" w:sz="0" w:space="0" w:color="auto"/>
            <w:left w:val="none" w:sz="0" w:space="0" w:color="auto"/>
            <w:bottom w:val="none" w:sz="0" w:space="0" w:color="auto"/>
            <w:right w:val="none" w:sz="0" w:space="0" w:color="auto"/>
          </w:divBdr>
          <w:divsChild>
            <w:div w:id="1209220258">
              <w:marLeft w:val="0"/>
              <w:marRight w:val="0"/>
              <w:marTop w:val="0"/>
              <w:marBottom w:val="0"/>
              <w:divBdr>
                <w:top w:val="none" w:sz="0" w:space="0" w:color="auto"/>
                <w:left w:val="none" w:sz="0" w:space="0" w:color="auto"/>
                <w:bottom w:val="none" w:sz="0" w:space="0" w:color="auto"/>
                <w:right w:val="none" w:sz="0" w:space="0" w:color="auto"/>
              </w:divBdr>
            </w:div>
          </w:divsChild>
        </w:div>
        <w:div w:id="1508012390">
          <w:marLeft w:val="0"/>
          <w:marRight w:val="0"/>
          <w:marTop w:val="0"/>
          <w:marBottom w:val="160"/>
          <w:divBdr>
            <w:top w:val="none" w:sz="0" w:space="0" w:color="auto"/>
            <w:left w:val="none" w:sz="0" w:space="0" w:color="auto"/>
            <w:bottom w:val="none" w:sz="0" w:space="0" w:color="auto"/>
            <w:right w:val="none" w:sz="0" w:space="0" w:color="auto"/>
          </w:divBdr>
          <w:divsChild>
            <w:div w:id="791704590">
              <w:marLeft w:val="0"/>
              <w:marRight w:val="0"/>
              <w:marTop w:val="0"/>
              <w:marBottom w:val="0"/>
              <w:divBdr>
                <w:top w:val="none" w:sz="0" w:space="0" w:color="auto"/>
                <w:left w:val="none" w:sz="0" w:space="0" w:color="auto"/>
                <w:bottom w:val="none" w:sz="0" w:space="0" w:color="auto"/>
                <w:right w:val="none" w:sz="0" w:space="0" w:color="auto"/>
              </w:divBdr>
            </w:div>
          </w:divsChild>
        </w:div>
        <w:div w:id="1187788744">
          <w:marLeft w:val="0"/>
          <w:marRight w:val="0"/>
          <w:marTop w:val="0"/>
          <w:marBottom w:val="160"/>
          <w:divBdr>
            <w:top w:val="none" w:sz="0" w:space="0" w:color="auto"/>
            <w:left w:val="none" w:sz="0" w:space="0" w:color="auto"/>
            <w:bottom w:val="none" w:sz="0" w:space="0" w:color="auto"/>
            <w:right w:val="none" w:sz="0" w:space="0" w:color="auto"/>
          </w:divBdr>
          <w:divsChild>
            <w:div w:id="317810293">
              <w:marLeft w:val="0"/>
              <w:marRight w:val="0"/>
              <w:marTop w:val="0"/>
              <w:marBottom w:val="0"/>
              <w:divBdr>
                <w:top w:val="none" w:sz="0" w:space="0" w:color="auto"/>
                <w:left w:val="none" w:sz="0" w:space="0" w:color="auto"/>
                <w:bottom w:val="none" w:sz="0" w:space="0" w:color="auto"/>
                <w:right w:val="none" w:sz="0" w:space="0" w:color="auto"/>
              </w:divBdr>
            </w:div>
          </w:divsChild>
        </w:div>
        <w:div w:id="356470042">
          <w:marLeft w:val="0"/>
          <w:marRight w:val="0"/>
          <w:marTop w:val="0"/>
          <w:marBottom w:val="160"/>
          <w:divBdr>
            <w:top w:val="none" w:sz="0" w:space="0" w:color="auto"/>
            <w:left w:val="none" w:sz="0" w:space="0" w:color="auto"/>
            <w:bottom w:val="none" w:sz="0" w:space="0" w:color="auto"/>
            <w:right w:val="none" w:sz="0" w:space="0" w:color="auto"/>
          </w:divBdr>
          <w:divsChild>
            <w:div w:id="238759803">
              <w:marLeft w:val="0"/>
              <w:marRight w:val="0"/>
              <w:marTop w:val="0"/>
              <w:marBottom w:val="0"/>
              <w:divBdr>
                <w:top w:val="none" w:sz="0" w:space="0" w:color="auto"/>
                <w:left w:val="none" w:sz="0" w:space="0" w:color="auto"/>
                <w:bottom w:val="none" w:sz="0" w:space="0" w:color="auto"/>
                <w:right w:val="none" w:sz="0" w:space="0" w:color="auto"/>
              </w:divBdr>
            </w:div>
          </w:divsChild>
        </w:div>
        <w:div w:id="743989289">
          <w:marLeft w:val="0"/>
          <w:marRight w:val="0"/>
          <w:marTop w:val="0"/>
          <w:marBottom w:val="160"/>
          <w:divBdr>
            <w:top w:val="none" w:sz="0" w:space="0" w:color="auto"/>
            <w:left w:val="none" w:sz="0" w:space="0" w:color="auto"/>
            <w:bottom w:val="none" w:sz="0" w:space="0" w:color="auto"/>
            <w:right w:val="none" w:sz="0" w:space="0" w:color="auto"/>
          </w:divBdr>
          <w:divsChild>
            <w:div w:id="2053646410">
              <w:marLeft w:val="0"/>
              <w:marRight w:val="0"/>
              <w:marTop w:val="0"/>
              <w:marBottom w:val="0"/>
              <w:divBdr>
                <w:top w:val="none" w:sz="0" w:space="0" w:color="auto"/>
                <w:left w:val="none" w:sz="0" w:space="0" w:color="auto"/>
                <w:bottom w:val="none" w:sz="0" w:space="0" w:color="auto"/>
                <w:right w:val="none" w:sz="0" w:space="0" w:color="auto"/>
              </w:divBdr>
            </w:div>
          </w:divsChild>
        </w:div>
        <w:div w:id="454914308">
          <w:marLeft w:val="0"/>
          <w:marRight w:val="0"/>
          <w:marTop w:val="0"/>
          <w:marBottom w:val="160"/>
          <w:divBdr>
            <w:top w:val="none" w:sz="0" w:space="0" w:color="auto"/>
            <w:left w:val="none" w:sz="0" w:space="0" w:color="auto"/>
            <w:bottom w:val="none" w:sz="0" w:space="0" w:color="auto"/>
            <w:right w:val="none" w:sz="0" w:space="0" w:color="auto"/>
          </w:divBdr>
          <w:divsChild>
            <w:div w:id="998923821">
              <w:marLeft w:val="0"/>
              <w:marRight w:val="0"/>
              <w:marTop w:val="0"/>
              <w:marBottom w:val="0"/>
              <w:divBdr>
                <w:top w:val="none" w:sz="0" w:space="0" w:color="auto"/>
                <w:left w:val="none" w:sz="0" w:space="0" w:color="auto"/>
                <w:bottom w:val="none" w:sz="0" w:space="0" w:color="auto"/>
                <w:right w:val="none" w:sz="0" w:space="0" w:color="auto"/>
              </w:divBdr>
            </w:div>
          </w:divsChild>
        </w:div>
        <w:div w:id="914775702">
          <w:marLeft w:val="0"/>
          <w:marRight w:val="0"/>
          <w:marTop w:val="0"/>
          <w:marBottom w:val="160"/>
          <w:divBdr>
            <w:top w:val="none" w:sz="0" w:space="0" w:color="auto"/>
            <w:left w:val="none" w:sz="0" w:space="0" w:color="auto"/>
            <w:bottom w:val="none" w:sz="0" w:space="0" w:color="auto"/>
            <w:right w:val="none" w:sz="0" w:space="0" w:color="auto"/>
          </w:divBdr>
          <w:divsChild>
            <w:div w:id="1476796746">
              <w:marLeft w:val="0"/>
              <w:marRight w:val="0"/>
              <w:marTop w:val="0"/>
              <w:marBottom w:val="0"/>
              <w:divBdr>
                <w:top w:val="none" w:sz="0" w:space="0" w:color="auto"/>
                <w:left w:val="none" w:sz="0" w:space="0" w:color="auto"/>
                <w:bottom w:val="none" w:sz="0" w:space="0" w:color="auto"/>
                <w:right w:val="none" w:sz="0" w:space="0" w:color="auto"/>
              </w:divBdr>
            </w:div>
          </w:divsChild>
        </w:div>
        <w:div w:id="274093361">
          <w:marLeft w:val="0"/>
          <w:marRight w:val="0"/>
          <w:marTop w:val="0"/>
          <w:marBottom w:val="160"/>
          <w:divBdr>
            <w:top w:val="none" w:sz="0" w:space="0" w:color="auto"/>
            <w:left w:val="none" w:sz="0" w:space="0" w:color="auto"/>
            <w:bottom w:val="none" w:sz="0" w:space="0" w:color="auto"/>
            <w:right w:val="none" w:sz="0" w:space="0" w:color="auto"/>
          </w:divBdr>
          <w:divsChild>
            <w:div w:id="1076586717">
              <w:marLeft w:val="0"/>
              <w:marRight w:val="0"/>
              <w:marTop w:val="0"/>
              <w:marBottom w:val="0"/>
              <w:divBdr>
                <w:top w:val="none" w:sz="0" w:space="0" w:color="auto"/>
                <w:left w:val="none" w:sz="0" w:space="0" w:color="auto"/>
                <w:bottom w:val="none" w:sz="0" w:space="0" w:color="auto"/>
                <w:right w:val="none" w:sz="0" w:space="0" w:color="auto"/>
              </w:divBdr>
            </w:div>
          </w:divsChild>
        </w:div>
        <w:div w:id="1011371631">
          <w:marLeft w:val="0"/>
          <w:marRight w:val="0"/>
          <w:marTop w:val="0"/>
          <w:marBottom w:val="160"/>
          <w:divBdr>
            <w:top w:val="none" w:sz="0" w:space="0" w:color="auto"/>
            <w:left w:val="none" w:sz="0" w:space="0" w:color="auto"/>
            <w:bottom w:val="none" w:sz="0" w:space="0" w:color="auto"/>
            <w:right w:val="none" w:sz="0" w:space="0" w:color="auto"/>
          </w:divBdr>
          <w:divsChild>
            <w:div w:id="13137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8664">
      <w:bodyDiv w:val="1"/>
      <w:marLeft w:val="0"/>
      <w:marRight w:val="0"/>
      <w:marTop w:val="0"/>
      <w:marBottom w:val="0"/>
      <w:divBdr>
        <w:top w:val="none" w:sz="0" w:space="0" w:color="auto"/>
        <w:left w:val="none" w:sz="0" w:space="0" w:color="auto"/>
        <w:bottom w:val="none" w:sz="0" w:space="0" w:color="auto"/>
        <w:right w:val="none" w:sz="0" w:space="0" w:color="auto"/>
      </w:divBdr>
    </w:div>
    <w:div w:id="285082098">
      <w:bodyDiv w:val="1"/>
      <w:marLeft w:val="0"/>
      <w:marRight w:val="0"/>
      <w:marTop w:val="0"/>
      <w:marBottom w:val="0"/>
      <w:divBdr>
        <w:top w:val="none" w:sz="0" w:space="0" w:color="auto"/>
        <w:left w:val="none" w:sz="0" w:space="0" w:color="auto"/>
        <w:bottom w:val="none" w:sz="0" w:space="0" w:color="auto"/>
        <w:right w:val="none" w:sz="0" w:space="0" w:color="auto"/>
      </w:divBdr>
    </w:div>
    <w:div w:id="321006874">
      <w:bodyDiv w:val="1"/>
      <w:marLeft w:val="0"/>
      <w:marRight w:val="0"/>
      <w:marTop w:val="0"/>
      <w:marBottom w:val="0"/>
      <w:divBdr>
        <w:top w:val="none" w:sz="0" w:space="0" w:color="auto"/>
        <w:left w:val="none" w:sz="0" w:space="0" w:color="auto"/>
        <w:bottom w:val="none" w:sz="0" w:space="0" w:color="auto"/>
        <w:right w:val="none" w:sz="0" w:space="0" w:color="auto"/>
      </w:divBdr>
      <w:divsChild>
        <w:div w:id="1788311255">
          <w:marLeft w:val="0"/>
          <w:marRight w:val="0"/>
          <w:marTop w:val="0"/>
          <w:marBottom w:val="160"/>
          <w:divBdr>
            <w:top w:val="none" w:sz="0" w:space="0" w:color="auto"/>
            <w:left w:val="none" w:sz="0" w:space="0" w:color="auto"/>
            <w:bottom w:val="none" w:sz="0" w:space="0" w:color="auto"/>
            <w:right w:val="none" w:sz="0" w:space="0" w:color="auto"/>
          </w:divBdr>
        </w:div>
        <w:div w:id="1077942952">
          <w:marLeft w:val="0"/>
          <w:marRight w:val="0"/>
          <w:marTop w:val="0"/>
          <w:marBottom w:val="160"/>
          <w:divBdr>
            <w:top w:val="none" w:sz="0" w:space="0" w:color="auto"/>
            <w:left w:val="none" w:sz="0" w:space="0" w:color="auto"/>
            <w:bottom w:val="none" w:sz="0" w:space="0" w:color="auto"/>
            <w:right w:val="none" w:sz="0" w:space="0" w:color="auto"/>
          </w:divBdr>
        </w:div>
        <w:div w:id="766539521">
          <w:marLeft w:val="0"/>
          <w:marRight w:val="0"/>
          <w:marTop w:val="0"/>
          <w:marBottom w:val="160"/>
          <w:divBdr>
            <w:top w:val="none" w:sz="0" w:space="0" w:color="auto"/>
            <w:left w:val="none" w:sz="0" w:space="0" w:color="auto"/>
            <w:bottom w:val="none" w:sz="0" w:space="0" w:color="auto"/>
            <w:right w:val="none" w:sz="0" w:space="0" w:color="auto"/>
          </w:divBdr>
        </w:div>
        <w:div w:id="97911368">
          <w:marLeft w:val="0"/>
          <w:marRight w:val="0"/>
          <w:marTop w:val="0"/>
          <w:marBottom w:val="160"/>
          <w:divBdr>
            <w:top w:val="none" w:sz="0" w:space="0" w:color="auto"/>
            <w:left w:val="none" w:sz="0" w:space="0" w:color="auto"/>
            <w:bottom w:val="none" w:sz="0" w:space="0" w:color="auto"/>
            <w:right w:val="none" w:sz="0" w:space="0" w:color="auto"/>
          </w:divBdr>
        </w:div>
      </w:divsChild>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15615">
      <w:bodyDiv w:val="1"/>
      <w:marLeft w:val="0"/>
      <w:marRight w:val="0"/>
      <w:marTop w:val="0"/>
      <w:marBottom w:val="0"/>
      <w:divBdr>
        <w:top w:val="none" w:sz="0" w:space="0" w:color="auto"/>
        <w:left w:val="none" w:sz="0" w:space="0" w:color="auto"/>
        <w:bottom w:val="none" w:sz="0" w:space="0" w:color="auto"/>
        <w:right w:val="none" w:sz="0" w:space="0" w:color="auto"/>
      </w:divBdr>
      <w:divsChild>
        <w:div w:id="1288582037">
          <w:marLeft w:val="0"/>
          <w:marRight w:val="0"/>
          <w:marTop w:val="0"/>
          <w:marBottom w:val="160"/>
          <w:divBdr>
            <w:top w:val="none" w:sz="0" w:space="0" w:color="auto"/>
            <w:left w:val="none" w:sz="0" w:space="0" w:color="auto"/>
            <w:bottom w:val="none" w:sz="0" w:space="0" w:color="auto"/>
            <w:right w:val="none" w:sz="0" w:space="0" w:color="auto"/>
          </w:divBdr>
        </w:div>
        <w:div w:id="1707757104">
          <w:marLeft w:val="0"/>
          <w:marRight w:val="0"/>
          <w:marTop w:val="0"/>
          <w:marBottom w:val="160"/>
          <w:divBdr>
            <w:top w:val="none" w:sz="0" w:space="0" w:color="auto"/>
            <w:left w:val="none" w:sz="0" w:space="0" w:color="auto"/>
            <w:bottom w:val="none" w:sz="0" w:space="0" w:color="auto"/>
            <w:right w:val="none" w:sz="0" w:space="0" w:color="auto"/>
          </w:divBdr>
        </w:div>
        <w:div w:id="598417014">
          <w:marLeft w:val="0"/>
          <w:marRight w:val="0"/>
          <w:marTop w:val="0"/>
          <w:marBottom w:val="160"/>
          <w:divBdr>
            <w:top w:val="none" w:sz="0" w:space="0" w:color="auto"/>
            <w:left w:val="none" w:sz="0" w:space="0" w:color="auto"/>
            <w:bottom w:val="none" w:sz="0" w:space="0" w:color="auto"/>
            <w:right w:val="none" w:sz="0" w:space="0" w:color="auto"/>
          </w:divBdr>
        </w:div>
        <w:div w:id="800463861">
          <w:marLeft w:val="0"/>
          <w:marRight w:val="0"/>
          <w:marTop w:val="0"/>
          <w:marBottom w:val="160"/>
          <w:divBdr>
            <w:top w:val="none" w:sz="0" w:space="0" w:color="auto"/>
            <w:left w:val="none" w:sz="0" w:space="0" w:color="auto"/>
            <w:bottom w:val="none" w:sz="0" w:space="0" w:color="auto"/>
            <w:right w:val="none" w:sz="0" w:space="0" w:color="auto"/>
          </w:divBdr>
        </w:div>
      </w:divsChild>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12038583">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11787278">
      <w:bodyDiv w:val="1"/>
      <w:marLeft w:val="0"/>
      <w:marRight w:val="0"/>
      <w:marTop w:val="0"/>
      <w:marBottom w:val="0"/>
      <w:divBdr>
        <w:top w:val="none" w:sz="0" w:space="0" w:color="auto"/>
        <w:left w:val="none" w:sz="0" w:space="0" w:color="auto"/>
        <w:bottom w:val="none" w:sz="0" w:space="0" w:color="auto"/>
        <w:right w:val="none" w:sz="0" w:space="0" w:color="auto"/>
      </w:divBdr>
    </w:div>
    <w:div w:id="674501942">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913007569">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97353845">
      <w:bodyDiv w:val="1"/>
      <w:marLeft w:val="0"/>
      <w:marRight w:val="0"/>
      <w:marTop w:val="0"/>
      <w:marBottom w:val="0"/>
      <w:divBdr>
        <w:top w:val="none" w:sz="0" w:space="0" w:color="auto"/>
        <w:left w:val="none" w:sz="0" w:space="0" w:color="auto"/>
        <w:bottom w:val="none" w:sz="0" w:space="0" w:color="auto"/>
        <w:right w:val="none" w:sz="0" w:space="0" w:color="auto"/>
      </w:divBdr>
    </w:div>
    <w:div w:id="1197887233">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298602844">
      <w:bodyDiv w:val="1"/>
      <w:marLeft w:val="0"/>
      <w:marRight w:val="0"/>
      <w:marTop w:val="0"/>
      <w:marBottom w:val="0"/>
      <w:divBdr>
        <w:top w:val="none" w:sz="0" w:space="0" w:color="auto"/>
        <w:left w:val="none" w:sz="0" w:space="0" w:color="auto"/>
        <w:bottom w:val="none" w:sz="0" w:space="0" w:color="auto"/>
        <w:right w:val="none" w:sz="0" w:space="0" w:color="auto"/>
      </w:divBdr>
      <w:divsChild>
        <w:div w:id="966857667">
          <w:marLeft w:val="0"/>
          <w:marRight w:val="0"/>
          <w:marTop w:val="0"/>
          <w:marBottom w:val="0"/>
          <w:divBdr>
            <w:top w:val="none" w:sz="0" w:space="0" w:color="auto"/>
            <w:left w:val="none" w:sz="0" w:space="0" w:color="auto"/>
            <w:bottom w:val="none" w:sz="0" w:space="0" w:color="auto"/>
            <w:right w:val="none" w:sz="0" w:space="0" w:color="auto"/>
          </w:divBdr>
        </w:div>
        <w:div w:id="467553954">
          <w:marLeft w:val="0"/>
          <w:marRight w:val="0"/>
          <w:marTop w:val="0"/>
          <w:marBottom w:val="0"/>
          <w:divBdr>
            <w:top w:val="none" w:sz="0" w:space="0" w:color="auto"/>
            <w:left w:val="none" w:sz="0" w:space="0" w:color="auto"/>
            <w:bottom w:val="none" w:sz="0" w:space="0" w:color="auto"/>
            <w:right w:val="none" w:sz="0" w:space="0" w:color="auto"/>
          </w:divBdr>
        </w:div>
        <w:div w:id="1113205236">
          <w:marLeft w:val="0"/>
          <w:marRight w:val="0"/>
          <w:marTop w:val="0"/>
          <w:marBottom w:val="0"/>
          <w:divBdr>
            <w:top w:val="none" w:sz="0" w:space="0" w:color="auto"/>
            <w:left w:val="none" w:sz="0" w:space="0" w:color="auto"/>
            <w:bottom w:val="none" w:sz="0" w:space="0" w:color="auto"/>
            <w:right w:val="none" w:sz="0" w:space="0" w:color="auto"/>
          </w:divBdr>
        </w:div>
        <w:div w:id="1820465086">
          <w:marLeft w:val="0"/>
          <w:marRight w:val="0"/>
          <w:marTop w:val="0"/>
          <w:marBottom w:val="0"/>
          <w:divBdr>
            <w:top w:val="none" w:sz="0" w:space="0" w:color="auto"/>
            <w:left w:val="none" w:sz="0" w:space="0" w:color="auto"/>
            <w:bottom w:val="none" w:sz="0" w:space="0" w:color="auto"/>
            <w:right w:val="none" w:sz="0" w:space="0" w:color="auto"/>
          </w:divBdr>
        </w:div>
        <w:div w:id="460615466">
          <w:marLeft w:val="0"/>
          <w:marRight w:val="0"/>
          <w:marTop w:val="0"/>
          <w:marBottom w:val="0"/>
          <w:divBdr>
            <w:top w:val="none" w:sz="0" w:space="0" w:color="auto"/>
            <w:left w:val="none" w:sz="0" w:space="0" w:color="auto"/>
            <w:bottom w:val="none" w:sz="0" w:space="0" w:color="auto"/>
            <w:right w:val="none" w:sz="0" w:space="0" w:color="auto"/>
          </w:divBdr>
        </w:div>
      </w:divsChild>
    </w:div>
    <w:div w:id="1430193929">
      <w:bodyDiv w:val="1"/>
      <w:marLeft w:val="0"/>
      <w:marRight w:val="0"/>
      <w:marTop w:val="0"/>
      <w:marBottom w:val="0"/>
      <w:divBdr>
        <w:top w:val="none" w:sz="0" w:space="0" w:color="auto"/>
        <w:left w:val="none" w:sz="0" w:space="0" w:color="auto"/>
        <w:bottom w:val="none" w:sz="0" w:space="0" w:color="auto"/>
        <w:right w:val="none" w:sz="0" w:space="0" w:color="auto"/>
      </w:divBdr>
      <w:divsChild>
        <w:div w:id="539174994">
          <w:marLeft w:val="0"/>
          <w:marRight w:val="0"/>
          <w:marTop w:val="0"/>
          <w:marBottom w:val="160"/>
          <w:divBdr>
            <w:top w:val="none" w:sz="0" w:space="0" w:color="auto"/>
            <w:left w:val="none" w:sz="0" w:space="0" w:color="auto"/>
            <w:bottom w:val="none" w:sz="0" w:space="0" w:color="auto"/>
            <w:right w:val="none" w:sz="0" w:space="0" w:color="auto"/>
          </w:divBdr>
          <w:divsChild>
            <w:div w:id="972632595">
              <w:marLeft w:val="0"/>
              <w:marRight w:val="0"/>
              <w:marTop w:val="0"/>
              <w:marBottom w:val="0"/>
              <w:divBdr>
                <w:top w:val="none" w:sz="0" w:space="0" w:color="auto"/>
                <w:left w:val="none" w:sz="0" w:space="0" w:color="auto"/>
                <w:bottom w:val="none" w:sz="0" w:space="0" w:color="auto"/>
                <w:right w:val="none" w:sz="0" w:space="0" w:color="auto"/>
              </w:divBdr>
            </w:div>
          </w:divsChild>
        </w:div>
        <w:div w:id="628896853">
          <w:marLeft w:val="0"/>
          <w:marRight w:val="0"/>
          <w:marTop w:val="0"/>
          <w:marBottom w:val="160"/>
          <w:divBdr>
            <w:top w:val="none" w:sz="0" w:space="0" w:color="auto"/>
            <w:left w:val="none" w:sz="0" w:space="0" w:color="auto"/>
            <w:bottom w:val="none" w:sz="0" w:space="0" w:color="auto"/>
            <w:right w:val="none" w:sz="0" w:space="0" w:color="auto"/>
          </w:divBdr>
          <w:divsChild>
            <w:div w:id="1704944618">
              <w:marLeft w:val="0"/>
              <w:marRight w:val="0"/>
              <w:marTop w:val="0"/>
              <w:marBottom w:val="0"/>
              <w:divBdr>
                <w:top w:val="none" w:sz="0" w:space="0" w:color="auto"/>
                <w:left w:val="none" w:sz="0" w:space="0" w:color="auto"/>
                <w:bottom w:val="none" w:sz="0" w:space="0" w:color="auto"/>
                <w:right w:val="none" w:sz="0" w:space="0" w:color="auto"/>
              </w:divBdr>
            </w:div>
          </w:divsChild>
        </w:div>
        <w:div w:id="1311252306">
          <w:marLeft w:val="0"/>
          <w:marRight w:val="0"/>
          <w:marTop w:val="0"/>
          <w:marBottom w:val="160"/>
          <w:divBdr>
            <w:top w:val="none" w:sz="0" w:space="0" w:color="auto"/>
            <w:left w:val="none" w:sz="0" w:space="0" w:color="auto"/>
            <w:bottom w:val="none" w:sz="0" w:space="0" w:color="auto"/>
            <w:right w:val="none" w:sz="0" w:space="0" w:color="auto"/>
          </w:divBdr>
          <w:divsChild>
            <w:div w:id="702629411">
              <w:marLeft w:val="0"/>
              <w:marRight w:val="0"/>
              <w:marTop w:val="0"/>
              <w:marBottom w:val="0"/>
              <w:divBdr>
                <w:top w:val="none" w:sz="0" w:space="0" w:color="auto"/>
                <w:left w:val="none" w:sz="0" w:space="0" w:color="auto"/>
                <w:bottom w:val="none" w:sz="0" w:space="0" w:color="auto"/>
                <w:right w:val="none" w:sz="0" w:space="0" w:color="auto"/>
              </w:divBdr>
            </w:div>
          </w:divsChild>
        </w:div>
        <w:div w:id="2114931344">
          <w:marLeft w:val="0"/>
          <w:marRight w:val="0"/>
          <w:marTop w:val="0"/>
          <w:marBottom w:val="160"/>
          <w:divBdr>
            <w:top w:val="none" w:sz="0" w:space="0" w:color="auto"/>
            <w:left w:val="none" w:sz="0" w:space="0" w:color="auto"/>
            <w:bottom w:val="none" w:sz="0" w:space="0" w:color="auto"/>
            <w:right w:val="none" w:sz="0" w:space="0" w:color="auto"/>
          </w:divBdr>
          <w:divsChild>
            <w:div w:id="579409961">
              <w:marLeft w:val="0"/>
              <w:marRight w:val="0"/>
              <w:marTop w:val="0"/>
              <w:marBottom w:val="0"/>
              <w:divBdr>
                <w:top w:val="none" w:sz="0" w:space="0" w:color="auto"/>
                <w:left w:val="none" w:sz="0" w:space="0" w:color="auto"/>
                <w:bottom w:val="none" w:sz="0" w:space="0" w:color="auto"/>
                <w:right w:val="none" w:sz="0" w:space="0" w:color="auto"/>
              </w:divBdr>
            </w:div>
          </w:divsChild>
        </w:div>
        <w:div w:id="1703674496">
          <w:marLeft w:val="0"/>
          <w:marRight w:val="0"/>
          <w:marTop w:val="0"/>
          <w:marBottom w:val="160"/>
          <w:divBdr>
            <w:top w:val="none" w:sz="0" w:space="0" w:color="auto"/>
            <w:left w:val="none" w:sz="0" w:space="0" w:color="auto"/>
            <w:bottom w:val="none" w:sz="0" w:space="0" w:color="auto"/>
            <w:right w:val="none" w:sz="0" w:space="0" w:color="auto"/>
          </w:divBdr>
          <w:divsChild>
            <w:div w:id="396051974">
              <w:marLeft w:val="0"/>
              <w:marRight w:val="0"/>
              <w:marTop w:val="0"/>
              <w:marBottom w:val="0"/>
              <w:divBdr>
                <w:top w:val="none" w:sz="0" w:space="0" w:color="auto"/>
                <w:left w:val="none" w:sz="0" w:space="0" w:color="auto"/>
                <w:bottom w:val="none" w:sz="0" w:space="0" w:color="auto"/>
                <w:right w:val="none" w:sz="0" w:space="0" w:color="auto"/>
              </w:divBdr>
            </w:div>
          </w:divsChild>
        </w:div>
        <w:div w:id="1553808123">
          <w:marLeft w:val="0"/>
          <w:marRight w:val="0"/>
          <w:marTop w:val="0"/>
          <w:marBottom w:val="160"/>
          <w:divBdr>
            <w:top w:val="none" w:sz="0" w:space="0" w:color="auto"/>
            <w:left w:val="none" w:sz="0" w:space="0" w:color="auto"/>
            <w:bottom w:val="none" w:sz="0" w:space="0" w:color="auto"/>
            <w:right w:val="none" w:sz="0" w:space="0" w:color="auto"/>
          </w:divBdr>
          <w:divsChild>
            <w:div w:id="1997343637">
              <w:marLeft w:val="0"/>
              <w:marRight w:val="0"/>
              <w:marTop w:val="0"/>
              <w:marBottom w:val="0"/>
              <w:divBdr>
                <w:top w:val="none" w:sz="0" w:space="0" w:color="auto"/>
                <w:left w:val="none" w:sz="0" w:space="0" w:color="auto"/>
                <w:bottom w:val="none" w:sz="0" w:space="0" w:color="auto"/>
                <w:right w:val="none" w:sz="0" w:space="0" w:color="auto"/>
              </w:divBdr>
            </w:div>
          </w:divsChild>
        </w:div>
        <w:div w:id="450561559">
          <w:marLeft w:val="0"/>
          <w:marRight w:val="0"/>
          <w:marTop w:val="0"/>
          <w:marBottom w:val="160"/>
          <w:divBdr>
            <w:top w:val="none" w:sz="0" w:space="0" w:color="auto"/>
            <w:left w:val="none" w:sz="0" w:space="0" w:color="auto"/>
            <w:bottom w:val="none" w:sz="0" w:space="0" w:color="auto"/>
            <w:right w:val="none" w:sz="0" w:space="0" w:color="auto"/>
          </w:divBdr>
          <w:divsChild>
            <w:div w:id="1498888867">
              <w:marLeft w:val="0"/>
              <w:marRight w:val="0"/>
              <w:marTop w:val="0"/>
              <w:marBottom w:val="0"/>
              <w:divBdr>
                <w:top w:val="none" w:sz="0" w:space="0" w:color="auto"/>
                <w:left w:val="none" w:sz="0" w:space="0" w:color="auto"/>
                <w:bottom w:val="none" w:sz="0" w:space="0" w:color="auto"/>
                <w:right w:val="none" w:sz="0" w:space="0" w:color="auto"/>
              </w:divBdr>
            </w:div>
          </w:divsChild>
        </w:div>
        <w:div w:id="518083710">
          <w:marLeft w:val="0"/>
          <w:marRight w:val="0"/>
          <w:marTop w:val="0"/>
          <w:marBottom w:val="160"/>
          <w:divBdr>
            <w:top w:val="none" w:sz="0" w:space="0" w:color="auto"/>
            <w:left w:val="none" w:sz="0" w:space="0" w:color="auto"/>
            <w:bottom w:val="none" w:sz="0" w:space="0" w:color="auto"/>
            <w:right w:val="none" w:sz="0" w:space="0" w:color="auto"/>
          </w:divBdr>
          <w:divsChild>
            <w:div w:id="810901248">
              <w:marLeft w:val="0"/>
              <w:marRight w:val="0"/>
              <w:marTop w:val="0"/>
              <w:marBottom w:val="0"/>
              <w:divBdr>
                <w:top w:val="none" w:sz="0" w:space="0" w:color="auto"/>
                <w:left w:val="none" w:sz="0" w:space="0" w:color="auto"/>
                <w:bottom w:val="none" w:sz="0" w:space="0" w:color="auto"/>
                <w:right w:val="none" w:sz="0" w:space="0" w:color="auto"/>
              </w:divBdr>
            </w:div>
          </w:divsChild>
        </w:div>
        <w:div w:id="418259679">
          <w:marLeft w:val="0"/>
          <w:marRight w:val="0"/>
          <w:marTop w:val="0"/>
          <w:marBottom w:val="160"/>
          <w:divBdr>
            <w:top w:val="none" w:sz="0" w:space="0" w:color="auto"/>
            <w:left w:val="none" w:sz="0" w:space="0" w:color="auto"/>
            <w:bottom w:val="none" w:sz="0" w:space="0" w:color="auto"/>
            <w:right w:val="none" w:sz="0" w:space="0" w:color="auto"/>
          </w:divBdr>
          <w:divsChild>
            <w:div w:id="306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6987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2695958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9865560">
      <w:bodyDiv w:val="1"/>
      <w:marLeft w:val="0"/>
      <w:marRight w:val="0"/>
      <w:marTop w:val="0"/>
      <w:marBottom w:val="0"/>
      <w:divBdr>
        <w:top w:val="none" w:sz="0" w:space="0" w:color="auto"/>
        <w:left w:val="none" w:sz="0" w:space="0" w:color="auto"/>
        <w:bottom w:val="none" w:sz="0" w:space="0" w:color="auto"/>
        <w:right w:val="none" w:sz="0" w:space="0" w:color="auto"/>
      </w:divBdr>
      <w:divsChild>
        <w:div w:id="462121400">
          <w:marLeft w:val="0"/>
          <w:marRight w:val="0"/>
          <w:marTop w:val="0"/>
          <w:marBottom w:val="0"/>
          <w:divBdr>
            <w:top w:val="none" w:sz="0" w:space="0" w:color="auto"/>
            <w:left w:val="none" w:sz="0" w:space="0" w:color="auto"/>
            <w:bottom w:val="none" w:sz="0" w:space="0" w:color="auto"/>
            <w:right w:val="none" w:sz="0" w:space="0" w:color="auto"/>
          </w:divBdr>
        </w:div>
        <w:div w:id="1310013116">
          <w:marLeft w:val="0"/>
          <w:marRight w:val="0"/>
          <w:marTop w:val="0"/>
          <w:marBottom w:val="0"/>
          <w:divBdr>
            <w:top w:val="none" w:sz="0" w:space="0" w:color="auto"/>
            <w:left w:val="none" w:sz="0" w:space="0" w:color="auto"/>
            <w:bottom w:val="none" w:sz="0" w:space="0" w:color="auto"/>
            <w:right w:val="none" w:sz="0" w:space="0" w:color="auto"/>
          </w:divBdr>
        </w:div>
        <w:div w:id="1481003278">
          <w:marLeft w:val="0"/>
          <w:marRight w:val="0"/>
          <w:marTop w:val="0"/>
          <w:marBottom w:val="0"/>
          <w:divBdr>
            <w:top w:val="none" w:sz="0" w:space="0" w:color="auto"/>
            <w:left w:val="none" w:sz="0" w:space="0" w:color="auto"/>
            <w:bottom w:val="none" w:sz="0" w:space="0" w:color="auto"/>
            <w:right w:val="none" w:sz="0" w:space="0" w:color="auto"/>
          </w:divBdr>
        </w:div>
        <w:div w:id="1702431875">
          <w:marLeft w:val="0"/>
          <w:marRight w:val="0"/>
          <w:marTop w:val="0"/>
          <w:marBottom w:val="0"/>
          <w:divBdr>
            <w:top w:val="none" w:sz="0" w:space="0" w:color="auto"/>
            <w:left w:val="none" w:sz="0" w:space="0" w:color="auto"/>
            <w:bottom w:val="none" w:sz="0" w:space="0" w:color="auto"/>
            <w:right w:val="none" w:sz="0" w:space="0" w:color="auto"/>
          </w:divBdr>
        </w:div>
        <w:div w:id="792792881">
          <w:marLeft w:val="0"/>
          <w:marRight w:val="0"/>
          <w:marTop w:val="0"/>
          <w:marBottom w:val="0"/>
          <w:divBdr>
            <w:top w:val="none" w:sz="0" w:space="0" w:color="auto"/>
            <w:left w:val="none" w:sz="0" w:space="0" w:color="auto"/>
            <w:bottom w:val="none" w:sz="0" w:space="0" w:color="auto"/>
            <w:right w:val="none" w:sz="0" w:space="0" w:color="auto"/>
          </w:divBdr>
        </w:div>
      </w:divsChild>
    </w:div>
    <w:div w:id="180296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91178">
          <w:marLeft w:val="0"/>
          <w:marRight w:val="0"/>
          <w:marTop w:val="0"/>
          <w:marBottom w:val="160"/>
          <w:divBdr>
            <w:top w:val="none" w:sz="0" w:space="0" w:color="auto"/>
            <w:left w:val="none" w:sz="0" w:space="0" w:color="auto"/>
            <w:bottom w:val="none" w:sz="0" w:space="0" w:color="auto"/>
            <w:right w:val="none" w:sz="0" w:space="0" w:color="auto"/>
          </w:divBdr>
          <w:divsChild>
            <w:div w:id="602107273">
              <w:marLeft w:val="0"/>
              <w:marRight w:val="0"/>
              <w:marTop w:val="0"/>
              <w:marBottom w:val="0"/>
              <w:divBdr>
                <w:top w:val="none" w:sz="0" w:space="0" w:color="auto"/>
                <w:left w:val="none" w:sz="0" w:space="0" w:color="auto"/>
                <w:bottom w:val="none" w:sz="0" w:space="0" w:color="auto"/>
                <w:right w:val="none" w:sz="0" w:space="0" w:color="auto"/>
              </w:divBdr>
            </w:div>
          </w:divsChild>
        </w:div>
        <w:div w:id="1985312368">
          <w:marLeft w:val="0"/>
          <w:marRight w:val="0"/>
          <w:marTop w:val="0"/>
          <w:marBottom w:val="160"/>
          <w:divBdr>
            <w:top w:val="none" w:sz="0" w:space="0" w:color="auto"/>
            <w:left w:val="none" w:sz="0" w:space="0" w:color="auto"/>
            <w:bottom w:val="none" w:sz="0" w:space="0" w:color="auto"/>
            <w:right w:val="none" w:sz="0" w:space="0" w:color="auto"/>
          </w:divBdr>
          <w:divsChild>
            <w:div w:id="246815138">
              <w:marLeft w:val="0"/>
              <w:marRight w:val="0"/>
              <w:marTop w:val="0"/>
              <w:marBottom w:val="0"/>
              <w:divBdr>
                <w:top w:val="none" w:sz="0" w:space="0" w:color="auto"/>
                <w:left w:val="none" w:sz="0" w:space="0" w:color="auto"/>
                <w:bottom w:val="none" w:sz="0" w:space="0" w:color="auto"/>
                <w:right w:val="none" w:sz="0" w:space="0" w:color="auto"/>
              </w:divBdr>
            </w:div>
          </w:divsChild>
        </w:div>
        <w:div w:id="1489203437">
          <w:marLeft w:val="0"/>
          <w:marRight w:val="0"/>
          <w:marTop w:val="0"/>
          <w:marBottom w:val="160"/>
          <w:divBdr>
            <w:top w:val="none" w:sz="0" w:space="0" w:color="auto"/>
            <w:left w:val="none" w:sz="0" w:space="0" w:color="auto"/>
            <w:bottom w:val="none" w:sz="0" w:space="0" w:color="auto"/>
            <w:right w:val="none" w:sz="0" w:space="0" w:color="auto"/>
          </w:divBdr>
          <w:divsChild>
            <w:div w:id="1637565917">
              <w:marLeft w:val="0"/>
              <w:marRight w:val="0"/>
              <w:marTop w:val="0"/>
              <w:marBottom w:val="0"/>
              <w:divBdr>
                <w:top w:val="none" w:sz="0" w:space="0" w:color="auto"/>
                <w:left w:val="none" w:sz="0" w:space="0" w:color="auto"/>
                <w:bottom w:val="none" w:sz="0" w:space="0" w:color="auto"/>
                <w:right w:val="none" w:sz="0" w:space="0" w:color="auto"/>
              </w:divBdr>
            </w:div>
          </w:divsChild>
        </w:div>
        <w:div w:id="1965039654">
          <w:marLeft w:val="0"/>
          <w:marRight w:val="0"/>
          <w:marTop w:val="0"/>
          <w:marBottom w:val="160"/>
          <w:divBdr>
            <w:top w:val="none" w:sz="0" w:space="0" w:color="auto"/>
            <w:left w:val="none" w:sz="0" w:space="0" w:color="auto"/>
            <w:bottom w:val="none" w:sz="0" w:space="0" w:color="auto"/>
            <w:right w:val="none" w:sz="0" w:space="0" w:color="auto"/>
          </w:divBdr>
          <w:divsChild>
            <w:div w:id="1791778168">
              <w:marLeft w:val="0"/>
              <w:marRight w:val="0"/>
              <w:marTop w:val="0"/>
              <w:marBottom w:val="0"/>
              <w:divBdr>
                <w:top w:val="none" w:sz="0" w:space="0" w:color="auto"/>
                <w:left w:val="none" w:sz="0" w:space="0" w:color="auto"/>
                <w:bottom w:val="none" w:sz="0" w:space="0" w:color="auto"/>
                <w:right w:val="none" w:sz="0" w:space="0" w:color="auto"/>
              </w:divBdr>
            </w:div>
          </w:divsChild>
        </w:div>
        <w:div w:id="918560249">
          <w:marLeft w:val="0"/>
          <w:marRight w:val="0"/>
          <w:marTop w:val="0"/>
          <w:marBottom w:val="160"/>
          <w:divBdr>
            <w:top w:val="none" w:sz="0" w:space="0" w:color="auto"/>
            <w:left w:val="none" w:sz="0" w:space="0" w:color="auto"/>
            <w:bottom w:val="none" w:sz="0" w:space="0" w:color="auto"/>
            <w:right w:val="none" w:sz="0" w:space="0" w:color="auto"/>
          </w:divBdr>
          <w:divsChild>
            <w:div w:id="1712916455">
              <w:marLeft w:val="0"/>
              <w:marRight w:val="0"/>
              <w:marTop w:val="0"/>
              <w:marBottom w:val="0"/>
              <w:divBdr>
                <w:top w:val="none" w:sz="0" w:space="0" w:color="auto"/>
                <w:left w:val="none" w:sz="0" w:space="0" w:color="auto"/>
                <w:bottom w:val="none" w:sz="0" w:space="0" w:color="auto"/>
                <w:right w:val="none" w:sz="0" w:space="0" w:color="auto"/>
              </w:divBdr>
            </w:div>
          </w:divsChild>
        </w:div>
        <w:div w:id="807433445">
          <w:marLeft w:val="0"/>
          <w:marRight w:val="0"/>
          <w:marTop w:val="0"/>
          <w:marBottom w:val="160"/>
          <w:divBdr>
            <w:top w:val="none" w:sz="0" w:space="0" w:color="auto"/>
            <w:left w:val="none" w:sz="0" w:space="0" w:color="auto"/>
            <w:bottom w:val="none" w:sz="0" w:space="0" w:color="auto"/>
            <w:right w:val="none" w:sz="0" w:space="0" w:color="auto"/>
          </w:divBdr>
          <w:divsChild>
            <w:div w:id="2101680755">
              <w:marLeft w:val="0"/>
              <w:marRight w:val="0"/>
              <w:marTop w:val="0"/>
              <w:marBottom w:val="0"/>
              <w:divBdr>
                <w:top w:val="none" w:sz="0" w:space="0" w:color="auto"/>
                <w:left w:val="none" w:sz="0" w:space="0" w:color="auto"/>
                <w:bottom w:val="none" w:sz="0" w:space="0" w:color="auto"/>
                <w:right w:val="none" w:sz="0" w:space="0" w:color="auto"/>
              </w:divBdr>
            </w:div>
          </w:divsChild>
        </w:div>
        <w:div w:id="1967537925">
          <w:marLeft w:val="0"/>
          <w:marRight w:val="0"/>
          <w:marTop w:val="0"/>
          <w:marBottom w:val="160"/>
          <w:divBdr>
            <w:top w:val="none" w:sz="0" w:space="0" w:color="auto"/>
            <w:left w:val="none" w:sz="0" w:space="0" w:color="auto"/>
            <w:bottom w:val="none" w:sz="0" w:space="0" w:color="auto"/>
            <w:right w:val="none" w:sz="0" w:space="0" w:color="auto"/>
          </w:divBdr>
          <w:divsChild>
            <w:div w:id="238830366">
              <w:marLeft w:val="0"/>
              <w:marRight w:val="0"/>
              <w:marTop w:val="0"/>
              <w:marBottom w:val="0"/>
              <w:divBdr>
                <w:top w:val="none" w:sz="0" w:space="0" w:color="auto"/>
                <w:left w:val="none" w:sz="0" w:space="0" w:color="auto"/>
                <w:bottom w:val="none" w:sz="0" w:space="0" w:color="auto"/>
                <w:right w:val="none" w:sz="0" w:space="0" w:color="auto"/>
              </w:divBdr>
            </w:div>
          </w:divsChild>
        </w:div>
        <w:div w:id="753746361">
          <w:marLeft w:val="0"/>
          <w:marRight w:val="0"/>
          <w:marTop w:val="0"/>
          <w:marBottom w:val="160"/>
          <w:divBdr>
            <w:top w:val="none" w:sz="0" w:space="0" w:color="auto"/>
            <w:left w:val="none" w:sz="0" w:space="0" w:color="auto"/>
            <w:bottom w:val="none" w:sz="0" w:space="0" w:color="auto"/>
            <w:right w:val="none" w:sz="0" w:space="0" w:color="auto"/>
          </w:divBdr>
          <w:divsChild>
            <w:div w:id="794758917">
              <w:marLeft w:val="0"/>
              <w:marRight w:val="0"/>
              <w:marTop w:val="0"/>
              <w:marBottom w:val="0"/>
              <w:divBdr>
                <w:top w:val="none" w:sz="0" w:space="0" w:color="auto"/>
                <w:left w:val="none" w:sz="0" w:space="0" w:color="auto"/>
                <w:bottom w:val="none" w:sz="0" w:space="0" w:color="auto"/>
                <w:right w:val="none" w:sz="0" w:space="0" w:color="auto"/>
              </w:divBdr>
            </w:div>
          </w:divsChild>
        </w:div>
        <w:div w:id="235628210">
          <w:marLeft w:val="0"/>
          <w:marRight w:val="0"/>
          <w:marTop w:val="0"/>
          <w:marBottom w:val="160"/>
          <w:divBdr>
            <w:top w:val="none" w:sz="0" w:space="0" w:color="auto"/>
            <w:left w:val="none" w:sz="0" w:space="0" w:color="auto"/>
            <w:bottom w:val="none" w:sz="0" w:space="0" w:color="auto"/>
            <w:right w:val="none" w:sz="0" w:space="0" w:color="auto"/>
          </w:divBdr>
          <w:divsChild>
            <w:div w:id="18653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4416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1594E"/>
    <w:rsid w:val="000634BC"/>
    <w:rsid w:val="001471FA"/>
    <w:rsid w:val="001C5DD7"/>
    <w:rsid w:val="00265E71"/>
    <w:rsid w:val="00297ED0"/>
    <w:rsid w:val="002F214A"/>
    <w:rsid w:val="002F791F"/>
    <w:rsid w:val="00364B6C"/>
    <w:rsid w:val="00401B74"/>
    <w:rsid w:val="00424BDF"/>
    <w:rsid w:val="004439B9"/>
    <w:rsid w:val="004D658F"/>
    <w:rsid w:val="00545D98"/>
    <w:rsid w:val="0058341F"/>
    <w:rsid w:val="005C624E"/>
    <w:rsid w:val="00643D70"/>
    <w:rsid w:val="006457B9"/>
    <w:rsid w:val="00652BBD"/>
    <w:rsid w:val="006B33D7"/>
    <w:rsid w:val="006C1F61"/>
    <w:rsid w:val="0072189C"/>
    <w:rsid w:val="00736B2E"/>
    <w:rsid w:val="0079412A"/>
    <w:rsid w:val="007A1B13"/>
    <w:rsid w:val="007B2D1A"/>
    <w:rsid w:val="00855753"/>
    <w:rsid w:val="008C07CD"/>
    <w:rsid w:val="008C27DC"/>
    <w:rsid w:val="008D4DF9"/>
    <w:rsid w:val="0095407F"/>
    <w:rsid w:val="009C56BA"/>
    <w:rsid w:val="00A5325A"/>
    <w:rsid w:val="00A61C2C"/>
    <w:rsid w:val="00A737EE"/>
    <w:rsid w:val="00A9597D"/>
    <w:rsid w:val="00AE3FC9"/>
    <w:rsid w:val="00AE4FC3"/>
    <w:rsid w:val="00AF0D87"/>
    <w:rsid w:val="00B77384"/>
    <w:rsid w:val="00B9159B"/>
    <w:rsid w:val="00BC19FF"/>
    <w:rsid w:val="00BE5B91"/>
    <w:rsid w:val="00BF6074"/>
    <w:rsid w:val="00C24818"/>
    <w:rsid w:val="00C371EC"/>
    <w:rsid w:val="00C574C9"/>
    <w:rsid w:val="00CD0526"/>
    <w:rsid w:val="00D10362"/>
    <w:rsid w:val="00D262C4"/>
    <w:rsid w:val="00D65F5D"/>
    <w:rsid w:val="00D80DA7"/>
    <w:rsid w:val="00D819F2"/>
    <w:rsid w:val="00E37E0B"/>
    <w:rsid w:val="00E6057A"/>
    <w:rsid w:val="00E738C3"/>
    <w:rsid w:val="00E73B5E"/>
    <w:rsid w:val="00F3171C"/>
    <w:rsid w:val="00F83AF3"/>
    <w:rsid w:val="00FA4D04"/>
    <w:rsid w:val="00FD2B92"/>
    <w:rsid w:val="00FF3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56BA"/>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1899</Words>
  <Characters>10826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Gustavo Andrés Fernández Calderón</cp:lastModifiedBy>
  <cp:revision>7</cp:revision>
  <dcterms:created xsi:type="dcterms:W3CDTF">2024-09-13T15:38:00Z</dcterms:created>
  <dcterms:modified xsi:type="dcterms:W3CDTF">2024-09-18T22:44:00Z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