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62A9" w14:textId="77777777" w:rsidR="00E26538" w:rsidRPr="00916311" w:rsidRDefault="00E26538" w:rsidP="00916311">
      <w:pPr>
        <w:spacing w:after="0" w:line="360" w:lineRule="auto"/>
        <w:jc w:val="center"/>
        <w:rPr>
          <w:rFonts w:ascii="Arial" w:hAnsi="Arial" w:cs="Arial"/>
          <w:b/>
          <w:u w:val="single"/>
          <w:lang w:val="es-ES"/>
        </w:rPr>
      </w:pPr>
      <w:r w:rsidRPr="00916311">
        <w:rPr>
          <w:rFonts w:ascii="Arial" w:hAnsi="Arial" w:cs="Arial"/>
          <w:b/>
          <w:u w:val="single"/>
          <w:lang w:val="es-ES"/>
        </w:rPr>
        <w:t>INFORME INICIAL</w:t>
      </w:r>
    </w:p>
    <w:p w14:paraId="6F379541" w14:textId="72A659A6" w:rsidR="00E26538" w:rsidRDefault="00E26538" w:rsidP="00BC5BE8">
      <w:pPr>
        <w:spacing w:after="0" w:line="360" w:lineRule="auto"/>
        <w:rPr>
          <w:rFonts w:ascii="Arial" w:hAnsi="Arial" w:cs="Arial"/>
          <w:b/>
          <w:lang w:val="es-ES"/>
        </w:rPr>
      </w:pPr>
    </w:p>
    <w:p w14:paraId="72CA2997" w14:textId="77777777" w:rsidR="002468CF" w:rsidRDefault="002468CF" w:rsidP="00BC5BE8">
      <w:pPr>
        <w:spacing w:after="0" w:line="360" w:lineRule="auto"/>
        <w:rPr>
          <w:rFonts w:ascii="Arial" w:hAnsi="Arial" w:cs="Arial"/>
          <w:b/>
          <w:lang w:val="es-ES"/>
        </w:rPr>
      </w:pPr>
    </w:p>
    <w:p w14:paraId="4265D0BB" w14:textId="0336E981" w:rsidR="00E26538" w:rsidRPr="00916311" w:rsidRDefault="00E26538" w:rsidP="00916311">
      <w:pPr>
        <w:pStyle w:val="Prrafodelista"/>
        <w:numPr>
          <w:ilvl w:val="0"/>
          <w:numId w:val="1"/>
        </w:numPr>
        <w:spacing w:after="0" w:line="360" w:lineRule="auto"/>
        <w:rPr>
          <w:rFonts w:ascii="Arial" w:hAnsi="Arial" w:cs="Arial"/>
          <w:b/>
          <w:lang w:val="es-ES"/>
        </w:rPr>
      </w:pPr>
      <w:r w:rsidRPr="00916311">
        <w:rPr>
          <w:rFonts w:ascii="Arial" w:hAnsi="Arial" w:cs="Arial"/>
          <w:b/>
          <w:u w:val="single"/>
          <w:lang w:val="es-ES"/>
        </w:rPr>
        <w:t>DATOS DEL PROCESO</w:t>
      </w:r>
      <w:r w:rsidRPr="00916311">
        <w:rPr>
          <w:rFonts w:ascii="Arial" w:hAnsi="Arial" w:cs="Arial"/>
          <w:b/>
          <w:lang w:val="es-ES"/>
        </w:rPr>
        <w:t>:</w:t>
      </w:r>
    </w:p>
    <w:p w14:paraId="06A863B2" w14:textId="77777777" w:rsidR="00CA4498" w:rsidRDefault="00CA4498" w:rsidP="00BC5BE8">
      <w:pPr>
        <w:spacing w:after="0" w:line="360" w:lineRule="auto"/>
        <w:rPr>
          <w:rFonts w:ascii="Arial" w:hAnsi="Arial" w:cs="Arial"/>
          <w:b/>
          <w:lang w:val="es-ES"/>
        </w:rPr>
      </w:pPr>
    </w:p>
    <w:p w14:paraId="57056D86" w14:textId="6321117A" w:rsidR="00E26538" w:rsidRDefault="00E26538" w:rsidP="00E3279A">
      <w:pPr>
        <w:spacing w:after="0" w:line="360" w:lineRule="auto"/>
        <w:jc w:val="both"/>
        <w:rPr>
          <w:rFonts w:ascii="Arial" w:hAnsi="Arial" w:cs="Arial"/>
          <w:b/>
          <w:lang w:val="es-ES"/>
        </w:rPr>
      </w:pPr>
      <w:r>
        <w:rPr>
          <w:rFonts w:ascii="Arial" w:hAnsi="Arial" w:cs="Arial"/>
          <w:b/>
          <w:lang w:val="es-ES"/>
        </w:rPr>
        <w:t>Juzgado:</w:t>
      </w:r>
      <w:r w:rsidR="00CA4498">
        <w:rPr>
          <w:rFonts w:ascii="Arial" w:hAnsi="Arial" w:cs="Arial"/>
          <w:b/>
          <w:lang w:val="es-ES"/>
        </w:rPr>
        <w:t xml:space="preserve"> </w:t>
      </w:r>
      <w:r w:rsidR="00CA4498">
        <w:rPr>
          <w:rFonts w:ascii="Arial" w:hAnsi="Arial" w:cs="Arial"/>
          <w:b/>
          <w:lang w:val="es-ES"/>
        </w:rPr>
        <w:tab/>
      </w:r>
      <w:r w:rsidR="00CA4498">
        <w:rPr>
          <w:rFonts w:ascii="Arial" w:hAnsi="Arial" w:cs="Arial"/>
          <w:b/>
          <w:lang w:val="es-ES"/>
        </w:rPr>
        <w:tab/>
      </w:r>
      <w:r w:rsidR="00CA4498">
        <w:rPr>
          <w:rFonts w:ascii="Arial" w:hAnsi="Arial" w:cs="Arial"/>
          <w:b/>
          <w:lang w:val="es-ES"/>
        </w:rPr>
        <w:tab/>
      </w:r>
      <w:r w:rsidR="00CA4498" w:rsidRPr="00CA4498">
        <w:rPr>
          <w:rFonts w:ascii="Arial" w:hAnsi="Arial" w:cs="Arial"/>
          <w:b/>
          <w:lang w:val="es-ES"/>
        </w:rPr>
        <w:t>JUZGADO CIVIL DEL CIRCUITO DE PUERTO TEJADA</w:t>
      </w:r>
    </w:p>
    <w:p w14:paraId="0647947C" w14:textId="2FC4A054" w:rsidR="00E26538" w:rsidRDefault="00E26538" w:rsidP="00E3279A">
      <w:pPr>
        <w:spacing w:after="0" w:line="360" w:lineRule="auto"/>
        <w:jc w:val="both"/>
        <w:rPr>
          <w:rFonts w:ascii="Arial" w:hAnsi="Arial" w:cs="Arial"/>
          <w:b/>
          <w:lang w:val="es-ES"/>
        </w:rPr>
      </w:pPr>
      <w:r>
        <w:rPr>
          <w:rFonts w:ascii="Arial" w:hAnsi="Arial" w:cs="Arial"/>
          <w:b/>
          <w:lang w:val="es-ES"/>
        </w:rPr>
        <w:t>Radicación:</w:t>
      </w:r>
      <w:r w:rsidR="00CA4498">
        <w:rPr>
          <w:rFonts w:ascii="Arial" w:hAnsi="Arial" w:cs="Arial"/>
          <w:b/>
          <w:lang w:val="es-ES"/>
        </w:rPr>
        <w:t xml:space="preserve"> </w:t>
      </w:r>
      <w:r w:rsidR="00CA4498">
        <w:rPr>
          <w:rFonts w:ascii="Arial" w:hAnsi="Arial" w:cs="Arial"/>
          <w:b/>
          <w:lang w:val="es-ES"/>
        </w:rPr>
        <w:tab/>
      </w:r>
      <w:r w:rsidR="00CA4498">
        <w:rPr>
          <w:rFonts w:ascii="Arial" w:hAnsi="Arial" w:cs="Arial"/>
          <w:b/>
          <w:lang w:val="es-ES"/>
        </w:rPr>
        <w:tab/>
      </w:r>
      <w:r w:rsidR="00CA4498">
        <w:rPr>
          <w:rFonts w:ascii="Arial" w:hAnsi="Arial" w:cs="Arial"/>
          <w:b/>
          <w:lang w:val="es-ES"/>
        </w:rPr>
        <w:tab/>
      </w:r>
      <w:r w:rsidR="00CA4498" w:rsidRPr="00CA4498">
        <w:rPr>
          <w:rFonts w:ascii="Arial" w:hAnsi="Arial" w:cs="Arial"/>
          <w:b/>
          <w:lang w:val="es-ES"/>
        </w:rPr>
        <w:t>195733103001-2022-00012-00.</w:t>
      </w:r>
    </w:p>
    <w:p w14:paraId="0318149E" w14:textId="75BA3648" w:rsidR="00E26538" w:rsidRDefault="00E26538" w:rsidP="00CA4498">
      <w:pPr>
        <w:spacing w:after="0" w:line="360" w:lineRule="auto"/>
        <w:ind w:left="2880" w:hanging="2880"/>
        <w:jc w:val="both"/>
        <w:rPr>
          <w:rFonts w:ascii="Arial" w:hAnsi="Arial" w:cs="Arial"/>
          <w:b/>
          <w:lang w:val="es-ES"/>
        </w:rPr>
      </w:pPr>
      <w:r>
        <w:rPr>
          <w:rFonts w:ascii="Arial" w:hAnsi="Arial" w:cs="Arial"/>
          <w:b/>
          <w:lang w:val="es-ES"/>
        </w:rPr>
        <w:t>Demandantes:</w:t>
      </w:r>
      <w:r w:rsidR="00CA4498">
        <w:rPr>
          <w:rFonts w:ascii="Arial" w:hAnsi="Arial" w:cs="Arial"/>
          <w:b/>
          <w:lang w:val="es-ES"/>
        </w:rPr>
        <w:t xml:space="preserve"> </w:t>
      </w:r>
      <w:r w:rsidR="00CA4498">
        <w:rPr>
          <w:rFonts w:ascii="Arial" w:hAnsi="Arial" w:cs="Arial"/>
          <w:b/>
          <w:lang w:val="es-ES"/>
        </w:rPr>
        <w:tab/>
      </w:r>
      <w:r w:rsidR="00CA4498" w:rsidRPr="00CA4498">
        <w:rPr>
          <w:rFonts w:ascii="Arial" w:hAnsi="Arial" w:cs="Arial"/>
          <w:b/>
          <w:lang w:val="es-ES"/>
        </w:rPr>
        <w:t>HERNÁN PÉREZ, JHON EDWIN CARABALÍ SOLARTE, JAIRO ARMANDO PAZ PAZ, JUAN DAVID MAFLA y LUIS CARLOS CARABALÍ GIRÓN</w:t>
      </w:r>
      <w:r w:rsidR="00CA4498">
        <w:rPr>
          <w:rFonts w:ascii="Arial" w:hAnsi="Arial" w:cs="Arial"/>
          <w:b/>
          <w:lang w:val="es-ES"/>
        </w:rPr>
        <w:t xml:space="preserve">. </w:t>
      </w:r>
    </w:p>
    <w:p w14:paraId="4DDBB462" w14:textId="26165E2F" w:rsidR="00E26538" w:rsidRPr="00CA4498" w:rsidRDefault="00E26538" w:rsidP="00CA4498">
      <w:pPr>
        <w:spacing w:after="0" w:line="360" w:lineRule="auto"/>
        <w:ind w:left="2880" w:hanging="2880"/>
        <w:jc w:val="both"/>
        <w:rPr>
          <w:rFonts w:ascii="Arial" w:hAnsi="Arial" w:cs="Arial"/>
          <w:b/>
          <w:lang w:val="es-ES"/>
        </w:rPr>
      </w:pPr>
      <w:r>
        <w:rPr>
          <w:rFonts w:ascii="Arial" w:hAnsi="Arial" w:cs="Arial"/>
          <w:b/>
          <w:lang w:val="es-ES"/>
        </w:rPr>
        <w:t>Demandado</w:t>
      </w:r>
      <w:r w:rsidR="00CA4498">
        <w:rPr>
          <w:rFonts w:ascii="Arial" w:hAnsi="Arial" w:cs="Arial"/>
          <w:b/>
          <w:lang w:val="es-ES"/>
        </w:rPr>
        <w:t>s</w:t>
      </w:r>
      <w:r>
        <w:rPr>
          <w:rFonts w:ascii="Arial" w:hAnsi="Arial" w:cs="Arial"/>
          <w:b/>
          <w:lang w:val="es-ES"/>
        </w:rPr>
        <w:t>:</w:t>
      </w:r>
      <w:r w:rsidR="00CA4498">
        <w:rPr>
          <w:rFonts w:ascii="Arial" w:hAnsi="Arial" w:cs="Arial"/>
          <w:b/>
          <w:lang w:val="es-ES"/>
        </w:rPr>
        <w:tab/>
        <w:t xml:space="preserve">SUPERPOLLOS DEL GALPÓN S.A.S. </w:t>
      </w:r>
      <w:r w:rsidR="00CA4498" w:rsidRPr="00CA4498">
        <w:rPr>
          <w:rFonts w:ascii="Arial" w:hAnsi="Arial" w:cs="Arial"/>
          <w:b/>
          <w:lang w:val="es-ES"/>
        </w:rPr>
        <w:t>y DAR AYUDA</w:t>
      </w:r>
      <w:r w:rsidR="00CA4498">
        <w:rPr>
          <w:rFonts w:ascii="Arial" w:hAnsi="Arial" w:cs="Arial"/>
          <w:b/>
          <w:lang w:val="es-ES"/>
        </w:rPr>
        <w:t xml:space="preserve"> </w:t>
      </w:r>
      <w:r w:rsidR="00CA4498" w:rsidRPr="00CA4498">
        <w:rPr>
          <w:rFonts w:ascii="Arial" w:hAnsi="Arial" w:cs="Arial"/>
          <w:b/>
          <w:lang w:val="es-ES"/>
        </w:rPr>
        <w:t>TEMPORAL S.A.S.</w:t>
      </w:r>
    </w:p>
    <w:p w14:paraId="00A3FC48" w14:textId="4A636B88" w:rsidR="00E26538" w:rsidRPr="00CA4498" w:rsidRDefault="00E26538" w:rsidP="00BC5BE8">
      <w:pPr>
        <w:spacing w:after="0" w:line="360" w:lineRule="auto"/>
        <w:rPr>
          <w:rFonts w:ascii="Arial" w:hAnsi="Arial" w:cs="Arial"/>
          <w:b/>
          <w:lang w:val="es-CO"/>
        </w:rPr>
      </w:pPr>
      <w:r>
        <w:rPr>
          <w:rFonts w:ascii="Arial" w:hAnsi="Arial" w:cs="Arial"/>
          <w:b/>
          <w:lang w:val="es-ES"/>
        </w:rPr>
        <w:t>Llamado en garantía:</w:t>
      </w:r>
      <w:r w:rsidR="00CA4498">
        <w:rPr>
          <w:rFonts w:ascii="Arial" w:hAnsi="Arial" w:cs="Arial"/>
          <w:b/>
          <w:lang w:val="es-ES"/>
        </w:rPr>
        <w:t xml:space="preserve"> </w:t>
      </w:r>
      <w:r w:rsidR="00CA4498">
        <w:rPr>
          <w:rFonts w:ascii="Arial" w:hAnsi="Arial" w:cs="Arial"/>
          <w:b/>
          <w:lang w:val="es-ES"/>
        </w:rPr>
        <w:tab/>
      </w:r>
      <w:r w:rsidR="00CA4498" w:rsidRPr="00CA4498">
        <w:rPr>
          <w:rFonts w:ascii="Arial" w:hAnsi="Arial" w:cs="Arial"/>
          <w:b/>
          <w:lang w:val="es-ES"/>
        </w:rPr>
        <w:t>MAPFRE SEGUROS GENERALES DE</w:t>
      </w:r>
      <w:r w:rsidR="00CA4498">
        <w:rPr>
          <w:rFonts w:ascii="Arial" w:hAnsi="Arial" w:cs="Arial"/>
          <w:b/>
          <w:lang w:val="es-ES"/>
        </w:rPr>
        <w:t xml:space="preserve"> COLOMBIA S.A.</w:t>
      </w:r>
    </w:p>
    <w:p w14:paraId="2E12171F" w14:textId="23990836" w:rsidR="00E26538" w:rsidRDefault="00E26538" w:rsidP="00BC5BE8">
      <w:pPr>
        <w:spacing w:after="0" w:line="360" w:lineRule="auto"/>
        <w:rPr>
          <w:rFonts w:ascii="Arial" w:hAnsi="Arial" w:cs="Arial"/>
          <w:b/>
          <w:lang w:val="es-ES"/>
        </w:rPr>
      </w:pPr>
    </w:p>
    <w:p w14:paraId="40DCD363" w14:textId="77777777" w:rsidR="002468CF" w:rsidRDefault="002468CF" w:rsidP="00BC5BE8">
      <w:pPr>
        <w:spacing w:after="0" w:line="360" w:lineRule="auto"/>
        <w:rPr>
          <w:rFonts w:ascii="Arial" w:hAnsi="Arial" w:cs="Arial"/>
          <w:b/>
          <w:lang w:val="es-ES"/>
        </w:rPr>
      </w:pPr>
    </w:p>
    <w:p w14:paraId="070DC640" w14:textId="161FE38B" w:rsidR="00D27848" w:rsidRPr="00916311" w:rsidRDefault="002468CF" w:rsidP="00916311">
      <w:pPr>
        <w:pStyle w:val="Prrafodelista"/>
        <w:numPr>
          <w:ilvl w:val="0"/>
          <w:numId w:val="1"/>
        </w:numPr>
        <w:spacing w:after="0" w:line="360" w:lineRule="auto"/>
        <w:rPr>
          <w:rFonts w:ascii="Arial" w:hAnsi="Arial" w:cs="Arial"/>
          <w:b/>
          <w:u w:val="single"/>
          <w:lang w:val="es-ES"/>
        </w:rPr>
      </w:pPr>
      <w:r w:rsidRPr="00916311">
        <w:rPr>
          <w:rFonts w:ascii="Arial" w:hAnsi="Arial" w:cs="Arial"/>
          <w:b/>
          <w:u w:val="single"/>
          <w:lang w:val="es-ES"/>
        </w:rPr>
        <w:t>HECHOS RELEVANTES</w:t>
      </w:r>
    </w:p>
    <w:p w14:paraId="367B36E4" w14:textId="77777777" w:rsidR="00D27848" w:rsidRPr="00BC5BE8" w:rsidRDefault="00D27848" w:rsidP="00BC5BE8">
      <w:pPr>
        <w:spacing w:after="0" w:line="360" w:lineRule="auto"/>
        <w:rPr>
          <w:rFonts w:ascii="Arial" w:hAnsi="Arial" w:cs="Arial"/>
          <w:lang w:val="es-ES"/>
        </w:rPr>
      </w:pPr>
    </w:p>
    <w:p w14:paraId="2FF59C69" w14:textId="6BC1B1A3" w:rsidR="00C25CA8" w:rsidRPr="00BC5BE8" w:rsidRDefault="00915B26" w:rsidP="00BC5BE8">
      <w:pPr>
        <w:spacing w:after="0" w:line="360" w:lineRule="auto"/>
        <w:jc w:val="both"/>
        <w:rPr>
          <w:rFonts w:ascii="Arial" w:hAnsi="Arial" w:cs="Arial"/>
          <w:lang w:val="es-ES"/>
        </w:rPr>
      </w:pPr>
      <w:r w:rsidRPr="00BC5BE8">
        <w:rPr>
          <w:rFonts w:ascii="Arial" w:hAnsi="Arial" w:cs="Arial"/>
          <w:lang w:val="es-ES"/>
        </w:rPr>
        <w:t>El 20 de junio de 2016 ocurrió un accidente de tránsito en la vía que de Puerto Tejada conduce a Cali. El vehículo de placa MWU 747 transportaba 6 personas, de las cuales 5 estaban en la parte del plantón de la camioneta y una iba al lado del conductor.</w:t>
      </w:r>
      <w:r w:rsidR="00D27848" w:rsidRPr="00BC5BE8">
        <w:rPr>
          <w:rFonts w:ascii="Arial" w:hAnsi="Arial" w:cs="Arial"/>
          <w:lang w:val="es-ES"/>
        </w:rPr>
        <w:t xml:space="preserve"> En total, 7 personas eran ocupantes del vehículo</w:t>
      </w:r>
      <w:r w:rsidR="00910DFF">
        <w:rPr>
          <w:rFonts w:ascii="Arial" w:hAnsi="Arial" w:cs="Arial"/>
          <w:lang w:val="es-ES"/>
        </w:rPr>
        <w:t>, entre los cuales se encontraban los señores</w:t>
      </w:r>
      <w:r w:rsidR="00CA4498">
        <w:rPr>
          <w:rFonts w:ascii="Arial" w:hAnsi="Arial" w:cs="Arial"/>
          <w:lang w:val="es-ES"/>
        </w:rPr>
        <w:t xml:space="preserve"> </w:t>
      </w:r>
      <w:r w:rsidR="00CA4498" w:rsidRPr="00CA4498">
        <w:rPr>
          <w:rFonts w:ascii="Arial" w:hAnsi="Arial" w:cs="Arial"/>
          <w:lang w:val="es-ES"/>
        </w:rPr>
        <w:t>Hernán Pérez, Jhon Edwin Carabalí Solarte, Jairo Armando Paz Paz, Juan David Mafla Y Luis Carlos Carabalí Girón</w:t>
      </w:r>
      <w:r w:rsidR="00CA4498">
        <w:rPr>
          <w:rFonts w:ascii="Arial" w:hAnsi="Arial" w:cs="Arial"/>
          <w:lang w:val="es-ES"/>
        </w:rPr>
        <w:t xml:space="preserve">. </w:t>
      </w:r>
    </w:p>
    <w:p w14:paraId="7C7E468D" w14:textId="77777777" w:rsidR="00C25CA8" w:rsidRPr="00BC5BE8" w:rsidRDefault="00C25CA8" w:rsidP="00BC5BE8">
      <w:pPr>
        <w:spacing w:after="0" w:line="360" w:lineRule="auto"/>
        <w:jc w:val="both"/>
        <w:rPr>
          <w:rFonts w:ascii="Arial" w:hAnsi="Arial" w:cs="Arial"/>
          <w:lang w:val="es-ES"/>
        </w:rPr>
      </w:pPr>
    </w:p>
    <w:p w14:paraId="13658A55" w14:textId="24DABE8A" w:rsidR="00915B26" w:rsidRPr="00BC5BE8" w:rsidRDefault="00221EC2" w:rsidP="00BC5BE8">
      <w:pPr>
        <w:spacing w:after="0" w:line="360" w:lineRule="auto"/>
        <w:jc w:val="both"/>
        <w:rPr>
          <w:rFonts w:ascii="Arial" w:hAnsi="Arial" w:cs="Arial"/>
          <w:lang w:val="es-ES"/>
        </w:rPr>
      </w:pPr>
      <w:r>
        <w:rPr>
          <w:rFonts w:ascii="Arial" w:hAnsi="Arial" w:cs="Arial"/>
          <w:lang w:val="es-ES"/>
        </w:rPr>
        <w:t>Se aduce que e</w:t>
      </w:r>
      <w:r w:rsidR="00C25CA8" w:rsidRPr="00BC5BE8">
        <w:rPr>
          <w:rFonts w:ascii="Arial" w:hAnsi="Arial" w:cs="Arial"/>
          <w:lang w:val="es-ES"/>
        </w:rPr>
        <w:t>l accident</w:t>
      </w:r>
      <w:r>
        <w:rPr>
          <w:rFonts w:ascii="Arial" w:hAnsi="Arial" w:cs="Arial"/>
          <w:lang w:val="es-ES"/>
        </w:rPr>
        <w:t>e</w:t>
      </w:r>
      <w:r w:rsidR="00C25CA8" w:rsidRPr="00BC5BE8">
        <w:rPr>
          <w:rFonts w:ascii="Arial" w:hAnsi="Arial" w:cs="Arial"/>
          <w:lang w:val="es-ES"/>
        </w:rPr>
        <w:t xml:space="preserve"> ocurrió porque el conductor de la camioneta iba a adelantar un camión cañero y al hacer la maniobra observó una moto sin luces, por lo que, al tratar de esquivarla y reincorporarse a su carril, perdió el control, ocasionado el volcamiento de la camioneta. Por lo que resultaron 5 personas lesionadas y una </w:t>
      </w:r>
      <w:r w:rsidR="00F75BE5">
        <w:rPr>
          <w:rFonts w:ascii="Arial" w:hAnsi="Arial" w:cs="Arial"/>
          <w:lang w:val="es-ES"/>
        </w:rPr>
        <w:t>fallecida.</w:t>
      </w:r>
      <w:r w:rsidR="00C25CA8" w:rsidRPr="00BC5BE8">
        <w:rPr>
          <w:rFonts w:ascii="Arial" w:hAnsi="Arial" w:cs="Arial"/>
          <w:lang w:val="es-ES"/>
        </w:rPr>
        <w:t xml:space="preserve">   </w:t>
      </w:r>
      <w:r w:rsidR="00915B26" w:rsidRPr="00BC5BE8">
        <w:rPr>
          <w:rFonts w:ascii="Arial" w:hAnsi="Arial" w:cs="Arial"/>
          <w:lang w:val="es-ES"/>
        </w:rPr>
        <w:t xml:space="preserve"> </w:t>
      </w:r>
    </w:p>
    <w:p w14:paraId="3978A324" w14:textId="77777777" w:rsidR="00D27848" w:rsidRPr="00BC5BE8" w:rsidRDefault="00D27848" w:rsidP="00BC5BE8">
      <w:pPr>
        <w:spacing w:after="0" w:line="360" w:lineRule="auto"/>
        <w:jc w:val="both"/>
        <w:rPr>
          <w:rFonts w:ascii="Arial" w:hAnsi="Arial" w:cs="Arial"/>
          <w:lang w:val="es-ES"/>
        </w:rPr>
      </w:pPr>
    </w:p>
    <w:p w14:paraId="6FA65CCB" w14:textId="1E4773F6" w:rsidR="009B0024" w:rsidRPr="00BC5BE8" w:rsidRDefault="00D27848" w:rsidP="00BC5BE8">
      <w:pPr>
        <w:spacing w:after="0" w:line="360" w:lineRule="auto"/>
        <w:jc w:val="both"/>
        <w:rPr>
          <w:rFonts w:ascii="Arial" w:hAnsi="Arial" w:cs="Arial"/>
          <w:lang w:val="es-ES"/>
        </w:rPr>
      </w:pPr>
      <w:r w:rsidRPr="00BC5BE8">
        <w:rPr>
          <w:rFonts w:ascii="Arial" w:hAnsi="Arial" w:cs="Arial"/>
          <w:lang w:val="es-ES"/>
        </w:rPr>
        <w:t>Sobre el referido vehículo existía un contrato de leasing celebrado el 28 de enero de 2013 entre Banco Finandina S.A. (propietario) y Alimentos del Galpón S.A. (locatario). El 7 de febrero de 2014 se hizo la cesión del referido contrato, en la cual la sociedad Alimentos del Galpón S.A.</w:t>
      </w:r>
      <w:r w:rsidR="00C25CA8" w:rsidRPr="00BC5BE8">
        <w:rPr>
          <w:rFonts w:ascii="Arial" w:hAnsi="Arial" w:cs="Arial"/>
          <w:lang w:val="es-ES"/>
        </w:rPr>
        <w:t xml:space="preserve"> con NIT 890.316.597-1</w:t>
      </w:r>
      <w:r w:rsidRPr="00BC5BE8">
        <w:rPr>
          <w:rFonts w:ascii="Arial" w:hAnsi="Arial" w:cs="Arial"/>
          <w:lang w:val="es-ES"/>
        </w:rPr>
        <w:t xml:space="preserve"> le cedió su posición contractual a Superpollos del Galpón S.A.S.</w:t>
      </w:r>
      <w:r w:rsidR="00C25CA8" w:rsidRPr="00BC5BE8">
        <w:rPr>
          <w:rFonts w:ascii="Arial" w:hAnsi="Arial" w:cs="Arial"/>
          <w:lang w:val="es-ES"/>
        </w:rPr>
        <w:t xml:space="preserve"> con NIT 900.687.096-1</w:t>
      </w:r>
      <w:r w:rsidRPr="00BC5BE8">
        <w:rPr>
          <w:rFonts w:ascii="Arial" w:hAnsi="Arial" w:cs="Arial"/>
          <w:lang w:val="es-ES"/>
        </w:rPr>
        <w:t xml:space="preserve">, es decir, esta última sociedad quedó figurando como </w:t>
      </w:r>
      <w:r w:rsidRPr="00BC5BE8">
        <w:rPr>
          <w:rFonts w:ascii="Arial" w:hAnsi="Arial" w:cs="Arial"/>
          <w:lang w:val="es-ES"/>
        </w:rPr>
        <w:lastRenderedPageBreak/>
        <w:t>locataria del vehículo de placas MWU 747 en el contrato de leasing celebrado con Banco Finandina S.A.</w:t>
      </w:r>
      <w:r w:rsidR="003D51F4" w:rsidRPr="00BC5BE8">
        <w:rPr>
          <w:rFonts w:ascii="Arial" w:hAnsi="Arial" w:cs="Arial"/>
          <w:lang w:val="es-ES"/>
        </w:rPr>
        <w:t xml:space="preserve">, establecimiento de crédito que aceptó la cesión. </w:t>
      </w:r>
    </w:p>
    <w:p w14:paraId="5C42DAA5" w14:textId="77777777" w:rsidR="009B0024" w:rsidRPr="00BC5BE8" w:rsidRDefault="009B0024" w:rsidP="00BC5BE8">
      <w:pPr>
        <w:spacing w:after="0" w:line="360" w:lineRule="auto"/>
        <w:jc w:val="both"/>
        <w:rPr>
          <w:rFonts w:ascii="Arial" w:hAnsi="Arial" w:cs="Arial"/>
          <w:lang w:val="es-ES"/>
        </w:rPr>
      </w:pPr>
    </w:p>
    <w:p w14:paraId="0993FAA6" w14:textId="6535C6A4" w:rsidR="00D27848" w:rsidRPr="00BC5BE8" w:rsidRDefault="009B0024" w:rsidP="00BC5BE8">
      <w:pPr>
        <w:spacing w:after="0" w:line="360" w:lineRule="auto"/>
        <w:jc w:val="both"/>
        <w:rPr>
          <w:rFonts w:ascii="Arial" w:hAnsi="Arial" w:cs="Arial"/>
          <w:lang w:val="es-ES"/>
        </w:rPr>
      </w:pPr>
      <w:r w:rsidRPr="00BC5BE8">
        <w:rPr>
          <w:rFonts w:ascii="Arial" w:hAnsi="Arial" w:cs="Arial"/>
          <w:lang w:val="es-ES"/>
        </w:rPr>
        <w:t>Superpollos del Galpón S.A.S.</w:t>
      </w:r>
      <w:r w:rsidR="00C25CA8" w:rsidRPr="00BC5BE8">
        <w:rPr>
          <w:rFonts w:ascii="Arial" w:hAnsi="Arial" w:cs="Arial"/>
          <w:lang w:val="es-ES"/>
        </w:rPr>
        <w:t xml:space="preserve"> llamó</w:t>
      </w:r>
      <w:r w:rsidRPr="00BC5BE8">
        <w:rPr>
          <w:rFonts w:ascii="Arial" w:hAnsi="Arial" w:cs="Arial"/>
          <w:lang w:val="es-ES"/>
        </w:rPr>
        <w:t xml:space="preserve"> en garantía a Mapfre Seguros Generales de Colombia S.A. con ocasión al contrato de seguro No. 2201116006687</w:t>
      </w:r>
      <w:r w:rsidR="00C25CA8" w:rsidRPr="00BC5BE8">
        <w:rPr>
          <w:rFonts w:ascii="Arial" w:hAnsi="Arial" w:cs="Arial"/>
          <w:lang w:val="es-ES"/>
        </w:rPr>
        <w:t xml:space="preserve">, vigente entre el 08 de marzo de 2016 y el 07 de marzo de 2017, en modalidad ocurrencia, cuyo riesgo asegurado era el vehículo de placa MWU 747 y que contemplaba el amparo de RCE. Sin embargo, en dicha carátula figuraba como asegurada la sociedad Alimentos del Galpón S.A. y no Superpollos del Galpón S.A.S.  </w:t>
      </w:r>
    </w:p>
    <w:p w14:paraId="58A64155" w14:textId="5B127E69" w:rsidR="00D27848" w:rsidRPr="00BC5BE8" w:rsidRDefault="00D27848" w:rsidP="00BC5BE8">
      <w:pPr>
        <w:spacing w:after="0" w:line="360" w:lineRule="auto"/>
        <w:jc w:val="both"/>
        <w:rPr>
          <w:rFonts w:ascii="Arial" w:hAnsi="Arial" w:cs="Arial"/>
          <w:lang w:val="es-ES"/>
        </w:rPr>
      </w:pPr>
    </w:p>
    <w:p w14:paraId="19857144" w14:textId="6F886426" w:rsidR="00D77F10" w:rsidRPr="00BC5BE8" w:rsidRDefault="00915B26" w:rsidP="00BC5BE8">
      <w:pPr>
        <w:spacing w:after="0" w:line="360" w:lineRule="auto"/>
        <w:jc w:val="both"/>
        <w:rPr>
          <w:rFonts w:ascii="Arial" w:hAnsi="Arial" w:cs="Arial"/>
          <w:lang w:val="es-ES"/>
        </w:rPr>
      </w:pPr>
      <w:r w:rsidRPr="00BC5BE8">
        <w:rPr>
          <w:rFonts w:ascii="Arial" w:hAnsi="Arial" w:cs="Arial"/>
          <w:lang w:val="es-ES"/>
        </w:rPr>
        <w:t xml:space="preserve"> </w:t>
      </w:r>
    </w:p>
    <w:p w14:paraId="76037616" w14:textId="16688C64" w:rsidR="00CC6DC8" w:rsidRPr="00916311" w:rsidRDefault="00CC6DC8" w:rsidP="00916311">
      <w:pPr>
        <w:pStyle w:val="Prrafodelista"/>
        <w:numPr>
          <w:ilvl w:val="0"/>
          <w:numId w:val="1"/>
        </w:numPr>
        <w:spacing w:after="0" w:line="360" w:lineRule="auto"/>
        <w:jc w:val="both"/>
        <w:rPr>
          <w:rFonts w:ascii="Arial" w:hAnsi="Arial" w:cs="Arial"/>
          <w:b/>
          <w:u w:val="single"/>
          <w:lang w:val="es-ES"/>
        </w:rPr>
      </w:pPr>
      <w:r w:rsidRPr="00916311">
        <w:rPr>
          <w:rFonts w:ascii="Arial" w:hAnsi="Arial" w:cs="Arial"/>
          <w:b/>
          <w:u w:val="single"/>
          <w:lang w:val="es-ES"/>
        </w:rPr>
        <w:t>PRETENSIONES</w:t>
      </w:r>
      <w:bookmarkStart w:id="0" w:name="_GoBack"/>
      <w:bookmarkEnd w:id="0"/>
      <w:r w:rsidR="00016067">
        <w:rPr>
          <w:rFonts w:ascii="Arial" w:hAnsi="Arial" w:cs="Arial"/>
          <w:b/>
          <w:u w:val="single"/>
          <w:lang w:val="es-ES"/>
        </w:rPr>
        <w:t xml:space="preserve"> DE LA DEMANDA</w:t>
      </w:r>
    </w:p>
    <w:p w14:paraId="7AD5EBE8" w14:textId="7BC81A57" w:rsidR="00CC6DC8" w:rsidRDefault="00CC6DC8" w:rsidP="00BC5BE8">
      <w:pPr>
        <w:spacing w:after="0" w:line="360" w:lineRule="auto"/>
        <w:jc w:val="both"/>
        <w:rPr>
          <w:rFonts w:ascii="Arial" w:hAnsi="Arial" w:cs="Arial"/>
          <w:b/>
          <w:u w:val="single"/>
          <w:lang w:val="es-ES"/>
        </w:rPr>
      </w:pPr>
    </w:p>
    <w:p w14:paraId="46A76D92" w14:textId="4FA9FF4D" w:rsidR="00CC6DC8" w:rsidRPr="004D23A9" w:rsidRDefault="004D23A9" w:rsidP="00BC5BE8">
      <w:pPr>
        <w:spacing w:after="0" w:line="360" w:lineRule="auto"/>
        <w:jc w:val="both"/>
        <w:rPr>
          <w:rFonts w:ascii="Arial" w:hAnsi="Arial" w:cs="Arial"/>
          <w:b/>
          <w:lang w:val="es-ES"/>
        </w:rPr>
      </w:pPr>
      <w:r w:rsidRPr="004D23A9">
        <w:rPr>
          <w:rFonts w:ascii="Arial" w:hAnsi="Arial" w:cs="Arial"/>
          <w:b/>
          <w:lang w:val="es-ES"/>
        </w:rPr>
        <w:t>Condenatorias:</w:t>
      </w:r>
    </w:p>
    <w:p w14:paraId="47B410B4" w14:textId="61F19A29" w:rsidR="004D23A9" w:rsidRDefault="004D23A9" w:rsidP="00BC5BE8">
      <w:pPr>
        <w:spacing w:after="0" w:line="360" w:lineRule="auto"/>
        <w:jc w:val="both"/>
        <w:rPr>
          <w:rFonts w:ascii="Arial" w:hAnsi="Arial" w:cs="Arial"/>
          <w:b/>
          <w:u w:val="single"/>
          <w:lang w:val="es-ES"/>
        </w:rPr>
      </w:pPr>
    </w:p>
    <w:p w14:paraId="64537CF0" w14:textId="77777777" w:rsidR="004D23A9" w:rsidRDefault="004D23A9" w:rsidP="00BC5BE8">
      <w:pPr>
        <w:spacing w:after="0" w:line="360" w:lineRule="auto"/>
        <w:jc w:val="both"/>
        <w:rPr>
          <w:rFonts w:ascii="Arial" w:hAnsi="Arial" w:cs="Arial"/>
          <w:b/>
          <w:lang w:val="es-ES"/>
        </w:rPr>
      </w:pPr>
      <w:r w:rsidRPr="004D23A9">
        <w:rPr>
          <w:rFonts w:ascii="Arial" w:hAnsi="Arial" w:cs="Arial"/>
          <w:b/>
          <w:lang w:val="es-ES"/>
        </w:rPr>
        <w:t>Por daño moral:</w:t>
      </w:r>
      <w:r>
        <w:rPr>
          <w:rFonts w:ascii="Arial" w:hAnsi="Arial" w:cs="Arial"/>
          <w:b/>
          <w:lang w:val="es-ES"/>
        </w:rPr>
        <w:tab/>
      </w:r>
      <w:r>
        <w:rPr>
          <w:rFonts w:ascii="Arial" w:hAnsi="Arial" w:cs="Arial"/>
          <w:b/>
          <w:lang w:val="es-ES"/>
        </w:rPr>
        <w:tab/>
        <w:t xml:space="preserve">250 SMLMV - $ </w:t>
      </w:r>
      <w:r w:rsidRPr="004D23A9">
        <w:rPr>
          <w:rFonts w:ascii="Arial" w:hAnsi="Arial" w:cs="Arial"/>
          <w:b/>
          <w:lang w:val="es-ES"/>
        </w:rPr>
        <w:t>290.000.000</w:t>
      </w:r>
    </w:p>
    <w:p w14:paraId="174B329E" w14:textId="77777777" w:rsidR="004D23A9" w:rsidRDefault="004D23A9" w:rsidP="00BC5BE8">
      <w:pPr>
        <w:spacing w:after="0" w:line="360" w:lineRule="auto"/>
        <w:jc w:val="both"/>
        <w:rPr>
          <w:rFonts w:ascii="Arial" w:hAnsi="Arial" w:cs="Arial"/>
          <w:b/>
          <w:lang w:val="es-ES"/>
        </w:rPr>
      </w:pPr>
      <w:r>
        <w:rPr>
          <w:rFonts w:ascii="Arial" w:hAnsi="Arial" w:cs="Arial"/>
          <w:b/>
          <w:lang w:val="es-ES"/>
        </w:rPr>
        <w:t>Por daño emergente:</w:t>
      </w:r>
      <w:r>
        <w:rPr>
          <w:rFonts w:ascii="Arial" w:hAnsi="Arial" w:cs="Arial"/>
          <w:b/>
          <w:lang w:val="es-ES"/>
        </w:rPr>
        <w:tab/>
        <w:t>$ 5.000.000</w:t>
      </w:r>
    </w:p>
    <w:p w14:paraId="11E8AA97" w14:textId="77777777" w:rsidR="004D23A9" w:rsidRDefault="004D23A9" w:rsidP="00BC5BE8">
      <w:pPr>
        <w:spacing w:after="0" w:line="360" w:lineRule="auto"/>
        <w:jc w:val="both"/>
        <w:rPr>
          <w:rFonts w:ascii="Arial" w:hAnsi="Arial" w:cs="Arial"/>
          <w:b/>
          <w:lang w:val="es-ES"/>
        </w:rPr>
      </w:pPr>
      <w:r>
        <w:rPr>
          <w:rFonts w:ascii="Arial" w:hAnsi="Arial" w:cs="Arial"/>
          <w:b/>
          <w:lang w:val="es-ES"/>
        </w:rPr>
        <w:t>Por lucro cesante:</w:t>
      </w:r>
      <w:r>
        <w:rPr>
          <w:rFonts w:ascii="Arial" w:hAnsi="Arial" w:cs="Arial"/>
          <w:b/>
          <w:lang w:val="es-ES"/>
        </w:rPr>
        <w:tab/>
      </w:r>
      <w:r>
        <w:rPr>
          <w:rFonts w:ascii="Arial" w:hAnsi="Arial" w:cs="Arial"/>
          <w:b/>
          <w:lang w:val="es-ES"/>
        </w:rPr>
        <w:tab/>
        <w:t>$ 303.800.000</w:t>
      </w:r>
    </w:p>
    <w:p w14:paraId="0CB40FC2" w14:textId="54A5FE60" w:rsidR="004D23A9" w:rsidRPr="004D23A9" w:rsidRDefault="004D23A9" w:rsidP="00BC5BE8">
      <w:pPr>
        <w:spacing w:after="0" w:line="360" w:lineRule="auto"/>
        <w:jc w:val="both"/>
        <w:rPr>
          <w:rFonts w:ascii="Arial" w:hAnsi="Arial" w:cs="Arial"/>
          <w:b/>
          <w:lang w:val="es-ES"/>
        </w:rPr>
      </w:pPr>
      <w:r>
        <w:rPr>
          <w:rFonts w:ascii="Arial" w:hAnsi="Arial" w:cs="Arial"/>
          <w:b/>
          <w:lang w:val="es-ES"/>
        </w:rPr>
        <w:t>TOTAL:</w:t>
      </w:r>
      <w:r w:rsidRPr="004D23A9">
        <w:rPr>
          <w:rFonts w:ascii="Arial" w:hAnsi="Arial" w:cs="Arial"/>
          <w:b/>
          <w:lang w:val="es-ES"/>
        </w:rPr>
        <w:t xml:space="preserve"> </w:t>
      </w:r>
      <w:r>
        <w:rPr>
          <w:rFonts w:ascii="Arial" w:hAnsi="Arial" w:cs="Arial"/>
          <w:b/>
          <w:lang w:val="es-ES"/>
        </w:rPr>
        <w:tab/>
      </w:r>
      <w:r>
        <w:rPr>
          <w:rFonts w:ascii="Arial" w:hAnsi="Arial" w:cs="Arial"/>
          <w:b/>
          <w:lang w:val="es-ES"/>
        </w:rPr>
        <w:tab/>
      </w:r>
      <w:r>
        <w:rPr>
          <w:rFonts w:ascii="Arial" w:hAnsi="Arial" w:cs="Arial"/>
          <w:b/>
          <w:lang w:val="es-ES"/>
        </w:rPr>
        <w:tab/>
        <w:t xml:space="preserve">$ </w:t>
      </w:r>
      <w:r w:rsidRPr="004D23A9">
        <w:rPr>
          <w:rFonts w:ascii="Arial" w:hAnsi="Arial" w:cs="Arial"/>
          <w:b/>
          <w:lang w:val="es-ES"/>
        </w:rPr>
        <w:t>598.800.000</w:t>
      </w:r>
    </w:p>
    <w:p w14:paraId="07EDDE0D" w14:textId="77777777" w:rsidR="00CC6DC8" w:rsidRDefault="00CC6DC8" w:rsidP="00BC5BE8">
      <w:pPr>
        <w:spacing w:after="0" w:line="360" w:lineRule="auto"/>
        <w:jc w:val="both"/>
        <w:rPr>
          <w:rFonts w:ascii="Arial" w:hAnsi="Arial" w:cs="Arial"/>
          <w:b/>
          <w:u w:val="single"/>
          <w:lang w:val="es-ES"/>
        </w:rPr>
      </w:pPr>
    </w:p>
    <w:p w14:paraId="2F56F839" w14:textId="5E76F61F" w:rsidR="000023CB" w:rsidRPr="00916311" w:rsidRDefault="00CC6DC8" w:rsidP="00916311">
      <w:pPr>
        <w:pStyle w:val="Prrafodelista"/>
        <w:numPr>
          <w:ilvl w:val="0"/>
          <w:numId w:val="1"/>
        </w:numPr>
        <w:spacing w:after="0" w:line="360" w:lineRule="auto"/>
        <w:jc w:val="both"/>
        <w:rPr>
          <w:rFonts w:ascii="Arial" w:hAnsi="Arial" w:cs="Arial"/>
          <w:u w:val="single"/>
          <w:lang w:val="es-ES"/>
        </w:rPr>
      </w:pPr>
      <w:r w:rsidRPr="00916311">
        <w:rPr>
          <w:rFonts w:ascii="Arial" w:hAnsi="Arial" w:cs="Arial"/>
          <w:b/>
          <w:u w:val="single"/>
          <w:lang w:val="es-ES"/>
        </w:rPr>
        <w:t xml:space="preserve">CALIFICACIÓN DE LA CONTINGENCIA </w:t>
      </w:r>
    </w:p>
    <w:p w14:paraId="367D773A" w14:textId="77777777" w:rsidR="000023CB" w:rsidRPr="00BC5BE8" w:rsidRDefault="000023CB" w:rsidP="00BC5BE8">
      <w:pPr>
        <w:spacing w:after="0" w:line="360" w:lineRule="auto"/>
        <w:rPr>
          <w:rFonts w:ascii="Arial" w:hAnsi="Arial" w:cs="Arial"/>
          <w:lang w:val="es-ES"/>
        </w:rPr>
      </w:pPr>
    </w:p>
    <w:p w14:paraId="0653C1B8" w14:textId="6BDCA26E" w:rsidR="000023CB" w:rsidRPr="00BC5BE8" w:rsidRDefault="000023CB" w:rsidP="00BC5BE8">
      <w:pPr>
        <w:spacing w:after="0" w:line="360" w:lineRule="auto"/>
        <w:jc w:val="both"/>
        <w:rPr>
          <w:rFonts w:ascii="Arial" w:hAnsi="Arial" w:cs="Arial"/>
          <w:lang w:val="es-ES"/>
        </w:rPr>
      </w:pPr>
      <w:r w:rsidRPr="00BC5BE8">
        <w:rPr>
          <w:rFonts w:ascii="Arial" w:hAnsi="Arial" w:cs="Arial"/>
          <w:lang w:val="es-ES"/>
        </w:rPr>
        <w:t xml:space="preserve">La contingencia se califica como </w:t>
      </w:r>
      <w:r w:rsidRPr="00BC5BE8">
        <w:rPr>
          <w:rFonts w:ascii="Arial" w:hAnsi="Arial" w:cs="Arial"/>
          <w:b/>
          <w:u w:val="single"/>
          <w:lang w:val="es-ES"/>
        </w:rPr>
        <w:t>EVENTUAL</w:t>
      </w:r>
      <w:r w:rsidRPr="00BC5BE8">
        <w:rPr>
          <w:rFonts w:ascii="Arial" w:hAnsi="Arial" w:cs="Arial"/>
          <w:lang w:val="es-ES"/>
        </w:rPr>
        <w:t xml:space="preserve"> toda vez que, si bien la responsabilidad del </w:t>
      </w:r>
      <w:r w:rsidR="005239AD" w:rsidRPr="00BC5BE8">
        <w:rPr>
          <w:rFonts w:ascii="Arial" w:hAnsi="Arial" w:cs="Arial"/>
          <w:lang w:val="es-ES"/>
        </w:rPr>
        <w:t>conductor</w:t>
      </w:r>
      <w:r w:rsidRPr="00BC5BE8">
        <w:rPr>
          <w:rFonts w:ascii="Arial" w:hAnsi="Arial" w:cs="Arial"/>
          <w:lang w:val="es-ES"/>
        </w:rPr>
        <w:t xml:space="preserve"> </w:t>
      </w:r>
      <w:r w:rsidR="005239AD" w:rsidRPr="00BC5BE8">
        <w:rPr>
          <w:rFonts w:ascii="Arial" w:hAnsi="Arial" w:cs="Arial"/>
          <w:lang w:val="es-ES"/>
        </w:rPr>
        <w:t>está plenamente acreditada</w:t>
      </w:r>
      <w:r w:rsidR="00903CB0">
        <w:rPr>
          <w:rFonts w:ascii="Arial" w:hAnsi="Arial" w:cs="Arial"/>
          <w:lang w:val="es-ES"/>
        </w:rPr>
        <w:t xml:space="preserve">, el juez podrá declarar de oficio la falta de legitimación de </w:t>
      </w:r>
      <w:r w:rsidR="004D23A9" w:rsidRPr="00BC5BE8">
        <w:rPr>
          <w:rFonts w:ascii="Arial" w:hAnsi="Arial" w:cs="Arial"/>
          <w:lang w:val="es-ES"/>
        </w:rPr>
        <w:t>Superpollos del Galpón S.A.S.</w:t>
      </w:r>
      <w:r w:rsidR="004D23A9">
        <w:rPr>
          <w:rFonts w:ascii="Arial" w:hAnsi="Arial" w:cs="Arial"/>
          <w:lang w:val="es-ES"/>
        </w:rPr>
        <w:t xml:space="preserve"> </w:t>
      </w:r>
      <w:r w:rsidR="00903CB0">
        <w:rPr>
          <w:rFonts w:ascii="Arial" w:hAnsi="Arial" w:cs="Arial"/>
          <w:lang w:val="es-ES"/>
        </w:rPr>
        <w:t>para llamar en garantía a Mapfre</w:t>
      </w:r>
      <w:r w:rsidR="004D23A9">
        <w:rPr>
          <w:rFonts w:ascii="Arial" w:hAnsi="Arial" w:cs="Arial"/>
          <w:lang w:val="es-ES"/>
        </w:rPr>
        <w:t xml:space="preserve"> </w:t>
      </w:r>
      <w:r w:rsidR="004D23A9" w:rsidRPr="004D23A9">
        <w:rPr>
          <w:rFonts w:ascii="Arial" w:hAnsi="Arial" w:cs="Arial"/>
          <w:lang w:val="es-ES"/>
        </w:rPr>
        <w:t>Seguros Generales De Colombia S.A.</w:t>
      </w:r>
    </w:p>
    <w:p w14:paraId="563B548F" w14:textId="77777777" w:rsidR="000023CB" w:rsidRPr="00BC5BE8" w:rsidRDefault="000023CB" w:rsidP="00BC5BE8">
      <w:pPr>
        <w:spacing w:after="0" w:line="360" w:lineRule="auto"/>
        <w:rPr>
          <w:rFonts w:ascii="Arial" w:hAnsi="Arial" w:cs="Arial"/>
          <w:lang w:val="es-ES"/>
        </w:rPr>
      </w:pPr>
    </w:p>
    <w:p w14:paraId="3D27CBF0" w14:textId="36CA9B77" w:rsidR="000023CB" w:rsidRPr="00BC5BE8" w:rsidRDefault="000023CB" w:rsidP="00BC5BE8">
      <w:pPr>
        <w:spacing w:after="0" w:line="360" w:lineRule="auto"/>
        <w:jc w:val="both"/>
        <w:rPr>
          <w:rFonts w:ascii="Arial" w:hAnsi="Arial" w:cs="Arial"/>
          <w:lang w:val="es-ES"/>
        </w:rPr>
      </w:pPr>
      <w:r w:rsidRPr="00BC5BE8">
        <w:rPr>
          <w:rFonts w:ascii="Arial" w:hAnsi="Arial" w:cs="Arial"/>
          <w:lang w:val="es-ES"/>
        </w:rPr>
        <w:t xml:space="preserve">Lo primero que debe tenerse en cuenta es que la póliza No. </w:t>
      </w:r>
      <w:r w:rsidR="00D453CB" w:rsidRPr="00BC5BE8">
        <w:rPr>
          <w:rFonts w:ascii="Arial" w:hAnsi="Arial" w:cs="Arial"/>
          <w:lang w:val="es-ES"/>
        </w:rPr>
        <w:t>2201116006687</w:t>
      </w:r>
      <w:r w:rsidR="005239AD" w:rsidRPr="00BC5BE8">
        <w:rPr>
          <w:rFonts w:ascii="Arial" w:hAnsi="Arial" w:cs="Arial"/>
          <w:lang w:val="es-ES"/>
        </w:rPr>
        <w:t xml:space="preserve"> </w:t>
      </w:r>
      <w:r w:rsidR="005239AD" w:rsidRPr="00BC5BE8">
        <w:rPr>
          <w:rFonts w:ascii="Arial" w:hAnsi="Arial" w:cs="Arial"/>
          <w:b/>
          <w:u w:val="single"/>
          <w:lang w:val="es-ES"/>
        </w:rPr>
        <w:t>NO ofrece cobertur</w:t>
      </w:r>
      <w:r w:rsidR="001A27B2">
        <w:rPr>
          <w:rFonts w:ascii="Arial" w:hAnsi="Arial" w:cs="Arial"/>
          <w:b/>
          <w:u w:val="single"/>
          <w:lang w:val="es-ES"/>
        </w:rPr>
        <w:t>a</w:t>
      </w:r>
      <w:r w:rsidR="001A27B2" w:rsidRPr="00916311">
        <w:rPr>
          <w:rFonts w:ascii="Arial" w:hAnsi="Arial" w:cs="Arial"/>
          <w:b/>
          <w:lang w:val="es-ES"/>
        </w:rPr>
        <w:t xml:space="preserve"> </w:t>
      </w:r>
      <w:r w:rsidR="005239AD" w:rsidRPr="00BC5BE8">
        <w:rPr>
          <w:rFonts w:ascii="Arial" w:hAnsi="Arial" w:cs="Arial"/>
          <w:lang w:val="es-ES"/>
        </w:rPr>
        <w:t xml:space="preserve">dentro del presente trámite por cuanto en la carátula de la póliza adosada en el llamamiento en garantía se observa que el asegurado era </w:t>
      </w:r>
      <w:r w:rsidR="00D77F10" w:rsidRPr="00BC5BE8">
        <w:rPr>
          <w:rFonts w:ascii="Arial" w:hAnsi="Arial" w:cs="Arial"/>
          <w:lang w:val="es-ES"/>
        </w:rPr>
        <w:t xml:space="preserve">Alimentos del Galpón S.A. </w:t>
      </w:r>
      <w:r w:rsidR="005239AD" w:rsidRPr="00BC5BE8">
        <w:rPr>
          <w:rFonts w:ascii="Arial" w:hAnsi="Arial" w:cs="Arial"/>
          <w:lang w:val="es-ES"/>
        </w:rPr>
        <w:t xml:space="preserve">con NIT 890.316.597-1, sin embargo, </w:t>
      </w:r>
      <w:r w:rsidR="00D77F10" w:rsidRPr="00BC5BE8">
        <w:rPr>
          <w:rFonts w:ascii="Arial" w:hAnsi="Arial" w:cs="Arial"/>
          <w:lang w:val="es-ES"/>
        </w:rPr>
        <w:t>desde el 7 de febrero de 2014</w:t>
      </w:r>
      <w:r w:rsidR="00903A0F" w:rsidRPr="00BC5BE8">
        <w:rPr>
          <w:rFonts w:ascii="Arial" w:hAnsi="Arial" w:cs="Arial"/>
          <w:lang w:val="es-ES"/>
        </w:rPr>
        <w:t xml:space="preserve">, dicha sociedad había cedido su posición contractual a Superpollos del Galpón S.A.S. con NIT 900.687.096-1, quien no figura como parte contractual en el seguro. Por lo tanto, Superpollos del Galpón S.A.S. no le trasladó a la aseguradora los riesgos que debía asumir y no tenía legitimación </w:t>
      </w:r>
      <w:r w:rsidR="00903A0F" w:rsidRPr="00BC5BE8">
        <w:rPr>
          <w:rFonts w:ascii="Arial" w:hAnsi="Arial" w:cs="Arial"/>
          <w:lang w:val="es-ES"/>
        </w:rPr>
        <w:lastRenderedPageBreak/>
        <w:t xml:space="preserve">en la causa por activa para llamarla en garantía. En conclusión, si bien </w:t>
      </w:r>
      <w:r w:rsidRPr="00BC5BE8">
        <w:rPr>
          <w:rFonts w:ascii="Arial" w:hAnsi="Arial" w:cs="Arial"/>
          <w:lang w:val="es-ES"/>
        </w:rPr>
        <w:t xml:space="preserve">los hechos objeto de la presente demanda ocurrieron el </w:t>
      </w:r>
      <w:r w:rsidR="00D453CB" w:rsidRPr="00BC5BE8">
        <w:rPr>
          <w:rFonts w:ascii="Arial" w:hAnsi="Arial" w:cs="Arial"/>
          <w:lang w:val="es-ES"/>
        </w:rPr>
        <w:t>20 de junio de 2016</w:t>
      </w:r>
      <w:r w:rsidRPr="00BC5BE8">
        <w:rPr>
          <w:rFonts w:ascii="Arial" w:hAnsi="Arial" w:cs="Arial"/>
          <w:lang w:val="es-ES"/>
        </w:rPr>
        <w:t xml:space="preserve"> y el contrato de seguro tenía una vigencia comprendida entre </w:t>
      </w:r>
      <w:r w:rsidR="00D453CB" w:rsidRPr="00BC5BE8">
        <w:rPr>
          <w:rFonts w:ascii="Arial" w:hAnsi="Arial" w:cs="Arial"/>
          <w:lang w:val="es-ES"/>
        </w:rPr>
        <w:t>08</w:t>
      </w:r>
      <w:r w:rsidRPr="00BC5BE8">
        <w:rPr>
          <w:rFonts w:ascii="Arial" w:hAnsi="Arial" w:cs="Arial"/>
          <w:lang w:val="es-ES"/>
        </w:rPr>
        <w:t xml:space="preserve"> de </w:t>
      </w:r>
      <w:r w:rsidR="00D453CB" w:rsidRPr="00BC5BE8">
        <w:rPr>
          <w:rFonts w:ascii="Arial" w:hAnsi="Arial" w:cs="Arial"/>
          <w:lang w:val="es-ES"/>
        </w:rPr>
        <w:t>marzo</w:t>
      </w:r>
      <w:r w:rsidRPr="00BC5BE8">
        <w:rPr>
          <w:rFonts w:ascii="Arial" w:hAnsi="Arial" w:cs="Arial"/>
          <w:lang w:val="es-ES"/>
        </w:rPr>
        <w:t xml:space="preserve"> de 20</w:t>
      </w:r>
      <w:r w:rsidR="00D453CB" w:rsidRPr="00BC5BE8">
        <w:rPr>
          <w:rFonts w:ascii="Arial" w:hAnsi="Arial" w:cs="Arial"/>
          <w:lang w:val="es-ES"/>
        </w:rPr>
        <w:t>16 y el 07</w:t>
      </w:r>
      <w:r w:rsidRPr="00BC5BE8">
        <w:rPr>
          <w:rFonts w:ascii="Arial" w:hAnsi="Arial" w:cs="Arial"/>
          <w:lang w:val="es-ES"/>
        </w:rPr>
        <w:t xml:space="preserve"> de </w:t>
      </w:r>
      <w:r w:rsidR="00D453CB" w:rsidRPr="00BC5BE8">
        <w:rPr>
          <w:rFonts w:ascii="Arial" w:hAnsi="Arial" w:cs="Arial"/>
          <w:lang w:val="es-ES"/>
        </w:rPr>
        <w:t xml:space="preserve">marzo </w:t>
      </w:r>
      <w:r w:rsidRPr="00BC5BE8">
        <w:rPr>
          <w:rFonts w:ascii="Arial" w:hAnsi="Arial" w:cs="Arial"/>
          <w:lang w:val="es-ES"/>
        </w:rPr>
        <w:t>de 20</w:t>
      </w:r>
      <w:r w:rsidR="00D453CB" w:rsidRPr="00BC5BE8">
        <w:rPr>
          <w:rFonts w:ascii="Arial" w:hAnsi="Arial" w:cs="Arial"/>
          <w:lang w:val="es-ES"/>
        </w:rPr>
        <w:t>17</w:t>
      </w:r>
      <w:r w:rsidRPr="00BC5BE8">
        <w:rPr>
          <w:rFonts w:ascii="Arial" w:hAnsi="Arial" w:cs="Arial"/>
          <w:lang w:val="es-ES"/>
        </w:rPr>
        <w:t>, en modalidad ocurrencia, es decir, que los hechos tuvieron lugar durante su vigencia</w:t>
      </w:r>
      <w:r w:rsidR="00903A0F" w:rsidRPr="00BC5BE8">
        <w:rPr>
          <w:rFonts w:ascii="Arial" w:hAnsi="Arial" w:cs="Arial"/>
          <w:lang w:val="es-ES"/>
        </w:rPr>
        <w:t xml:space="preserve"> y que dicho seguro </w:t>
      </w:r>
      <w:r w:rsidRPr="00BC5BE8">
        <w:rPr>
          <w:rFonts w:ascii="Arial" w:hAnsi="Arial" w:cs="Arial"/>
          <w:lang w:val="es-ES"/>
        </w:rPr>
        <w:t>contiene el amparo de responsabilidad civil extracontractual, que es precisamente la pretensión que los demandantes endilgan a los demandados</w:t>
      </w:r>
      <w:r w:rsidR="00903A0F" w:rsidRPr="00BC5BE8">
        <w:rPr>
          <w:rFonts w:ascii="Arial" w:hAnsi="Arial" w:cs="Arial"/>
          <w:lang w:val="es-ES"/>
        </w:rPr>
        <w:t xml:space="preserve">, lo cierto es que Superpollos del Galpón S.A.S. no figura como asegurado en la póliza No. 2201116006687 y, por lo tanto, no es parte de dicho contrato de seguro. </w:t>
      </w:r>
    </w:p>
    <w:p w14:paraId="3AC795CC" w14:textId="77777777" w:rsidR="00031F1B" w:rsidRPr="00BC5BE8" w:rsidRDefault="00031F1B" w:rsidP="00BC5BE8">
      <w:pPr>
        <w:spacing w:after="0" w:line="360" w:lineRule="auto"/>
        <w:rPr>
          <w:rFonts w:ascii="Arial" w:hAnsi="Arial" w:cs="Arial"/>
          <w:lang w:val="es-ES"/>
        </w:rPr>
      </w:pPr>
    </w:p>
    <w:p w14:paraId="15CA8442" w14:textId="77777777" w:rsidR="002F11DE" w:rsidRPr="00BC5BE8" w:rsidRDefault="000023CB" w:rsidP="00BC5BE8">
      <w:pPr>
        <w:spacing w:after="0" w:line="360" w:lineRule="auto"/>
        <w:jc w:val="both"/>
        <w:rPr>
          <w:rFonts w:ascii="Arial" w:hAnsi="Arial" w:cs="Arial"/>
          <w:lang w:val="es-ES"/>
        </w:rPr>
      </w:pPr>
      <w:r w:rsidRPr="00BC5BE8">
        <w:rPr>
          <w:rFonts w:ascii="Arial" w:hAnsi="Arial" w:cs="Arial"/>
          <w:lang w:val="es-ES"/>
        </w:rPr>
        <w:t xml:space="preserve">Lo anteriormente esgrimido debe ser analizado de manera conjunta con el estudio de la responsabilidad del asegurado, </w:t>
      </w:r>
      <w:r w:rsidR="004D3A64" w:rsidRPr="00BC5BE8">
        <w:rPr>
          <w:rFonts w:ascii="Arial" w:hAnsi="Arial" w:cs="Arial"/>
          <w:lang w:val="es-ES"/>
        </w:rPr>
        <w:t xml:space="preserve">la cual </w:t>
      </w:r>
      <w:r w:rsidR="004D3A64" w:rsidRPr="00BC5BE8">
        <w:rPr>
          <w:rFonts w:ascii="Arial" w:hAnsi="Arial" w:cs="Arial"/>
          <w:b/>
          <w:u w:val="single"/>
          <w:lang w:val="es-ES"/>
        </w:rPr>
        <w:t>se encuentra plenamente acreditada</w:t>
      </w:r>
      <w:r w:rsidR="004D3A64" w:rsidRPr="00BC5BE8">
        <w:rPr>
          <w:rFonts w:ascii="Arial" w:hAnsi="Arial" w:cs="Arial"/>
          <w:lang w:val="es-ES"/>
        </w:rPr>
        <w:t xml:space="preserve">. </w:t>
      </w:r>
      <w:r w:rsidRPr="00BC5BE8">
        <w:rPr>
          <w:rFonts w:ascii="Arial" w:hAnsi="Arial" w:cs="Arial"/>
          <w:lang w:val="es-ES"/>
        </w:rPr>
        <w:t xml:space="preserve">De acuerdo a los medios de prueba obrantes en el proceso, se concluye que: </w:t>
      </w:r>
      <w:r w:rsidRPr="00BC5BE8">
        <w:rPr>
          <w:rFonts w:ascii="Arial" w:hAnsi="Arial" w:cs="Arial"/>
          <w:b/>
          <w:lang w:val="es-ES"/>
        </w:rPr>
        <w:t>(i)</w:t>
      </w:r>
      <w:r w:rsidRPr="00BC5BE8">
        <w:rPr>
          <w:rFonts w:ascii="Arial" w:hAnsi="Arial" w:cs="Arial"/>
          <w:lang w:val="es-ES"/>
        </w:rPr>
        <w:t xml:space="preserve"> </w:t>
      </w:r>
      <w:r w:rsidR="000B45C8" w:rsidRPr="00BC5BE8">
        <w:rPr>
          <w:rFonts w:ascii="Arial" w:hAnsi="Arial" w:cs="Arial"/>
          <w:lang w:val="es-ES"/>
        </w:rPr>
        <w:t>El IPAT codifica al conductor del vehículo asegurado con la hipótesis 129 “</w:t>
      </w:r>
      <w:r w:rsidR="000B45C8" w:rsidRPr="00BC5BE8">
        <w:rPr>
          <w:rFonts w:ascii="Arial" w:hAnsi="Arial" w:cs="Arial"/>
          <w:i/>
          <w:lang w:val="es-ES"/>
        </w:rPr>
        <w:t>Transportar pasajeros en la parte exterior</w:t>
      </w:r>
      <w:r w:rsidR="000B45C8" w:rsidRPr="00BC5BE8">
        <w:rPr>
          <w:rFonts w:ascii="Arial" w:hAnsi="Arial" w:cs="Arial"/>
          <w:lang w:val="es-ES"/>
        </w:rPr>
        <w:t xml:space="preserve">”; </w:t>
      </w:r>
      <w:r w:rsidR="000B45C8" w:rsidRPr="00BC5BE8">
        <w:rPr>
          <w:rFonts w:ascii="Arial" w:hAnsi="Arial" w:cs="Arial"/>
          <w:b/>
          <w:lang w:val="es-ES"/>
        </w:rPr>
        <w:t>(ii)</w:t>
      </w:r>
      <w:r w:rsidR="000B45C8" w:rsidRPr="00BC5BE8">
        <w:rPr>
          <w:rFonts w:ascii="Arial" w:hAnsi="Arial" w:cs="Arial"/>
          <w:lang w:val="es-ES"/>
        </w:rPr>
        <w:t xml:space="preserve"> El mismo documento indicado que el conductor del vehículo asegurado incumplió los artículos 55 y 83 del Código Nacional de Tránsito Terrestre; </w:t>
      </w:r>
      <w:r w:rsidR="000B45C8" w:rsidRPr="00BC5BE8">
        <w:rPr>
          <w:rFonts w:ascii="Arial" w:hAnsi="Arial" w:cs="Arial"/>
          <w:b/>
          <w:lang w:val="es-ES"/>
        </w:rPr>
        <w:t>(iii)</w:t>
      </w:r>
      <w:r w:rsidR="000B45C8" w:rsidRPr="00BC5BE8">
        <w:rPr>
          <w:rFonts w:ascii="Arial" w:hAnsi="Arial" w:cs="Arial"/>
          <w:lang w:val="es-ES"/>
        </w:rPr>
        <w:t xml:space="preserve"> El bosquejo topográfico del IPAT muestra a la camioneta asegurada por fuera de la vía y a una persona muerta, sin graficar o relacionar más vehículos; </w:t>
      </w:r>
      <w:r w:rsidR="000B45C8" w:rsidRPr="00BC5BE8">
        <w:rPr>
          <w:rFonts w:ascii="Arial" w:hAnsi="Arial" w:cs="Arial"/>
          <w:b/>
          <w:lang w:val="es-ES"/>
        </w:rPr>
        <w:t>(iv)</w:t>
      </w:r>
      <w:r w:rsidR="000B45C8" w:rsidRPr="00BC5BE8">
        <w:rPr>
          <w:rFonts w:ascii="Arial" w:hAnsi="Arial" w:cs="Arial"/>
          <w:lang w:val="es-ES"/>
        </w:rPr>
        <w:t xml:space="preserve"> </w:t>
      </w:r>
      <w:r w:rsidR="002F11DE" w:rsidRPr="00BC5BE8">
        <w:rPr>
          <w:rFonts w:ascii="Arial" w:hAnsi="Arial" w:cs="Arial"/>
          <w:lang w:val="es-ES"/>
        </w:rPr>
        <w:t>De acuerdo a la versión del conductor, iba a adelantar un camión cañero y al hacer la maniobra observó una moto sin luces, por lo que, al tratar de esquivarla y reincorporarse a su carril, pierde el control</w:t>
      </w:r>
      <w:r w:rsidR="000B45C8" w:rsidRPr="00BC5BE8">
        <w:rPr>
          <w:rFonts w:ascii="Arial" w:hAnsi="Arial" w:cs="Arial"/>
          <w:lang w:val="es-ES"/>
        </w:rPr>
        <w:t>,</w:t>
      </w:r>
      <w:r w:rsidR="002F11DE" w:rsidRPr="00BC5BE8">
        <w:rPr>
          <w:rFonts w:ascii="Arial" w:hAnsi="Arial" w:cs="Arial"/>
          <w:lang w:val="es-ES"/>
        </w:rPr>
        <w:t xml:space="preserve"> ocasionado el volcamiento del vehículo</w:t>
      </w:r>
      <w:r w:rsidR="000B45C8" w:rsidRPr="00BC5BE8">
        <w:rPr>
          <w:rFonts w:ascii="Arial" w:hAnsi="Arial" w:cs="Arial"/>
          <w:lang w:val="es-ES"/>
        </w:rPr>
        <w:t xml:space="preserve"> asegurado; </w:t>
      </w:r>
      <w:r w:rsidR="000B45C8" w:rsidRPr="00BC5BE8">
        <w:rPr>
          <w:rFonts w:ascii="Arial" w:hAnsi="Arial" w:cs="Arial"/>
          <w:b/>
          <w:lang w:val="es-ES"/>
        </w:rPr>
        <w:t>(v)</w:t>
      </w:r>
      <w:r w:rsidR="000B45C8" w:rsidRPr="00BC5BE8">
        <w:rPr>
          <w:rFonts w:ascii="Arial" w:hAnsi="Arial" w:cs="Arial"/>
          <w:lang w:val="es-ES"/>
        </w:rPr>
        <w:t xml:space="preserve"> </w:t>
      </w:r>
      <w:r w:rsidR="00D453CB" w:rsidRPr="00BC5BE8">
        <w:rPr>
          <w:rFonts w:ascii="Arial" w:hAnsi="Arial" w:cs="Arial"/>
          <w:lang w:val="es-ES"/>
        </w:rPr>
        <w:t>El conductor del vehículo asegurado fue condenado penalmente por los delitos de</w:t>
      </w:r>
      <w:r w:rsidR="002600D0" w:rsidRPr="00BC5BE8">
        <w:rPr>
          <w:rFonts w:ascii="Arial" w:hAnsi="Arial" w:cs="Arial"/>
          <w:lang w:val="es-ES"/>
        </w:rPr>
        <w:t xml:space="preserve"> homicidio culposo agravado y lesion</w:t>
      </w:r>
      <w:r w:rsidR="002F11DE" w:rsidRPr="00BC5BE8">
        <w:rPr>
          <w:rFonts w:ascii="Arial" w:hAnsi="Arial" w:cs="Arial"/>
          <w:lang w:val="es-ES"/>
        </w:rPr>
        <w:t>es personales culposas agravadas, con ocasión a un preacuerdo.</w:t>
      </w:r>
    </w:p>
    <w:p w14:paraId="1540A6F4" w14:textId="77777777" w:rsidR="00873E61" w:rsidRPr="00BC5BE8" w:rsidRDefault="00873E61" w:rsidP="00BC5BE8">
      <w:pPr>
        <w:spacing w:after="0" w:line="360" w:lineRule="auto"/>
        <w:jc w:val="both"/>
        <w:rPr>
          <w:rFonts w:ascii="Arial" w:hAnsi="Arial" w:cs="Arial"/>
          <w:lang w:val="es-ES"/>
        </w:rPr>
      </w:pPr>
    </w:p>
    <w:p w14:paraId="6C51A359" w14:textId="77777777" w:rsidR="00564961" w:rsidRPr="00BC5BE8" w:rsidRDefault="00873E61" w:rsidP="00BC5BE8">
      <w:pPr>
        <w:spacing w:after="0" w:line="360" w:lineRule="auto"/>
        <w:jc w:val="both"/>
        <w:rPr>
          <w:rFonts w:ascii="Arial" w:hAnsi="Arial" w:cs="Arial"/>
          <w:lang w:val="es-ES"/>
        </w:rPr>
      </w:pPr>
      <w:r w:rsidRPr="00BC5BE8">
        <w:rPr>
          <w:rFonts w:ascii="Arial" w:hAnsi="Arial" w:cs="Arial"/>
          <w:lang w:val="es-ES"/>
        </w:rPr>
        <w:t xml:space="preserve">Si bien Superpollos del Galpón S.A.S. </w:t>
      </w:r>
      <w:r w:rsidR="00344CA8" w:rsidRPr="00BC5BE8">
        <w:rPr>
          <w:rFonts w:ascii="Arial" w:hAnsi="Arial" w:cs="Arial"/>
          <w:lang w:val="es-ES"/>
        </w:rPr>
        <w:t>y DAR Ayuda Temporal S.A. formularon</w:t>
      </w:r>
      <w:r w:rsidRPr="00BC5BE8">
        <w:rPr>
          <w:rFonts w:ascii="Arial" w:hAnsi="Arial" w:cs="Arial"/>
          <w:lang w:val="es-ES"/>
        </w:rPr>
        <w:t xml:space="preserve"> una excepción previa de “</w:t>
      </w:r>
      <w:r w:rsidRPr="00BC5BE8">
        <w:rPr>
          <w:rFonts w:ascii="Arial" w:hAnsi="Arial" w:cs="Arial"/>
          <w:i/>
          <w:lang w:val="es-ES"/>
        </w:rPr>
        <w:t>Pleito pendiente entre las mismas partes y sobre el mismo asunto</w:t>
      </w:r>
      <w:r w:rsidRPr="00BC5BE8">
        <w:rPr>
          <w:rFonts w:ascii="Arial" w:hAnsi="Arial" w:cs="Arial"/>
          <w:lang w:val="es-ES"/>
        </w:rPr>
        <w:t>”,</w:t>
      </w:r>
      <w:r w:rsidR="00344CA8" w:rsidRPr="00BC5BE8">
        <w:rPr>
          <w:rFonts w:ascii="Arial" w:hAnsi="Arial" w:cs="Arial"/>
          <w:lang w:val="es-ES"/>
        </w:rPr>
        <w:t xml:space="preserve"> el juzgado ya resolvió despachando desfavorablemente la excepción, pues el proceso con radicado 76001310300920180021100</w:t>
      </w:r>
      <w:r w:rsidR="006C4D95" w:rsidRPr="00BC5BE8">
        <w:rPr>
          <w:rFonts w:ascii="Arial" w:hAnsi="Arial" w:cs="Arial"/>
          <w:lang w:val="es-ES"/>
        </w:rPr>
        <w:t xml:space="preserve"> y que cursó</w:t>
      </w:r>
      <w:r w:rsidR="00344CA8" w:rsidRPr="00BC5BE8">
        <w:rPr>
          <w:rFonts w:ascii="Arial" w:hAnsi="Arial" w:cs="Arial"/>
          <w:lang w:val="es-ES"/>
        </w:rPr>
        <w:t xml:space="preserve"> en el Juzgado Noveno (9) Civil del Circuito de Cali cuyas partes </w:t>
      </w:r>
      <w:r w:rsidR="006C4D95" w:rsidRPr="00BC5BE8">
        <w:rPr>
          <w:rFonts w:ascii="Arial" w:hAnsi="Arial" w:cs="Arial"/>
          <w:lang w:val="es-ES"/>
        </w:rPr>
        <w:t>eran</w:t>
      </w:r>
      <w:r w:rsidR="00344CA8" w:rsidRPr="00BC5BE8">
        <w:rPr>
          <w:rFonts w:ascii="Arial" w:hAnsi="Arial" w:cs="Arial"/>
          <w:lang w:val="es-ES"/>
        </w:rPr>
        <w:t xml:space="preserve"> las mismas, lo cierto es que las pretensiones de ese proceso </w:t>
      </w:r>
      <w:r w:rsidR="006C4D95" w:rsidRPr="00BC5BE8">
        <w:rPr>
          <w:rFonts w:ascii="Arial" w:hAnsi="Arial" w:cs="Arial"/>
          <w:lang w:val="es-ES"/>
        </w:rPr>
        <w:t>estaban</w:t>
      </w:r>
      <w:r w:rsidR="00344CA8" w:rsidRPr="00BC5BE8">
        <w:rPr>
          <w:rFonts w:ascii="Arial" w:hAnsi="Arial" w:cs="Arial"/>
          <w:lang w:val="es-ES"/>
        </w:rPr>
        <w:t xml:space="preserve"> encaminadas al reconocimiento de responsabilidad civil contractual, mientras que el presente asunto pretende la declaratoria de responsabilidad civil extracontractual. </w:t>
      </w:r>
    </w:p>
    <w:p w14:paraId="12F47CD4" w14:textId="77777777" w:rsidR="000E3646" w:rsidRPr="00BC5BE8" w:rsidRDefault="000E3646" w:rsidP="00BC5BE8">
      <w:pPr>
        <w:spacing w:after="0" w:line="360" w:lineRule="auto"/>
        <w:jc w:val="both"/>
        <w:rPr>
          <w:rFonts w:ascii="Arial" w:hAnsi="Arial" w:cs="Arial"/>
          <w:lang w:val="es-ES"/>
        </w:rPr>
      </w:pPr>
    </w:p>
    <w:p w14:paraId="48658F48" w14:textId="77777777" w:rsidR="000E3646" w:rsidRPr="00BC5BE8" w:rsidRDefault="000E3646" w:rsidP="00BC5BE8">
      <w:pPr>
        <w:spacing w:after="0" w:line="360" w:lineRule="auto"/>
        <w:jc w:val="both"/>
        <w:rPr>
          <w:rFonts w:ascii="Arial" w:hAnsi="Arial" w:cs="Arial"/>
          <w:lang w:val="es-ES"/>
        </w:rPr>
      </w:pPr>
      <w:r w:rsidRPr="00BC5BE8">
        <w:rPr>
          <w:rFonts w:ascii="Arial" w:hAnsi="Arial" w:cs="Arial"/>
          <w:lang w:val="es-ES"/>
        </w:rPr>
        <w:t>Por otro lado, aunque en el proceso anterior el Tribunal Superior</w:t>
      </w:r>
      <w:r w:rsidR="00047038" w:rsidRPr="00BC5BE8">
        <w:rPr>
          <w:rFonts w:ascii="Arial" w:hAnsi="Arial" w:cs="Arial"/>
          <w:lang w:val="es-ES"/>
        </w:rPr>
        <w:t xml:space="preserve"> de Cali</w:t>
      </w:r>
      <w:r w:rsidR="00ED433D" w:rsidRPr="00BC5BE8">
        <w:rPr>
          <w:rFonts w:ascii="Arial" w:hAnsi="Arial" w:cs="Arial"/>
          <w:lang w:val="es-ES"/>
        </w:rPr>
        <w:t xml:space="preserve"> </w:t>
      </w:r>
      <w:r w:rsidRPr="00BC5BE8">
        <w:rPr>
          <w:rFonts w:ascii="Arial" w:hAnsi="Arial" w:cs="Arial"/>
          <w:lang w:val="es-ES"/>
        </w:rPr>
        <w:t xml:space="preserve">advirtió del posible conflicto de competencias, pues estaríamos frente a un accidente laboral, lo cierto es que </w:t>
      </w:r>
      <w:r w:rsidRPr="00BC5BE8">
        <w:rPr>
          <w:rFonts w:ascii="Arial" w:hAnsi="Arial" w:cs="Arial"/>
          <w:lang w:val="es-ES"/>
        </w:rPr>
        <w:lastRenderedPageBreak/>
        <w:t xml:space="preserve">ninguno de los ahora demandados formuló la excepción de falta de jurisdicción o </w:t>
      </w:r>
      <w:r w:rsidR="00ED433D" w:rsidRPr="00BC5BE8">
        <w:rPr>
          <w:rFonts w:ascii="Arial" w:hAnsi="Arial" w:cs="Arial"/>
          <w:lang w:val="es-ES"/>
        </w:rPr>
        <w:t>competencia</w:t>
      </w:r>
      <w:r w:rsidRPr="00BC5BE8">
        <w:rPr>
          <w:rFonts w:ascii="Arial" w:hAnsi="Arial" w:cs="Arial"/>
          <w:lang w:val="es-ES"/>
        </w:rPr>
        <w:t xml:space="preserve">. </w:t>
      </w:r>
    </w:p>
    <w:p w14:paraId="7B3694D2" w14:textId="77777777" w:rsidR="00564961" w:rsidRPr="00BC5BE8" w:rsidRDefault="00564961" w:rsidP="00BC5BE8">
      <w:pPr>
        <w:spacing w:after="0" w:line="360" w:lineRule="auto"/>
        <w:jc w:val="both"/>
        <w:rPr>
          <w:rFonts w:ascii="Arial" w:hAnsi="Arial" w:cs="Arial"/>
          <w:lang w:val="es-ES"/>
        </w:rPr>
      </w:pPr>
    </w:p>
    <w:p w14:paraId="77F82A0E" w14:textId="77777777" w:rsidR="009B0F7E" w:rsidRPr="00BC5BE8" w:rsidRDefault="000023CB" w:rsidP="00BC5BE8">
      <w:pPr>
        <w:spacing w:after="0" w:line="360" w:lineRule="auto"/>
        <w:jc w:val="both"/>
        <w:rPr>
          <w:rFonts w:ascii="Arial" w:hAnsi="Arial" w:cs="Arial"/>
          <w:lang w:val="es-ES"/>
        </w:rPr>
      </w:pPr>
      <w:r w:rsidRPr="00BC5BE8">
        <w:rPr>
          <w:rFonts w:ascii="Arial" w:hAnsi="Arial" w:cs="Arial"/>
          <w:lang w:val="es-ES"/>
        </w:rPr>
        <w:t>Lo anterior sin perjuicio del carácter contingente del proceso.</w:t>
      </w:r>
    </w:p>
    <w:p w14:paraId="06725F57" w14:textId="77777777" w:rsidR="00106BEF" w:rsidRPr="00BC5BE8" w:rsidRDefault="00106BEF" w:rsidP="00BC5BE8">
      <w:pPr>
        <w:spacing w:after="0" w:line="360" w:lineRule="auto"/>
        <w:rPr>
          <w:rFonts w:ascii="Arial" w:hAnsi="Arial" w:cs="Arial"/>
          <w:lang w:val="es-ES"/>
        </w:rPr>
      </w:pPr>
    </w:p>
    <w:p w14:paraId="6CC030A5" w14:textId="77777777" w:rsidR="00106BEF" w:rsidRPr="00BC5BE8" w:rsidRDefault="00106BEF" w:rsidP="00BC5BE8">
      <w:pPr>
        <w:spacing w:after="0" w:line="360" w:lineRule="auto"/>
        <w:rPr>
          <w:rFonts w:ascii="Arial" w:hAnsi="Arial" w:cs="Arial"/>
          <w:lang w:val="es-ES"/>
        </w:rPr>
      </w:pPr>
    </w:p>
    <w:p w14:paraId="241711F2" w14:textId="15BB04AB" w:rsidR="000023CB" w:rsidRPr="00916311" w:rsidRDefault="0030076A" w:rsidP="00916311">
      <w:pPr>
        <w:pStyle w:val="Prrafodelista"/>
        <w:numPr>
          <w:ilvl w:val="0"/>
          <w:numId w:val="1"/>
        </w:numPr>
        <w:spacing w:after="0" w:line="360" w:lineRule="auto"/>
        <w:rPr>
          <w:rFonts w:ascii="Arial" w:hAnsi="Arial" w:cs="Arial"/>
          <w:b/>
          <w:u w:val="single"/>
          <w:lang w:val="es-ES"/>
        </w:rPr>
      </w:pPr>
      <w:r w:rsidRPr="00916311">
        <w:rPr>
          <w:rFonts w:ascii="Arial" w:hAnsi="Arial" w:cs="Arial"/>
          <w:b/>
          <w:u w:val="single"/>
          <w:lang w:val="es-ES"/>
        </w:rPr>
        <w:t xml:space="preserve">LIQUIDACIÓN OBJETIVA </w:t>
      </w:r>
    </w:p>
    <w:p w14:paraId="4C9D98F7" w14:textId="77777777" w:rsidR="0030076A" w:rsidRDefault="0030076A" w:rsidP="00BC5BE8">
      <w:pPr>
        <w:spacing w:after="0" w:line="360" w:lineRule="auto"/>
        <w:jc w:val="both"/>
        <w:rPr>
          <w:rFonts w:ascii="Arial" w:hAnsi="Arial" w:cs="Arial"/>
          <w:lang w:val="es-ES"/>
        </w:rPr>
      </w:pPr>
    </w:p>
    <w:p w14:paraId="241828E3" w14:textId="612E69CC" w:rsidR="000023CB" w:rsidRPr="00BC5BE8" w:rsidRDefault="000023CB" w:rsidP="00BC5BE8">
      <w:pPr>
        <w:spacing w:after="0" w:line="360" w:lineRule="auto"/>
        <w:jc w:val="both"/>
        <w:rPr>
          <w:rFonts w:ascii="Arial" w:hAnsi="Arial" w:cs="Arial"/>
          <w:lang w:val="es-ES"/>
        </w:rPr>
      </w:pPr>
      <w:r w:rsidRPr="00BC5BE8">
        <w:rPr>
          <w:rFonts w:ascii="Arial" w:hAnsi="Arial" w:cs="Arial"/>
          <w:lang w:val="es-ES"/>
        </w:rPr>
        <w:t xml:space="preserve">Como liquidación objetiva de perjuicios se tiene la suma de </w:t>
      </w:r>
      <w:r w:rsidR="004D19DB" w:rsidRPr="00BC5BE8">
        <w:rPr>
          <w:rFonts w:ascii="Arial" w:hAnsi="Arial" w:cs="Arial"/>
          <w:b/>
          <w:lang w:val="es-ES"/>
        </w:rPr>
        <w:t xml:space="preserve">$ </w:t>
      </w:r>
      <w:r w:rsidR="00627B22" w:rsidRPr="00BC5BE8">
        <w:rPr>
          <w:rFonts w:ascii="Arial" w:hAnsi="Arial" w:cs="Arial"/>
          <w:b/>
          <w:lang w:val="es-ES"/>
        </w:rPr>
        <w:t>60.506.740</w:t>
      </w:r>
      <w:r w:rsidRPr="00BC5BE8">
        <w:rPr>
          <w:rFonts w:ascii="Arial" w:hAnsi="Arial" w:cs="Arial"/>
          <w:lang w:val="es-ES"/>
        </w:rPr>
        <w:t>, valor al que se llegó de la siguiente manera:</w:t>
      </w:r>
    </w:p>
    <w:p w14:paraId="4DE55A3D" w14:textId="77777777" w:rsidR="000023CB" w:rsidRPr="00BC5BE8" w:rsidRDefault="000023CB" w:rsidP="00BC5BE8">
      <w:pPr>
        <w:spacing w:after="0" w:line="360" w:lineRule="auto"/>
        <w:rPr>
          <w:rFonts w:ascii="Arial" w:hAnsi="Arial" w:cs="Arial"/>
          <w:lang w:val="es-ES"/>
        </w:rPr>
      </w:pPr>
    </w:p>
    <w:p w14:paraId="72C3C4D4" w14:textId="162D5DDE" w:rsidR="00B0782C" w:rsidRPr="00916311" w:rsidRDefault="000023CB" w:rsidP="00916311">
      <w:pPr>
        <w:pStyle w:val="Prrafodelista"/>
        <w:numPr>
          <w:ilvl w:val="0"/>
          <w:numId w:val="2"/>
        </w:numPr>
        <w:spacing w:after="0" w:line="360" w:lineRule="auto"/>
        <w:jc w:val="both"/>
        <w:rPr>
          <w:rFonts w:ascii="Arial" w:hAnsi="Arial" w:cs="Arial"/>
          <w:lang w:val="es-ES"/>
        </w:rPr>
      </w:pPr>
      <w:r w:rsidRPr="00916311">
        <w:rPr>
          <w:rFonts w:ascii="Arial" w:hAnsi="Arial" w:cs="Arial"/>
          <w:b/>
          <w:u w:val="single"/>
          <w:lang w:val="es-ES"/>
        </w:rPr>
        <w:t>Daño moral</w:t>
      </w:r>
      <w:r w:rsidRPr="00916311">
        <w:rPr>
          <w:rFonts w:ascii="Arial" w:hAnsi="Arial" w:cs="Arial"/>
          <w:b/>
          <w:lang w:val="es-ES"/>
        </w:rPr>
        <w:t>:</w:t>
      </w:r>
      <w:r w:rsidRPr="00916311">
        <w:rPr>
          <w:rFonts w:ascii="Arial" w:hAnsi="Arial" w:cs="Arial"/>
          <w:lang w:val="es-ES"/>
        </w:rPr>
        <w:t xml:space="preserve"> se reconoce la suma total de </w:t>
      </w:r>
      <w:r w:rsidR="00AF0317" w:rsidRPr="00916311">
        <w:rPr>
          <w:rFonts w:ascii="Arial" w:hAnsi="Arial" w:cs="Arial"/>
          <w:b/>
          <w:lang w:val="es-ES"/>
        </w:rPr>
        <w:t>$ 52</w:t>
      </w:r>
      <w:r w:rsidRPr="00916311">
        <w:rPr>
          <w:rFonts w:ascii="Arial" w:hAnsi="Arial" w:cs="Arial"/>
          <w:b/>
          <w:lang w:val="es-ES"/>
        </w:rPr>
        <w:t>.000.000.</w:t>
      </w:r>
      <w:r w:rsidRPr="00916311">
        <w:rPr>
          <w:rFonts w:ascii="Arial" w:hAnsi="Arial" w:cs="Arial"/>
          <w:lang w:val="es-ES"/>
        </w:rPr>
        <w:t xml:space="preserve"> Suma dividida así: </w:t>
      </w:r>
      <w:r w:rsidR="00CB26B7" w:rsidRPr="00916311">
        <w:rPr>
          <w:rFonts w:ascii="Arial" w:hAnsi="Arial" w:cs="Arial"/>
          <w:b/>
          <w:lang w:val="es-ES"/>
        </w:rPr>
        <w:t>(i)</w:t>
      </w:r>
      <w:r w:rsidR="00CB26B7" w:rsidRPr="00916311">
        <w:rPr>
          <w:rFonts w:ascii="Arial" w:hAnsi="Arial" w:cs="Arial"/>
          <w:lang w:val="es-ES"/>
        </w:rPr>
        <w:t xml:space="preserve"> Para el señor Hernán Pérez la suma de $ 10.000.000; </w:t>
      </w:r>
      <w:r w:rsidR="00CB26B7" w:rsidRPr="00916311">
        <w:rPr>
          <w:rFonts w:ascii="Arial" w:hAnsi="Arial" w:cs="Arial"/>
          <w:b/>
          <w:lang w:val="es-ES"/>
        </w:rPr>
        <w:t>(ii)</w:t>
      </w:r>
      <w:r w:rsidR="00CB26B7" w:rsidRPr="00916311">
        <w:rPr>
          <w:rFonts w:ascii="Arial" w:hAnsi="Arial" w:cs="Arial"/>
          <w:lang w:val="es-ES"/>
        </w:rPr>
        <w:t xml:space="preserve"> Para el señor Jhon Edwin Carabalí Solarte la suma de $ 8.000.000; </w:t>
      </w:r>
      <w:r w:rsidR="00CB26B7" w:rsidRPr="00916311">
        <w:rPr>
          <w:rFonts w:ascii="Arial" w:hAnsi="Arial" w:cs="Arial"/>
          <w:b/>
          <w:lang w:val="es-ES"/>
        </w:rPr>
        <w:t>(iii)</w:t>
      </w:r>
      <w:r w:rsidR="00CB26B7" w:rsidRPr="00916311">
        <w:rPr>
          <w:rFonts w:ascii="Arial" w:hAnsi="Arial" w:cs="Arial"/>
          <w:lang w:val="es-ES"/>
        </w:rPr>
        <w:t xml:space="preserve"> Para el señor Jairo Armando Paz Paz la suma de $ 16.000.000; </w:t>
      </w:r>
      <w:r w:rsidR="00CB26B7" w:rsidRPr="00916311">
        <w:rPr>
          <w:rFonts w:ascii="Arial" w:hAnsi="Arial" w:cs="Arial"/>
          <w:b/>
          <w:lang w:val="es-ES"/>
        </w:rPr>
        <w:t>(iv)</w:t>
      </w:r>
      <w:r w:rsidR="00CB26B7" w:rsidRPr="00916311">
        <w:rPr>
          <w:rFonts w:ascii="Arial" w:hAnsi="Arial" w:cs="Arial"/>
          <w:lang w:val="es-ES"/>
        </w:rPr>
        <w:t xml:space="preserve"> Para el señor Juan D</w:t>
      </w:r>
      <w:r w:rsidR="00D553A7" w:rsidRPr="00916311">
        <w:rPr>
          <w:rFonts w:ascii="Arial" w:hAnsi="Arial" w:cs="Arial"/>
          <w:lang w:val="es-ES"/>
        </w:rPr>
        <w:t>avid Mafla Arango la suma de $ 2</w:t>
      </w:r>
      <w:r w:rsidR="00CB26B7" w:rsidRPr="00916311">
        <w:rPr>
          <w:rFonts w:ascii="Arial" w:hAnsi="Arial" w:cs="Arial"/>
          <w:lang w:val="es-ES"/>
        </w:rPr>
        <w:t xml:space="preserve">.000.000; </w:t>
      </w:r>
      <w:r w:rsidR="00CB26B7" w:rsidRPr="00916311">
        <w:rPr>
          <w:rFonts w:ascii="Arial" w:hAnsi="Arial" w:cs="Arial"/>
          <w:b/>
          <w:lang w:val="es-ES"/>
        </w:rPr>
        <w:t>(</w:t>
      </w:r>
      <w:r w:rsidR="00C81297" w:rsidRPr="00916311">
        <w:rPr>
          <w:rFonts w:ascii="Arial" w:hAnsi="Arial" w:cs="Arial"/>
          <w:b/>
          <w:lang w:val="es-ES"/>
        </w:rPr>
        <w:t>v)</w:t>
      </w:r>
      <w:r w:rsidR="00C81297" w:rsidRPr="00916311">
        <w:rPr>
          <w:rFonts w:ascii="Arial" w:hAnsi="Arial" w:cs="Arial"/>
          <w:lang w:val="es-ES"/>
        </w:rPr>
        <w:t xml:space="preserve"> Para el señor Luis Carlos Carabalí Girón la suma de</w:t>
      </w:r>
      <w:r w:rsidR="003C15B4" w:rsidRPr="00916311">
        <w:rPr>
          <w:rFonts w:ascii="Arial" w:hAnsi="Arial" w:cs="Arial"/>
          <w:lang w:val="es-ES"/>
        </w:rPr>
        <w:t xml:space="preserve"> $ 16.000.000.</w:t>
      </w:r>
    </w:p>
    <w:p w14:paraId="5B62DDB8" w14:textId="77777777" w:rsidR="000023CB" w:rsidRPr="00BC5BE8" w:rsidRDefault="00B0782C" w:rsidP="00BC5BE8">
      <w:pPr>
        <w:spacing w:after="0" w:line="360" w:lineRule="auto"/>
        <w:jc w:val="both"/>
        <w:rPr>
          <w:rFonts w:ascii="Arial" w:hAnsi="Arial" w:cs="Arial"/>
          <w:lang w:val="es-ES"/>
        </w:rPr>
      </w:pPr>
      <w:r w:rsidRPr="00BC5BE8">
        <w:rPr>
          <w:rFonts w:ascii="Arial" w:hAnsi="Arial" w:cs="Arial"/>
          <w:lang w:val="es-ES"/>
        </w:rPr>
        <w:t xml:space="preserve"> </w:t>
      </w:r>
    </w:p>
    <w:p w14:paraId="7AE0BA7A" w14:textId="77777777" w:rsidR="007237B6" w:rsidRPr="00BC5BE8" w:rsidRDefault="000023CB" w:rsidP="00916311">
      <w:pPr>
        <w:spacing w:after="0" w:line="360" w:lineRule="auto"/>
        <w:ind w:left="360"/>
        <w:jc w:val="both"/>
        <w:rPr>
          <w:rFonts w:ascii="Arial" w:hAnsi="Arial" w:cs="Arial"/>
          <w:lang w:val="es-ES"/>
        </w:rPr>
      </w:pPr>
      <w:r w:rsidRPr="00BC5BE8">
        <w:rPr>
          <w:rFonts w:ascii="Arial" w:hAnsi="Arial" w:cs="Arial"/>
          <w:lang w:val="es-ES"/>
        </w:rPr>
        <w:t xml:space="preserve">Se llegó a tal liquidación teniendo en cuenta que: </w:t>
      </w:r>
      <w:r w:rsidR="007237B6" w:rsidRPr="00BC5BE8">
        <w:rPr>
          <w:rFonts w:ascii="Arial" w:hAnsi="Arial" w:cs="Arial"/>
          <w:b/>
          <w:lang w:val="es-ES"/>
        </w:rPr>
        <w:t>(i)</w:t>
      </w:r>
      <w:r w:rsidR="007237B6" w:rsidRPr="00BC5BE8">
        <w:rPr>
          <w:rFonts w:ascii="Arial" w:hAnsi="Arial" w:cs="Arial"/>
          <w:lang w:val="es-ES"/>
        </w:rPr>
        <w:t xml:space="preserve"> El señor Hernán Pérez tuvo una incapacidad médico legal definitiva de 70 días y secuelas médico legales consistentes en deformidad física que afecta el cuerpo de carácter permanente, perturbación funcional de miembro superior derecho de carácter permanente, perturbación funcional de órgano de la locomoción de carácter transitorio y perturbación funcional de miembro inferior izquierdo de carácter permanente; </w:t>
      </w:r>
      <w:r w:rsidR="007237B6" w:rsidRPr="00BC5BE8">
        <w:rPr>
          <w:rFonts w:ascii="Arial" w:hAnsi="Arial" w:cs="Arial"/>
          <w:b/>
          <w:lang w:val="es-ES"/>
        </w:rPr>
        <w:t>(ii)</w:t>
      </w:r>
      <w:r w:rsidR="007237B6" w:rsidRPr="00BC5BE8">
        <w:rPr>
          <w:rFonts w:ascii="Arial" w:hAnsi="Arial" w:cs="Arial"/>
          <w:lang w:val="es-ES"/>
        </w:rPr>
        <w:t xml:space="preserve"> El señor Jhon Edwin Carabalí Solarte tuvo una incapacidad médico legal definitiva de 70 días y secuelas médico legales consistentes en deformidad física que afecta el cuerpo de carácter permanente y perturbación funcional de órgano de la locomoción de carácter transitorio; </w:t>
      </w:r>
      <w:r w:rsidR="007237B6" w:rsidRPr="00BC5BE8">
        <w:rPr>
          <w:rFonts w:ascii="Arial" w:hAnsi="Arial" w:cs="Arial"/>
          <w:b/>
          <w:lang w:val="es-ES"/>
        </w:rPr>
        <w:t>(iii)</w:t>
      </w:r>
      <w:r w:rsidR="007237B6" w:rsidRPr="00BC5BE8">
        <w:rPr>
          <w:rFonts w:ascii="Arial" w:hAnsi="Arial" w:cs="Arial"/>
          <w:lang w:val="es-ES"/>
        </w:rPr>
        <w:t xml:space="preserve"> El señor Jairo Armando Paz Paz tuvo una incapacidad médico legal definitiva de 140 días</w:t>
      </w:r>
      <w:r w:rsidR="00D553A7" w:rsidRPr="00BC5BE8">
        <w:rPr>
          <w:rFonts w:ascii="Arial" w:hAnsi="Arial" w:cs="Arial"/>
          <w:lang w:val="es-ES"/>
        </w:rPr>
        <w:t xml:space="preserve">; </w:t>
      </w:r>
      <w:r w:rsidR="00D553A7" w:rsidRPr="00BC5BE8">
        <w:rPr>
          <w:rFonts w:ascii="Arial" w:hAnsi="Arial" w:cs="Arial"/>
          <w:b/>
          <w:lang w:val="es-ES"/>
        </w:rPr>
        <w:t>(iv)</w:t>
      </w:r>
      <w:r w:rsidR="00D553A7" w:rsidRPr="00BC5BE8">
        <w:rPr>
          <w:rFonts w:ascii="Arial" w:hAnsi="Arial" w:cs="Arial"/>
          <w:lang w:val="es-ES"/>
        </w:rPr>
        <w:t xml:space="preserve"> El señor Juan David Mafla Arango sufrió traumatismo superficial de otras partes de la cabeza y otros traumatismos superficiales de la pared anterior del tórax, generándole una incapacidad médica de 10 días; </w:t>
      </w:r>
      <w:r w:rsidR="00D553A7" w:rsidRPr="00BC5BE8">
        <w:rPr>
          <w:rFonts w:ascii="Arial" w:hAnsi="Arial" w:cs="Arial"/>
          <w:b/>
          <w:lang w:val="es-ES"/>
        </w:rPr>
        <w:t>(v)</w:t>
      </w:r>
      <w:r w:rsidR="00D553A7" w:rsidRPr="00BC5BE8">
        <w:rPr>
          <w:rFonts w:ascii="Arial" w:hAnsi="Arial" w:cs="Arial"/>
          <w:lang w:val="es-ES"/>
        </w:rPr>
        <w:t xml:space="preserve"> El señor Luis Carlos Carabalí Girón</w:t>
      </w:r>
      <w:r w:rsidR="007431A1" w:rsidRPr="00BC5BE8">
        <w:rPr>
          <w:rFonts w:ascii="Arial" w:hAnsi="Arial" w:cs="Arial"/>
          <w:lang w:val="es-ES"/>
        </w:rPr>
        <w:t xml:space="preserve"> sufrió</w:t>
      </w:r>
      <w:r w:rsidR="00D553A7" w:rsidRPr="00BC5BE8">
        <w:rPr>
          <w:rFonts w:ascii="Arial" w:hAnsi="Arial" w:cs="Arial"/>
          <w:lang w:val="es-ES"/>
        </w:rPr>
        <w:t xml:space="preserve"> </w:t>
      </w:r>
      <w:r w:rsidR="007431A1" w:rsidRPr="00BC5BE8">
        <w:rPr>
          <w:rFonts w:ascii="Arial" w:hAnsi="Arial" w:cs="Arial"/>
          <w:lang w:val="es-ES"/>
        </w:rPr>
        <w:t>fractura de fémur izquierdo y traumatismo superfi</w:t>
      </w:r>
      <w:r w:rsidR="00AF0317" w:rsidRPr="00BC5BE8">
        <w:rPr>
          <w:rFonts w:ascii="Arial" w:hAnsi="Arial" w:cs="Arial"/>
          <w:lang w:val="es-ES"/>
        </w:rPr>
        <w:t xml:space="preserve">cial de otras partes del cuello. </w:t>
      </w:r>
      <w:r w:rsidR="00D553A7" w:rsidRPr="00BC5BE8">
        <w:rPr>
          <w:rFonts w:ascii="Arial" w:hAnsi="Arial" w:cs="Arial"/>
          <w:lang w:val="es-ES"/>
        </w:rPr>
        <w:t xml:space="preserve">   </w:t>
      </w:r>
      <w:r w:rsidR="007237B6" w:rsidRPr="00BC5BE8">
        <w:rPr>
          <w:rFonts w:ascii="Arial" w:hAnsi="Arial" w:cs="Arial"/>
          <w:lang w:val="es-ES"/>
        </w:rPr>
        <w:t xml:space="preserve">           </w:t>
      </w:r>
    </w:p>
    <w:p w14:paraId="1A5EC3F9" w14:textId="77777777" w:rsidR="000023CB" w:rsidRPr="00BC5BE8" w:rsidRDefault="000023CB" w:rsidP="00BC5BE8">
      <w:pPr>
        <w:spacing w:after="0" w:line="360" w:lineRule="auto"/>
        <w:rPr>
          <w:rFonts w:ascii="Arial" w:hAnsi="Arial" w:cs="Arial"/>
          <w:lang w:val="es-ES"/>
        </w:rPr>
      </w:pPr>
    </w:p>
    <w:p w14:paraId="4090DF6E" w14:textId="77777777" w:rsidR="000023CB" w:rsidRPr="00BC5BE8" w:rsidRDefault="000023CB" w:rsidP="00916311">
      <w:pPr>
        <w:spacing w:after="0" w:line="360" w:lineRule="auto"/>
        <w:ind w:left="360"/>
        <w:jc w:val="both"/>
        <w:rPr>
          <w:rFonts w:ascii="Arial" w:hAnsi="Arial" w:cs="Arial"/>
          <w:lang w:val="es-ES"/>
        </w:rPr>
      </w:pPr>
      <w:r w:rsidRPr="00BC5BE8">
        <w:rPr>
          <w:rFonts w:ascii="Arial" w:hAnsi="Arial" w:cs="Arial"/>
          <w:lang w:val="es-ES"/>
        </w:rPr>
        <w:t xml:space="preserve">El anterior valor tomando como referencia la sentencia </w:t>
      </w:r>
      <w:r w:rsidR="00CF0238" w:rsidRPr="00BC5BE8">
        <w:rPr>
          <w:rFonts w:ascii="Arial" w:hAnsi="Arial" w:cs="Arial"/>
          <w:lang w:val="es-ES"/>
        </w:rPr>
        <w:t xml:space="preserve">SC5885-2016, 06/05/2016 </w:t>
      </w:r>
      <w:r w:rsidRPr="00BC5BE8">
        <w:rPr>
          <w:rFonts w:ascii="Arial" w:hAnsi="Arial" w:cs="Arial"/>
          <w:lang w:val="es-ES"/>
        </w:rPr>
        <w:t xml:space="preserve">de la Corte Suprema de Justicia, en la que reconoció </w:t>
      </w:r>
      <w:r w:rsidR="00CF0238" w:rsidRPr="00BC5BE8">
        <w:rPr>
          <w:rFonts w:ascii="Arial" w:hAnsi="Arial" w:cs="Arial"/>
          <w:lang w:val="es-ES"/>
        </w:rPr>
        <w:t xml:space="preserve">$ 15.000.000 </w:t>
      </w:r>
      <w:r w:rsidRPr="00BC5BE8">
        <w:rPr>
          <w:rFonts w:ascii="Arial" w:hAnsi="Arial" w:cs="Arial"/>
          <w:lang w:val="es-ES"/>
        </w:rPr>
        <w:t xml:space="preserve">a la víctima directa </w:t>
      </w:r>
      <w:r w:rsidR="00CF0238" w:rsidRPr="00BC5BE8">
        <w:rPr>
          <w:rFonts w:ascii="Arial" w:hAnsi="Arial" w:cs="Arial"/>
          <w:lang w:val="es-CO"/>
        </w:rPr>
        <w:t xml:space="preserve">a </w:t>
      </w:r>
      <w:r w:rsidR="00CF0238" w:rsidRPr="00BC5BE8">
        <w:rPr>
          <w:rFonts w:ascii="Arial" w:hAnsi="Arial" w:cs="Arial"/>
          <w:lang w:val="es-CO"/>
        </w:rPr>
        <w:lastRenderedPageBreak/>
        <w:t>causa de la perturbación psíquica, deformidad física permanente y pérdida de su capacidad laboral en un 20.65 %, de estudiante universitaria menor de edad, generadas por la colisión entre vehículo de servicio público y la motocicleta que aquella conducía.</w:t>
      </w:r>
      <w:r w:rsidRPr="00BC5BE8">
        <w:rPr>
          <w:rFonts w:ascii="Arial" w:hAnsi="Arial" w:cs="Arial"/>
          <w:lang w:val="es-ES"/>
        </w:rPr>
        <w:t xml:space="preserve"> </w:t>
      </w:r>
    </w:p>
    <w:p w14:paraId="10D84CBD" w14:textId="77777777" w:rsidR="000023CB" w:rsidRPr="00BC5BE8" w:rsidRDefault="000023CB" w:rsidP="00BC5BE8">
      <w:pPr>
        <w:spacing w:after="0" w:line="360" w:lineRule="auto"/>
        <w:rPr>
          <w:rFonts w:ascii="Arial" w:hAnsi="Arial" w:cs="Arial"/>
          <w:lang w:val="es-ES"/>
        </w:rPr>
      </w:pPr>
    </w:p>
    <w:p w14:paraId="5504B6F7" w14:textId="75F7E651" w:rsidR="000023CB" w:rsidRPr="00916311" w:rsidRDefault="000023CB" w:rsidP="00916311">
      <w:pPr>
        <w:pStyle w:val="Prrafodelista"/>
        <w:numPr>
          <w:ilvl w:val="0"/>
          <w:numId w:val="2"/>
        </w:numPr>
        <w:spacing w:after="0" w:line="360" w:lineRule="auto"/>
        <w:jc w:val="both"/>
        <w:rPr>
          <w:rFonts w:ascii="Arial" w:hAnsi="Arial" w:cs="Arial"/>
          <w:lang w:val="es-ES"/>
        </w:rPr>
      </w:pPr>
      <w:r w:rsidRPr="00916311">
        <w:rPr>
          <w:rFonts w:ascii="Arial" w:hAnsi="Arial" w:cs="Arial"/>
          <w:b/>
          <w:u w:val="single"/>
          <w:lang w:val="es-ES"/>
        </w:rPr>
        <w:t>Daño emergente</w:t>
      </w:r>
      <w:r w:rsidRPr="00916311">
        <w:rPr>
          <w:rFonts w:ascii="Arial" w:hAnsi="Arial" w:cs="Arial"/>
          <w:b/>
          <w:lang w:val="es-ES"/>
        </w:rPr>
        <w:t>:</w:t>
      </w:r>
      <w:r w:rsidRPr="00916311">
        <w:rPr>
          <w:rFonts w:ascii="Arial" w:hAnsi="Arial" w:cs="Arial"/>
          <w:lang w:val="es-ES"/>
        </w:rPr>
        <w:t xml:space="preserve"> </w:t>
      </w:r>
      <w:r w:rsidR="005F3483" w:rsidRPr="00916311">
        <w:rPr>
          <w:rFonts w:ascii="Arial" w:hAnsi="Arial" w:cs="Arial"/>
          <w:b/>
          <w:lang w:val="es-ES"/>
        </w:rPr>
        <w:t>$ 0.</w:t>
      </w:r>
      <w:r w:rsidR="005F3483" w:rsidRPr="00916311">
        <w:rPr>
          <w:rFonts w:ascii="Arial" w:hAnsi="Arial" w:cs="Arial"/>
          <w:lang w:val="es-ES"/>
        </w:rPr>
        <w:t xml:space="preserve"> No se reconoce suma alguna por este concepto. Lo anterior, atendiendo a que no obra prueba alguna dentro del plenario que permita identificar valores algunos cancelados por los demandantes con ocasión a lo indicado en la demanda.</w:t>
      </w:r>
    </w:p>
    <w:p w14:paraId="30EC066F" w14:textId="77777777" w:rsidR="000023CB" w:rsidRPr="00BC5BE8" w:rsidRDefault="000023CB" w:rsidP="00BC5BE8">
      <w:pPr>
        <w:spacing w:after="0" w:line="360" w:lineRule="auto"/>
        <w:rPr>
          <w:rFonts w:ascii="Arial" w:hAnsi="Arial" w:cs="Arial"/>
          <w:lang w:val="es-ES"/>
        </w:rPr>
      </w:pPr>
    </w:p>
    <w:p w14:paraId="69BFAEF5" w14:textId="4A402395" w:rsidR="005F3483" w:rsidRPr="00916311" w:rsidRDefault="000023CB" w:rsidP="00916311">
      <w:pPr>
        <w:pStyle w:val="Prrafodelista"/>
        <w:numPr>
          <w:ilvl w:val="0"/>
          <w:numId w:val="2"/>
        </w:numPr>
        <w:spacing w:after="0" w:line="360" w:lineRule="auto"/>
        <w:jc w:val="both"/>
        <w:rPr>
          <w:rFonts w:ascii="Arial" w:hAnsi="Arial" w:cs="Arial"/>
          <w:lang w:val="es-ES"/>
        </w:rPr>
      </w:pPr>
      <w:r w:rsidRPr="00916311">
        <w:rPr>
          <w:rFonts w:ascii="Arial" w:hAnsi="Arial" w:cs="Arial"/>
          <w:b/>
          <w:u w:val="single"/>
          <w:lang w:val="es-ES"/>
        </w:rPr>
        <w:t>Lucro cesante</w:t>
      </w:r>
      <w:r w:rsidR="00596417">
        <w:rPr>
          <w:rFonts w:ascii="Arial" w:hAnsi="Arial" w:cs="Arial"/>
          <w:b/>
          <w:u w:val="single"/>
          <w:lang w:val="es-ES"/>
        </w:rPr>
        <w:t xml:space="preserve"> consolidado</w:t>
      </w:r>
      <w:r w:rsidRPr="00916311">
        <w:rPr>
          <w:rFonts w:ascii="Arial" w:hAnsi="Arial" w:cs="Arial"/>
          <w:b/>
          <w:lang w:val="es-ES"/>
        </w:rPr>
        <w:t>:</w:t>
      </w:r>
      <w:r w:rsidRPr="00916311">
        <w:rPr>
          <w:rFonts w:ascii="Arial" w:hAnsi="Arial" w:cs="Arial"/>
          <w:lang w:val="es-ES"/>
        </w:rPr>
        <w:t xml:space="preserve"> se reconoce la suma</w:t>
      </w:r>
      <w:r w:rsidR="005F3483" w:rsidRPr="00916311">
        <w:rPr>
          <w:rFonts w:ascii="Arial" w:hAnsi="Arial" w:cs="Arial"/>
          <w:lang w:val="es-ES"/>
        </w:rPr>
        <w:t xml:space="preserve"> total</w:t>
      </w:r>
      <w:r w:rsidRPr="00916311">
        <w:rPr>
          <w:rFonts w:ascii="Arial" w:hAnsi="Arial" w:cs="Arial"/>
          <w:lang w:val="es-ES"/>
        </w:rPr>
        <w:t xml:space="preserve"> de </w:t>
      </w:r>
      <w:r w:rsidR="000924A4" w:rsidRPr="00916311">
        <w:rPr>
          <w:rFonts w:ascii="Arial" w:hAnsi="Arial" w:cs="Arial"/>
          <w:b/>
          <w:lang w:val="es-ES"/>
        </w:rPr>
        <w:t xml:space="preserve">$ </w:t>
      </w:r>
      <w:r w:rsidR="00BD5C96" w:rsidRPr="00916311">
        <w:rPr>
          <w:rFonts w:ascii="Arial" w:hAnsi="Arial" w:cs="Arial"/>
          <w:b/>
          <w:lang w:val="es-ES"/>
        </w:rPr>
        <w:t>8.506.740</w:t>
      </w:r>
      <w:r w:rsidR="005F3483" w:rsidRPr="00916311">
        <w:rPr>
          <w:rFonts w:ascii="Arial" w:hAnsi="Arial" w:cs="Arial"/>
          <w:b/>
          <w:lang w:val="es-ES"/>
        </w:rPr>
        <w:t xml:space="preserve">. </w:t>
      </w:r>
      <w:r w:rsidR="005F3483" w:rsidRPr="00916311">
        <w:rPr>
          <w:rFonts w:ascii="Arial" w:hAnsi="Arial" w:cs="Arial"/>
          <w:lang w:val="es-ES"/>
        </w:rPr>
        <w:t xml:space="preserve">Suma dividida así: </w:t>
      </w:r>
      <w:r w:rsidR="005F3483" w:rsidRPr="00916311">
        <w:rPr>
          <w:rFonts w:ascii="Arial" w:hAnsi="Arial" w:cs="Arial"/>
          <w:b/>
          <w:lang w:val="es-ES"/>
        </w:rPr>
        <w:t>(i)</w:t>
      </w:r>
      <w:r w:rsidR="005F3483" w:rsidRPr="00916311">
        <w:rPr>
          <w:rFonts w:ascii="Arial" w:hAnsi="Arial" w:cs="Arial"/>
          <w:lang w:val="es-ES"/>
        </w:rPr>
        <w:t xml:space="preserve"> Para el señor Jhon Edwin Carabalí Solarte </w:t>
      </w:r>
      <w:r w:rsidR="00BD5C96" w:rsidRPr="00916311">
        <w:rPr>
          <w:rFonts w:ascii="Arial" w:hAnsi="Arial" w:cs="Arial"/>
          <w:lang w:val="es-ES"/>
        </w:rPr>
        <w:t>la suma de $ 2.706.690</w:t>
      </w:r>
      <w:r w:rsidR="005F3483" w:rsidRPr="00916311">
        <w:rPr>
          <w:rFonts w:ascii="Arial" w:hAnsi="Arial" w:cs="Arial"/>
          <w:lang w:val="es-ES"/>
        </w:rPr>
        <w:t xml:space="preserve">; </w:t>
      </w:r>
      <w:r w:rsidR="00BD5C96" w:rsidRPr="00916311">
        <w:rPr>
          <w:rFonts w:ascii="Arial" w:hAnsi="Arial" w:cs="Arial"/>
          <w:b/>
          <w:lang w:val="es-ES"/>
        </w:rPr>
        <w:t>(i</w:t>
      </w:r>
      <w:r w:rsidR="005F3483" w:rsidRPr="00916311">
        <w:rPr>
          <w:rFonts w:ascii="Arial" w:hAnsi="Arial" w:cs="Arial"/>
          <w:b/>
          <w:lang w:val="es-ES"/>
        </w:rPr>
        <w:t>i)</w:t>
      </w:r>
      <w:r w:rsidR="005F3483" w:rsidRPr="00916311">
        <w:rPr>
          <w:rFonts w:ascii="Arial" w:hAnsi="Arial" w:cs="Arial"/>
          <w:lang w:val="es-ES"/>
        </w:rPr>
        <w:t xml:space="preserve"> Para el señor Jairo Armando Paz Paz la suma de $ 5.413.380; </w:t>
      </w:r>
      <w:r w:rsidR="00BD5C96" w:rsidRPr="00916311">
        <w:rPr>
          <w:rFonts w:ascii="Arial" w:hAnsi="Arial" w:cs="Arial"/>
          <w:b/>
          <w:lang w:val="es-ES"/>
        </w:rPr>
        <w:t>(iii</w:t>
      </w:r>
      <w:r w:rsidR="005F3483" w:rsidRPr="00916311">
        <w:rPr>
          <w:rFonts w:ascii="Arial" w:hAnsi="Arial" w:cs="Arial"/>
          <w:b/>
          <w:lang w:val="es-ES"/>
        </w:rPr>
        <w:t>)</w:t>
      </w:r>
      <w:r w:rsidR="005F3483" w:rsidRPr="00916311">
        <w:rPr>
          <w:rFonts w:ascii="Arial" w:hAnsi="Arial" w:cs="Arial"/>
          <w:lang w:val="es-ES"/>
        </w:rPr>
        <w:t xml:space="preserve"> Para el señor Juan David Mafla Arango la suma de $ 386.670</w:t>
      </w:r>
      <w:r w:rsidR="00BD5C96" w:rsidRPr="00916311">
        <w:rPr>
          <w:rFonts w:ascii="Arial" w:hAnsi="Arial" w:cs="Arial"/>
          <w:lang w:val="es-ES"/>
        </w:rPr>
        <w:t xml:space="preserve">. </w:t>
      </w:r>
      <w:r w:rsidR="005F3483" w:rsidRPr="00916311">
        <w:rPr>
          <w:rFonts w:ascii="Arial" w:hAnsi="Arial" w:cs="Arial"/>
          <w:lang w:val="es-ES"/>
        </w:rPr>
        <w:t xml:space="preserve"> </w:t>
      </w:r>
    </w:p>
    <w:p w14:paraId="79A7D6A6" w14:textId="77777777" w:rsidR="00BD5C96" w:rsidRPr="00BC5BE8" w:rsidRDefault="00BD5C96" w:rsidP="00BC5BE8">
      <w:pPr>
        <w:spacing w:after="0" w:line="360" w:lineRule="auto"/>
        <w:jc w:val="both"/>
        <w:rPr>
          <w:rFonts w:ascii="Arial" w:hAnsi="Arial" w:cs="Arial"/>
          <w:lang w:val="es-ES"/>
        </w:rPr>
      </w:pPr>
    </w:p>
    <w:p w14:paraId="36E2A2DB" w14:textId="77777777" w:rsidR="00BD5C96" w:rsidRPr="00BC5BE8" w:rsidRDefault="00BD5C96" w:rsidP="00916311">
      <w:pPr>
        <w:spacing w:after="0" w:line="360" w:lineRule="auto"/>
        <w:ind w:left="360"/>
        <w:jc w:val="both"/>
        <w:rPr>
          <w:rFonts w:ascii="Arial" w:hAnsi="Arial" w:cs="Arial"/>
          <w:lang w:val="es-ES"/>
        </w:rPr>
      </w:pPr>
      <w:r w:rsidRPr="00BC5BE8">
        <w:rPr>
          <w:rFonts w:ascii="Arial" w:hAnsi="Arial" w:cs="Arial"/>
          <w:lang w:val="es-ES"/>
        </w:rPr>
        <w:t>Para el señor Hernán Pérez no se reconoce suma alguna pues no se prueba ninguna relación laboral o actividad económica y, además, para la fecha de los hechos tenía 69 años, es decir, no estaba en edad productiva, por lo que no se presume que devenga 1 SMLMV. Para el señor Luis Carlos Carabalí Girón no se reconoce suma, pues no se evidencia periodo de incapacidad.</w:t>
      </w:r>
    </w:p>
    <w:p w14:paraId="2F8E6B79" w14:textId="77777777" w:rsidR="004160CC" w:rsidRPr="00BC5BE8" w:rsidRDefault="004160CC" w:rsidP="00BC5BE8">
      <w:pPr>
        <w:spacing w:after="0" w:line="360" w:lineRule="auto"/>
        <w:jc w:val="both"/>
        <w:rPr>
          <w:rFonts w:ascii="Arial" w:hAnsi="Arial" w:cs="Arial"/>
          <w:lang w:val="es-ES"/>
        </w:rPr>
      </w:pPr>
    </w:p>
    <w:p w14:paraId="05BDD87A" w14:textId="60008598" w:rsidR="004160CC" w:rsidRPr="00BC5BE8" w:rsidRDefault="004160CC" w:rsidP="00916311">
      <w:pPr>
        <w:spacing w:after="0" w:line="360" w:lineRule="auto"/>
        <w:ind w:left="360"/>
        <w:jc w:val="both"/>
        <w:rPr>
          <w:rFonts w:ascii="Arial" w:hAnsi="Arial" w:cs="Arial"/>
          <w:lang w:val="es-CO"/>
        </w:rPr>
      </w:pPr>
      <w:r w:rsidRPr="00BC5BE8">
        <w:rPr>
          <w:rFonts w:ascii="Arial" w:hAnsi="Arial" w:cs="Arial"/>
          <w:lang w:val="es-ES"/>
        </w:rPr>
        <w:t>El señor Jhon Edwin Carabalí Solarte, para la fecha de los hechos, tenía 17 años, y aunque no obre documento que pruebe su actividad laboral ni sus ingresos, lo cierto es que estab en edad productiva y</w:t>
      </w:r>
      <w:r w:rsidRPr="00BC5BE8">
        <w:rPr>
          <w:rFonts w:ascii="Arial" w:hAnsi="Arial" w:cs="Arial"/>
          <w:lang w:val="es-CO"/>
        </w:rPr>
        <w:t>, de acuerdo a lo expresado por la Corte Suprema de Justicia Sala Civil, existe una presunción de ingresos por 1 SMMLV, razón por la cual se tomará el SMLMV para la liquidación. Lo cierto es que aún no existe dictamen de PCL del lesionado. Por lo anterior, se tomará el periodo de incapacidad acreditado en el informe pericial, el cual es de 70 días:</w:t>
      </w:r>
    </w:p>
    <w:p w14:paraId="5F2679CA" w14:textId="77777777" w:rsidR="004160CC" w:rsidRPr="00BC5BE8" w:rsidRDefault="004160CC" w:rsidP="00BC5BE8">
      <w:pPr>
        <w:spacing w:after="0" w:line="360" w:lineRule="auto"/>
        <w:jc w:val="both"/>
        <w:rPr>
          <w:rFonts w:ascii="Arial" w:hAnsi="Arial" w:cs="Arial"/>
          <w:lang w:val="es-CO"/>
        </w:rPr>
      </w:pPr>
    </w:p>
    <w:p w14:paraId="621B206F" w14:textId="77777777" w:rsidR="004160CC" w:rsidRPr="00BC5BE8" w:rsidRDefault="004160CC" w:rsidP="00916311">
      <w:pPr>
        <w:spacing w:after="0" w:line="360" w:lineRule="auto"/>
        <w:ind w:left="360"/>
        <w:jc w:val="both"/>
        <w:rPr>
          <w:rFonts w:ascii="Arial" w:hAnsi="Arial" w:cs="Arial"/>
          <w:lang w:val="es-CO"/>
        </w:rPr>
      </w:pPr>
      <w:r w:rsidRPr="00BC5BE8">
        <w:rPr>
          <w:rFonts w:ascii="Arial" w:hAnsi="Arial" w:cs="Arial"/>
          <w:lang w:val="es-CO"/>
        </w:rPr>
        <w:t>$ 1.160.000 / 30 días = $ 38.667</w:t>
      </w:r>
    </w:p>
    <w:p w14:paraId="45B82B4C" w14:textId="77777777" w:rsidR="004160CC" w:rsidRPr="00BC5BE8" w:rsidRDefault="004160CC" w:rsidP="00916311">
      <w:pPr>
        <w:spacing w:after="0" w:line="360" w:lineRule="auto"/>
        <w:ind w:left="360"/>
        <w:jc w:val="both"/>
        <w:rPr>
          <w:rFonts w:ascii="Arial" w:hAnsi="Arial" w:cs="Arial"/>
          <w:lang w:val="es-CO"/>
        </w:rPr>
      </w:pPr>
      <w:r w:rsidRPr="00BC5BE8">
        <w:rPr>
          <w:rFonts w:ascii="Arial" w:hAnsi="Arial" w:cs="Arial"/>
          <w:lang w:val="es-CO"/>
        </w:rPr>
        <w:t xml:space="preserve">$ 38.667 x 70 días = $ </w:t>
      </w:r>
      <w:r w:rsidRPr="00BC5BE8">
        <w:rPr>
          <w:rFonts w:ascii="Arial" w:hAnsi="Arial" w:cs="Arial"/>
          <w:lang w:val="es-ES"/>
        </w:rPr>
        <w:t>2.706.690</w:t>
      </w:r>
    </w:p>
    <w:p w14:paraId="4561EECE" w14:textId="77777777" w:rsidR="005F3483" w:rsidRPr="00BC5BE8" w:rsidRDefault="005F3483" w:rsidP="00BC5BE8">
      <w:pPr>
        <w:spacing w:after="0" w:line="360" w:lineRule="auto"/>
        <w:jc w:val="both"/>
        <w:rPr>
          <w:rFonts w:ascii="Arial" w:hAnsi="Arial" w:cs="Arial"/>
          <w:lang w:val="es-ES"/>
        </w:rPr>
      </w:pPr>
    </w:p>
    <w:p w14:paraId="591339C3" w14:textId="77777777" w:rsidR="005F3483" w:rsidRPr="00BC5BE8" w:rsidRDefault="00BD5C96" w:rsidP="00916311">
      <w:pPr>
        <w:spacing w:after="0" w:line="360" w:lineRule="auto"/>
        <w:ind w:left="360"/>
        <w:jc w:val="both"/>
        <w:rPr>
          <w:rFonts w:ascii="Arial" w:hAnsi="Arial" w:cs="Arial"/>
          <w:lang w:val="es-CO"/>
        </w:rPr>
      </w:pPr>
      <w:r w:rsidRPr="00BC5BE8">
        <w:rPr>
          <w:rFonts w:ascii="Arial" w:hAnsi="Arial" w:cs="Arial"/>
          <w:lang w:val="es-ES"/>
        </w:rPr>
        <w:t xml:space="preserve">El señor Jairo Armando Paz Paz, </w:t>
      </w:r>
      <w:r w:rsidR="005F3483" w:rsidRPr="00BC5BE8">
        <w:rPr>
          <w:rFonts w:ascii="Arial" w:hAnsi="Arial" w:cs="Arial"/>
          <w:lang w:val="es-ES"/>
        </w:rPr>
        <w:t>para la fecha de los hechos, tenían</w:t>
      </w:r>
      <w:r w:rsidRPr="00BC5BE8">
        <w:rPr>
          <w:rFonts w:ascii="Arial" w:hAnsi="Arial" w:cs="Arial"/>
          <w:lang w:val="es-ES"/>
        </w:rPr>
        <w:t xml:space="preserve"> 30</w:t>
      </w:r>
      <w:r w:rsidR="005F3483" w:rsidRPr="00BC5BE8">
        <w:rPr>
          <w:rFonts w:ascii="Arial" w:hAnsi="Arial" w:cs="Arial"/>
          <w:lang w:val="es-ES"/>
        </w:rPr>
        <w:t xml:space="preserve"> años, y aunque no obre documento que pruebe su actividad laboral ni sus ingresos, lo cierto es que estaba en edad productiva y</w:t>
      </w:r>
      <w:r w:rsidR="005F3483" w:rsidRPr="00BC5BE8">
        <w:rPr>
          <w:rFonts w:ascii="Arial" w:hAnsi="Arial" w:cs="Arial"/>
          <w:lang w:val="es-CO"/>
        </w:rPr>
        <w:t xml:space="preserve">, de acuerdo a lo expresado por la Corte Suprema de </w:t>
      </w:r>
      <w:r w:rsidR="005F3483" w:rsidRPr="00BC5BE8">
        <w:rPr>
          <w:rFonts w:ascii="Arial" w:hAnsi="Arial" w:cs="Arial"/>
          <w:lang w:val="es-CO"/>
        </w:rPr>
        <w:lastRenderedPageBreak/>
        <w:t xml:space="preserve">Justicia Sala Civil, existe una presunción de ingresos por 1 SMMLV, razón por la cual se tomará el SMLMV para la liquidación. </w:t>
      </w:r>
      <w:r w:rsidR="004160CC" w:rsidRPr="00BC5BE8">
        <w:rPr>
          <w:rFonts w:ascii="Arial" w:hAnsi="Arial" w:cs="Arial"/>
          <w:lang w:val="es-CO"/>
        </w:rPr>
        <w:t>L</w:t>
      </w:r>
      <w:r w:rsidR="005F3483" w:rsidRPr="00BC5BE8">
        <w:rPr>
          <w:rFonts w:ascii="Arial" w:hAnsi="Arial" w:cs="Arial"/>
          <w:lang w:val="es-CO"/>
        </w:rPr>
        <w:t>o cierto es que aún no existe dictamen de PCL de</w:t>
      </w:r>
      <w:r w:rsidR="004160CC" w:rsidRPr="00BC5BE8">
        <w:rPr>
          <w:rFonts w:ascii="Arial" w:hAnsi="Arial" w:cs="Arial"/>
          <w:lang w:val="es-CO"/>
        </w:rPr>
        <w:t>l</w:t>
      </w:r>
      <w:r w:rsidR="005F3483" w:rsidRPr="00BC5BE8">
        <w:rPr>
          <w:rFonts w:ascii="Arial" w:hAnsi="Arial" w:cs="Arial"/>
          <w:lang w:val="es-CO"/>
        </w:rPr>
        <w:t xml:space="preserve"> </w:t>
      </w:r>
      <w:r w:rsidR="004160CC" w:rsidRPr="00BC5BE8">
        <w:rPr>
          <w:rFonts w:ascii="Arial" w:hAnsi="Arial" w:cs="Arial"/>
          <w:lang w:val="es-CO"/>
        </w:rPr>
        <w:t>lesionado</w:t>
      </w:r>
      <w:r w:rsidR="005F3483" w:rsidRPr="00BC5BE8">
        <w:rPr>
          <w:rFonts w:ascii="Arial" w:hAnsi="Arial" w:cs="Arial"/>
          <w:lang w:val="es-CO"/>
        </w:rPr>
        <w:t xml:space="preserve">. Por lo anterior, se tomará el periodo de incapacidad </w:t>
      </w:r>
      <w:r w:rsidR="004160CC" w:rsidRPr="00BC5BE8">
        <w:rPr>
          <w:rFonts w:ascii="Arial" w:hAnsi="Arial" w:cs="Arial"/>
          <w:lang w:val="es-CO"/>
        </w:rPr>
        <w:t>acreditado en el informe pericial, el cual es de 14</w:t>
      </w:r>
      <w:r w:rsidR="005F3483" w:rsidRPr="00BC5BE8">
        <w:rPr>
          <w:rFonts w:ascii="Arial" w:hAnsi="Arial" w:cs="Arial"/>
          <w:lang w:val="es-CO"/>
        </w:rPr>
        <w:t>0 días:</w:t>
      </w:r>
    </w:p>
    <w:p w14:paraId="519BE161" w14:textId="77777777" w:rsidR="005F3483" w:rsidRPr="00BC5BE8" w:rsidRDefault="005F3483" w:rsidP="00916311">
      <w:pPr>
        <w:spacing w:after="0" w:line="360" w:lineRule="auto"/>
        <w:ind w:left="360"/>
        <w:jc w:val="both"/>
        <w:rPr>
          <w:rFonts w:ascii="Arial" w:hAnsi="Arial" w:cs="Arial"/>
          <w:lang w:val="es-CO"/>
        </w:rPr>
      </w:pPr>
    </w:p>
    <w:p w14:paraId="64222386" w14:textId="77777777" w:rsidR="005F3483" w:rsidRPr="00BC5BE8" w:rsidRDefault="005F3483" w:rsidP="00916311">
      <w:pPr>
        <w:spacing w:after="0" w:line="360" w:lineRule="auto"/>
        <w:ind w:left="360"/>
        <w:jc w:val="both"/>
        <w:rPr>
          <w:rFonts w:ascii="Arial" w:hAnsi="Arial" w:cs="Arial"/>
          <w:lang w:val="es-CO"/>
        </w:rPr>
      </w:pPr>
      <w:r w:rsidRPr="00BC5BE8">
        <w:rPr>
          <w:rFonts w:ascii="Arial" w:hAnsi="Arial" w:cs="Arial"/>
          <w:lang w:val="es-CO"/>
        </w:rPr>
        <w:t>$ 1.160.000 / 30 días = $ 38.667</w:t>
      </w:r>
    </w:p>
    <w:p w14:paraId="0CB9AAFE" w14:textId="77777777" w:rsidR="005F3483" w:rsidRPr="00BC5BE8" w:rsidRDefault="004160CC" w:rsidP="00916311">
      <w:pPr>
        <w:spacing w:after="0" w:line="360" w:lineRule="auto"/>
        <w:ind w:left="360"/>
        <w:jc w:val="both"/>
        <w:rPr>
          <w:rFonts w:ascii="Arial" w:hAnsi="Arial" w:cs="Arial"/>
          <w:lang w:val="es-CO"/>
        </w:rPr>
      </w:pPr>
      <w:r w:rsidRPr="00BC5BE8">
        <w:rPr>
          <w:rFonts w:ascii="Arial" w:hAnsi="Arial" w:cs="Arial"/>
          <w:lang w:val="es-CO"/>
        </w:rPr>
        <w:t>$ 38.667 x 140</w:t>
      </w:r>
      <w:r w:rsidR="005F3483" w:rsidRPr="00BC5BE8">
        <w:rPr>
          <w:rFonts w:ascii="Arial" w:hAnsi="Arial" w:cs="Arial"/>
          <w:lang w:val="es-CO"/>
        </w:rPr>
        <w:t xml:space="preserve"> días = $ </w:t>
      </w:r>
      <w:r w:rsidRPr="00BC5BE8">
        <w:rPr>
          <w:rFonts w:ascii="Arial" w:hAnsi="Arial" w:cs="Arial"/>
          <w:lang w:val="es-ES"/>
        </w:rPr>
        <w:t>5.413.380</w:t>
      </w:r>
      <w:r w:rsidR="005F3483" w:rsidRPr="00BC5BE8">
        <w:rPr>
          <w:rFonts w:ascii="Arial" w:hAnsi="Arial" w:cs="Arial"/>
          <w:lang w:val="es-CO"/>
        </w:rPr>
        <w:t xml:space="preserve">   </w:t>
      </w:r>
    </w:p>
    <w:p w14:paraId="49E1878C" w14:textId="77777777" w:rsidR="00F56F7C" w:rsidRPr="00BC5BE8" w:rsidRDefault="00F56F7C" w:rsidP="00BC5BE8">
      <w:pPr>
        <w:spacing w:after="0" w:line="360" w:lineRule="auto"/>
        <w:jc w:val="both"/>
        <w:rPr>
          <w:rFonts w:ascii="Arial" w:hAnsi="Arial" w:cs="Arial"/>
          <w:lang w:val="es-CO"/>
        </w:rPr>
      </w:pPr>
    </w:p>
    <w:p w14:paraId="6C19E551" w14:textId="0F120432" w:rsidR="00F56F7C" w:rsidRPr="00BC5BE8" w:rsidRDefault="00F56F7C" w:rsidP="00916311">
      <w:pPr>
        <w:spacing w:after="0" w:line="360" w:lineRule="auto"/>
        <w:ind w:left="360"/>
        <w:jc w:val="both"/>
        <w:rPr>
          <w:rFonts w:ascii="Arial" w:hAnsi="Arial" w:cs="Arial"/>
          <w:lang w:val="es-CO"/>
        </w:rPr>
      </w:pPr>
      <w:r w:rsidRPr="00BC5BE8">
        <w:rPr>
          <w:rFonts w:ascii="Arial" w:hAnsi="Arial" w:cs="Arial"/>
          <w:lang w:val="es-ES"/>
        </w:rPr>
        <w:t>El señor Juan David Mafla Arango, para la fecha de los hechos, tenía 22 años, y aunque no obre documento que pruebe su actividad laboral ni sus ingresos, lo cierto es que estaba en edad productiva y</w:t>
      </w:r>
      <w:r w:rsidRPr="00BC5BE8">
        <w:rPr>
          <w:rFonts w:ascii="Arial" w:hAnsi="Arial" w:cs="Arial"/>
          <w:lang w:val="es-CO"/>
        </w:rPr>
        <w:t>, de acuerdo a lo expresado por la Corte Suprema de Justicia Sala Civil, existe una presunción de ingresos por 1 SMMLV, razón por la cual se tomará el SMLMV para la liquidación. Lo cierto es que aún no existe dictamen de PCL del lesionado. Por lo anterior, se tomará el periodo de incapacidad acreditado en el informe pericial, el cual es de 10 días:</w:t>
      </w:r>
    </w:p>
    <w:p w14:paraId="387F3E00" w14:textId="77777777" w:rsidR="00F56F7C" w:rsidRPr="00BC5BE8" w:rsidRDefault="00F56F7C" w:rsidP="00BC5BE8">
      <w:pPr>
        <w:spacing w:after="0" w:line="360" w:lineRule="auto"/>
        <w:jc w:val="both"/>
        <w:rPr>
          <w:rFonts w:ascii="Arial" w:hAnsi="Arial" w:cs="Arial"/>
          <w:lang w:val="es-CO"/>
        </w:rPr>
      </w:pPr>
    </w:p>
    <w:p w14:paraId="047A5D4C" w14:textId="77777777" w:rsidR="00F56F7C" w:rsidRPr="00BC5BE8" w:rsidRDefault="00F56F7C" w:rsidP="00916311">
      <w:pPr>
        <w:spacing w:after="0" w:line="360" w:lineRule="auto"/>
        <w:ind w:left="360"/>
        <w:jc w:val="both"/>
        <w:rPr>
          <w:rFonts w:ascii="Arial" w:hAnsi="Arial" w:cs="Arial"/>
          <w:lang w:val="es-CO"/>
        </w:rPr>
      </w:pPr>
      <w:r w:rsidRPr="00BC5BE8">
        <w:rPr>
          <w:rFonts w:ascii="Arial" w:hAnsi="Arial" w:cs="Arial"/>
          <w:lang w:val="es-CO"/>
        </w:rPr>
        <w:t>$ 1.160.000 / 30 días = $ 38.667</w:t>
      </w:r>
    </w:p>
    <w:p w14:paraId="6559D12C" w14:textId="77777777" w:rsidR="00F56F7C" w:rsidRPr="00BC5BE8" w:rsidRDefault="00F56F7C" w:rsidP="00916311">
      <w:pPr>
        <w:spacing w:after="0" w:line="360" w:lineRule="auto"/>
        <w:ind w:left="360"/>
        <w:jc w:val="both"/>
        <w:rPr>
          <w:rFonts w:ascii="Arial" w:hAnsi="Arial" w:cs="Arial"/>
          <w:lang w:val="es-CO"/>
        </w:rPr>
      </w:pPr>
      <w:r w:rsidRPr="00BC5BE8">
        <w:rPr>
          <w:rFonts w:ascii="Arial" w:hAnsi="Arial" w:cs="Arial"/>
          <w:lang w:val="es-CO"/>
        </w:rPr>
        <w:t xml:space="preserve">$ 38.667 x 70 días = $ </w:t>
      </w:r>
      <w:r w:rsidRPr="00BC5BE8">
        <w:rPr>
          <w:rFonts w:ascii="Arial" w:hAnsi="Arial" w:cs="Arial"/>
          <w:lang w:val="es-ES"/>
        </w:rPr>
        <w:t>386.670</w:t>
      </w:r>
    </w:p>
    <w:p w14:paraId="41BA7766" w14:textId="77777777" w:rsidR="000023CB" w:rsidRPr="00BC5BE8" w:rsidRDefault="000023CB" w:rsidP="00BC5BE8">
      <w:pPr>
        <w:spacing w:after="0" w:line="360" w:lineRule="auto"/>
        <w:rPr>
          <w:rFonts w:ascii="Arial" w:hAnsi="Arial" w:cs="Arial"/>
          <w:lang w:val="es-ES"/>
        </w:rPr>
      </w:pPr>
    </w:p>
    <w:p w14:paraId="29836BE8" w14:textId="28B4BA64" w:rsidR="000023CB" w:rsidRPr="00BC5BE8" w:rsidRDefault="000023CB" w:rsidP="00BC5BE8">
      <w:pPr>
        <w:spacing w:after="0" w:line="360" w:lineRule="auto"/>
        <w:jc w:val="both"/>
        <w:rPr>
          <w:rFonts w:ascii="Arial" w:hAnsi="Arial" w:cs="Arial"/>
          <w:lang w:val="es-ES"/>
        </w:rPr>
      </w:pPr>
      <w:r w:rsidRPr="00BC5BE8">
        <w:rPr>
          <w:rFonts w:ascii="Arial" w:hAnsi="Arial" w:cs="Arial"/>
          <w:b/>
          <w:u w:val="single"/>
          <w:lang w:val="es-ES"/>
        </w:rPr>
        <w:t>Valor de la contingencia</w:t>
      </w:r>
      <w:r w:rsidRPr="00BC5BE8">
        <w:rPr>
          <w:rFonts w:ascii="Arial" w:hAnsi="Arial" w:cs="Arial"/>
          <w:b/>
          <w:lang w:val="es-ES"/>
        </w:rPr>
        <w:t>:</w:t>
      </w:r>
      <w:r w:rsidRPr="00BC5BE8">
        <w:rPr>
          <w:rFonts w:ascii="Arial" w:hAnsi="Arial" w:cs="Arial"/>
          <w:lang w:val="es-ES"/>
        </w:rPr>
        <w:t xml:space="preserve"> el valor de la liquidación objetiva ($ </w:t>
      </w:r>
      <w:r w:rsidR="00F56F7C" w:rsidRPr="00BC5BE8">
        <w:rPr>
          <w:rFonts w:ascii="Arial" w:hAnsi="Arial" w:cs="Arial"/>
          <w:lang w:val="es-ES"/>
        </w:rPr>
        <w:t>60.506.740</w:t>
      </w:r>
      <w:r w:rsidRPr="00BC5BE8">
        <w:rPr>
          <w:rFonts w:ascii="Arial" w:hAnsi="Arial" w:cs="Arial"/>
          <w:lang w:val="es-ES"/>
        </w:rPr>
        <w:t xml:space="preserve">) es </w:t>
      </w:r>
      <w:r w:rsidR="009A3846" w:rsidRPr="00BC5BE8">
        <w:rPr>
          <w:rFonts w:ascii="Arial" w:hAnsi="Arial" w:cs="Arial"/>
          <w:lang w:val="es-ES"/>
        </w:rPr>
        <w:t>menor</w:t>
      </w:r>
      <w:r w:rsidRPr="00BC5BE8">
        <w:rPr>
          <w:rFonts w:ascii="Arial" w:hAnsi="Arial" w:cs="Arial"/>
          <w:lang w:val="es-ES"/>
        </w:rPr>
        <w:t xml:space="preserve"> al valor asegurado de la póliza No. </w:t>
      </w:r>
      <w:r w:rsidR="00F56F7C" w:rsidRPr="00BC5BE8">
        <w:rPr>
          <w:rFonts w:ascii="Arial" w:hAnsi="Arial" w:cs="Arial"/>
          <w:lang w:val="es-ES"/>
        </w:rPr>
        <w:t xml:space="preserve">2201116006687 </w:t>
      </w:r>
      <w:r w:rsidRPr="00BC5BE8">
        <w:rPr>
          <w:rFonts w:ascii="Arial" w:hAnsi="Arial" w:cs="Arial"/>
          <w:lang w:val="es-ES"/>
        </w:rPr>
        <w:t xml:space="preserve">para el amparo de </w:t>
      </w:r>
      <w:r w:rsidR="009B5E70" w:rsidRPr="00BC5BE8">
        <w:rPr>
          <w:rFonts w:ascii="Arial" w:hAnsi="Arial" w:cs="Arial"/>
          <w:lang w:val="es-ES"/>
        </w:rPr>
        <w:t>Muerte o Lesiones a Dos o Más Personas (</w:t>
      </w:r>
      <w:r w:rsidR="00596417">
        <w:rPr>
          <w:rFonts w:ascii="Arial" w:hAnsi="Arial" w:cs="Arial"/>
          <w:lang w:val="es-ES"/>
        </w:rPr>
        <w:t>$</w:t>
      </w:r>
      <w:r w:rsidR="009B5E70" w:rsidRPr="00BC5BE8">
        <w:rPr>
          <w:rFonts w:ascii="Arial" w:hAnsi="Arial" w:cs="Arial"/>
          <w:lang w:val="es-ES"/>
        </w:rPr>
        <w:t>800.000.000</w:t>
      </w:r>
      <w:r w:rsidRPr="00BC5BE8">
        <w:rPr>
          <w:rFonts w:ascii="Arial" w:hAnsi="Arial" w:cs="Arial"/>
          <w:lang w:val="es-ES"/>
        </w:rPr>
        <w:t xml:space="preserve">), por lo tanto, se toma el menor valor, es decir, la suma de </w:t>
      </w:r>
      <w:r w:rsidRPr="00BC5BE8">
        <w:rPr>
          <w:rFonts w:ascii="Arial" w:hAnsi="Arial" w:cs="Arial"/>
          <w:b/>
          <w:lang w:val="es-ES"/>
        </w:rPr>
        <w:t xml:space="preserve">$ </w:t>
      </w:r>
      <w:r w:rsidR="009B5E70" w:rsidRPr="00BC5BE8">
        <w:rPr>
          <w:rFonts w:ascii="Arial" w:hAnsi="Arial" w:cs="Arial"/>
          <w:b/>
          <w:lang w:val="es-ES"/>
        </w:rPr>
        <w:t>60.506.740</w:t>
      </w:r>
      <w:r w:rsidRPr="00BC5BE8">
        <w:rPr>
          <w:rFonts w:ascii="Arial" w:hAnsi="Arial" w:cs="Arial"/>
          <w:b/>
          <w:lang w:val="es-ES"/>
        </w:rPr>
        <w:t>.</w:t>
      </w:r>
      <w:r w:rsidR="009B5E70" w:rsidRPr="00BC5BE8">
        <w:rPr>
          <w:rFonts w:ascii="Arial" w:hAnsi="Arial" w:cs="Arial"/>
          <w:b/>
          <w:lang w:val="es-ES"/>
        </w:rPr>
        <w:t xml:space="preserve"> </w:t>
      </w:r>
      <w:r w:rsidRPr="00BC5BE8">
        <w:rPr>
          <w:rFonts w:ascii="Arial" w:hAnsi="Arial" w:cs="Arial"/>
          <w:lang w:val="es-ES"/>
        </w:rPr>
        <w:t xml:space="preserve"> </w:t>
      </w:r>
    </w:p>
    <w:p w14:paraId="31CF73AE" w14:textId="77777777" w:rsidR="000023CB" w:rsidRPr="00BC5BE8" w:rsidRDefault="000023CB" w:rsidP="00BC5BE8">
      <w:pPr>
        <w:spacing w:after="0" w:line="360" w:lineRule="auto"/>
        <w:rPr>
          <w:rFonts w:ascii="Arial" w:hAnsi="Arial" w:cs="Arial"/>
          <w:lang w:val="es-ES"/>
        </w:rPr>
      </w:pPr>
    </w:p>
    <w:p w14:paraId="7E95B03A" w14:textId="58F1B8E7" w:rsidR="000023CB" w:rsidRDefault="000023CB" w:rsidP="00BC5BE8">
      <w:pPr>
        <w:spacing w:after="0" w:line="360" w:lineRule="auto"/>
        <w:jc w:val="both"/>
        <w:rPr>
          <w:rFonts w:ascii="Arial" w:hAnsi="Arial" w:cs="Arial"/>
          <w:lang w:val="es-ES"/>
        </w:rPr>
      </w:pPr>
      <w:r w:rsidRPr="00BC5BE8">
        <w:rPr>
          <w:rFonts w:ascii="Arial" w:hAnsi="Arial" w:cs="Arial"/>
          <w:b/>
          <w:u w:val="single"/>
          <w:lang w:val="es-ES"/>
        </w:rPr>
        <w:t>Deducible</w:t>
      </w:r>
      <w:r w:rsidRPr="00BC5BE8">
        <w:rPr>
          <w:rFonts w:ascii="Arial" w:hAnsi="Arial" w:cs="Arial"/>
          <w:b/>
          <w:lang w:val="es-ES"/>
        </w:rPr>
        <w:t>:</w:t>
      </w:r>
      <w:r w:rsidRPr="00BC5BE8">
        <w:rPr>
          <w:rFonts w:ascii="Arial" w:hAnsi="Arial" w:cs="Arial"/>
          <w:lang w:val="es-ES"/>
        </w:rPr>
        <w:t xml:space="preserve"> para el amparo de </w:t>
      </w:r>
      <w:r w:rsidR="000924A4" w:rsidRPr="00BC5BE8">
        <w:rPr>
          <w:rFonts w:ascii="Arial" w:hAnsi="Arial" w:cs="Arial"/>
          <w:lang w:val="es-ES"/>
        </w:rPr>
        <w:t xml:space="preserve">Responsabilidad Civil Extracontractual no </w:t>
      </w:r>
      <w:r w:rsidRPr="00BC5BE8">
        <w:rPr>
          <w:rFonts w:ascii="Arial" w:hAnsi="Arial" w:cs="Arial"/>
          <w:lang w:val="es-ES"/>
        </w:rPr>
        <w:t xml:space="preserve">se pactó </w:t>
      </w:r>
      <w:r w:rsidR="000924A4" w:rsidRPr="00BC5BE8">
        <w:rPr>
          <w:rFonts w:ascii="Arial" w:hAnsi="Arial" w:cs="Arial"/>
          <w:lang w:val="es-ES"/>
        </w:rPr>
        <w:t>deducible.</w:t>
      </w:r>
    </w:p>
    <w:p w14:paraId="4C4F67BC" w14:textId="1D4B6DC4" w:rsidR="00CD7AF2" w:rsidRDefault="00CD7AF2" w:rsidP="00BC5BE8">
      <w:pPr>
        <w:spacing w:after="0" w:line="360" w:lineRule="auto"/>
        <w:jc w:val="both"/>
        <w:rPr>
          <w:rFonts w:ascii="Arial" w:hAnsi="Arial" w:cs="Arial"/>
          <w:lang w:val="es-ES"/>
        </w:rPr>
      </w:pPr>
    </w:p>
    <w:p w14:paraId="71BEC334" w14:textId="62DE856F" w:rsidR="00CD7AF2" w:rsidRDefault="00CD7AF2" w:rsidP="00916311">
      <w:pPr>
        <w:pStyle w:val="Prrafodelista"/>
        <w:numPr>
          <w:ilvl w:val="0"/>
          <w:numId w:val="1"/>
        </w:numPr>
        <w:spacing w:after="0" w:line="360" w:lineRule="auto"/>
        <w:jc w:val="both"/>
        <w:rPr>
          <w:rFonts w:ascii="Arial" w:hAnsi="Arial" w:cs="Arial"/>
          <w:b/>
          <w:u w:val="single"/>
          <w:lang w:val="es-ES"/>
        </w:rPr>
      </w:pPr>
      <w:r w:rsidRPr="00916311">
        <w:rPr>
          <w:rFonts w:ascii="Arial" w:hAnsi="Arial" w:cs="Arial"/>
          <w:b/>
          <w:u w:val="single"/>
          <w:lang w:val="es-ES"/>
        </w:rPr>
        <w:t>ESTADO DEL PROCESO</w:t>
      </w:r>
    </w:p>
    <w:p w14:paraId="0DB1CE37" w14:textId="462303B6" w:rsidR="00CD7AF2" w:rsidRDefault="00CD7AF2">
      <w:pPr>
        <w:spacing w:after="0" w:line="360" w:lineRule="auto"/>
        <w:jc w:val="both"/>
        <w:rPr>
          <w:rFonts w:ascii="Arial" w:hAnsi="Arial" w:cs="Arial"/>
          <w:b/>
          <w:u w:val="single"/>
          <w:lang w:val="es-ES"/>
        </w:rPr>
      </w:pPr>
    </w:p>
    <w:p w14:paraId="4862DAC1" w14:textId="77777777" w:rsidR="006D6601" w:rsidRDefault="006D6601" w:rsidP="00916311">
      <w:pPr>
        <w:pStyle w:val="Prrafodelista"/>
        <w:numPr>
          <w:ilvl w:val="0"/>
          <w:numId w:val="3"/>
        </w:numPr>
        <w:spacing w:after="0" w:line="360" w:lineRule="auto"/>
        <w:jc w:val="both"/>
        <w:rPr>
          <w:rFonts w:ascii="Arial" w:hAnsi="Arial" w:cs="Arial"/>
          <w:lang w:val="es-ES"/>
        </w:rPr>
      </w:pPr>
      <w:r w:rsidRPr="006D6601">
        <w:rPr>
          <w:rFonts w:ascii="Arial" w:hAnsi="Arial" w:cs="Arial"/>
          <w:lang w:val="es-ES"/>
        </w:rPr>
        <w:t>Demanda presentada el</w:t>
      </w:r>
      <w:r>
        <w:rPr>
          <w:rFonts w:ascii="Arial" w:hAnsi="Arial" w:cs="Arial"/>
          <w:lang w:val="es-ES"/>
        </w:rPr>
        <w:t xml:space="preserve"> 2 de marzo de 2022. </w:t>
      </w:r>
    </w:p>
    <w:p w14:paraId="5D63DCEB" w14:textId="77777777" w:rsidR="006D6601" w:rsidRDefault="006D6601"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La demanda fue admitida el 25 de marzo de 2022. </w:t>
      </w:r>
    </w:p>
    <w:p w14:paraId="067E2033" w14:textId="77777777" w:rsidR="006D6601" w:rsidRDefault="006D6601"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Reforma de la demanda presentada el 13 de septiembre de 2022. </w:t>
      </w:r>
    </w:p>
    <w:p w14:paraId="48524425" w14:textId="6051667F" w:rsidR="00CD7AF2" w:rsidRDefault="006D6601" w:rsidP="006D6601">
      <w:pPr>
        <w:pStyle w:val="Prrafodelista"/>
        <w:numPr>
          <w:ilvl w:val="0"/>
          <w:numId w:val="3"/>
        </w:numPr>
        <w:spacing w:after="0" w:line="360" w:lineRule="auto"/>
        <w:jc w:val="both"/>
        <w:rPr>
          <w:rFonts w:ascii="Arial" w:hAnsi="Arial" w:cs="Arial"/>
          <w:lang w:val="es-ES"/>
        </w:rPr>
      </w:pPr>
      <w:r w:rsidRPr="00BC5BE8">
        <w:rPr>
          <w:rFonts w:ascii="Arial" w:hAnsi="Arial" w:cs="Arial"/>
          <w:lang w:val="es-ES"/>
        </w:rPr>
        <w:t xml:space="preserve">Superpollos del Galpón S.A.S. </w:t>
      </w:r>
      <w:r>
        <w:rPr>
          <w:rFonts w:ascii="Arial" w:hAnsi="Arial" w:cs="Arial"/>
          <w:lang w:val="es-ES"/>
        </w:rPr>
        <w:t>contesta la reforma y llama en garantía a Mapfre Seguros Generales d</w:t>
      </w:r>
      <w:r w:rsidRPr="006D6601">
        <w:rPr>
          <w:rFonts w:ascii="Arial" w:hAnsi="Arial" w:cs="Arial"/>
          <w:lang w:val="es-ES"/>
        </w:rPr>
        <w:t>e Colombia S.A.</w:t>
      </w:r>
      <w:r>
        <w:rPr>
          <w:rFonts w:ascii="Arial" w:hAnsi="Arial" w:cs="Arial"/>
          <w:lang w:val="es-ES"/>
        </w:rPr>
        <w:t xml:space="preserve"> el 27 de octubre de 2022. </w:t>
      </w:r>
      <w:r w:rsidRPr="006D6601">
        <w:rPr>
          <w:rFonts w:ascii="Arial" w:hAnsi="Arial" w:cs="Arial"/>
          <w:lang w:val="es-ES"/>
        </w:rPr>
        <w:t xml:space="preserve"> </w:t>
      </w:r>
    </w:p>
    <w:p w14:paraId="2DD6130B" w14:textId="389B1B47" w:rsidR="006D6601" w:rsidRDefault="006D6601" w:rsidP="006D6601">
      <w:pPr>
        <w:pStyle w:val="Prrafodelista"/>
        <w:numPr>
          <w:ilvl w:val="0"/>
          <w:numId w:val="3"/>
        </w:numPr>
        <w:spacing w:after="0" w:line="360" w:lineRule="auto"/>
        <w:jc w:val="both"/>
        <w:rPr>
          <w:rFonts w:ascii="Arial" w:hAnsi="Arial" w:cs="Arial"/>
          <w:lang w:val="es-ES"/>
        </w:rPr>
      </w:pPr>
      <w:r>
        <w:rPr>
          <w:rFonts w:ascii="Arial" w:hAnsi="Arial" w:cs="Arial"/>
          <w:lang w:val="es-ES"/>
        </w:rPr>
        <w:lastRenderedPageBreak/>
        <w:t>Mapfre Seguros Generales d</w:t>
      </w:r>
      <w:r w:rsidRPr="006D6601">
        <w:rPr>
          <w:rFonts w:ascii="Arial" w:hAnsi="Arial" w:cs="Arial"/>
          <w:lang w:val="es-ES"/>
        </w:rPr>
        <w:t>e Colombia S.A.</w:t>
      </w:r>
      <w:r>
        <w:rPr>
          <w:rFonts w:ascii="Arial" w:hAnsi="Arial" w:cs="Arial"/>
          <w:lang w:val="es-ES"/>
        </w:rPr>
        <w:t xml:space="preserve"> es notificada de forma personal el 9 de diciembre de 2022. </w:t>
      </w:r>
    </w:p>
    <w:p w14:paraId="7B4B1A3B" w14:textId="77777777" w:rsidR="006D6601" w:rsidRDefault="006D6601" w:rsidP="006D6601">
      <w:pPr>
        <w:pStyle w:val="Prrafodelista"/>
        <w:numPr>
          <w:ilvl w:val="0"/>
          <w:numId w:val="3"/>
        </w:numPr>
        <w:spacing w:after="0" w:line="360" w:lineRule="auto"/>
        <w:jc w:val="both"/>
        <w:rPr>
          <w:rFonts w:ascii="Arial" w:hAnsi="Arial" w:cs="Arial"/>
          <w:lang w:val="es-ES"/>
        </w:rPr>
      </w:pPr>
      <w:r>
        <w:rPr>
          <w:rFonts w:ascii="Arial" w:hAnsi="Arial" w:cs="Arial"/>
          <w:lang w:val="es-ES"/>
        </w:rPr>
        <w:t>Mediante Auto del 24 de julio de 2023, se resuelve negativamente la excepción previa formulada por Superpollos del Galpón S.A.S. y</w:t>
      </w:r>
      <w:r w:rsidRPr="006D6601">
        <w:rPr>
          <w:rFonts w:ascii="Arial" w:hAnsi="Arial" w:cs="Arial"/>
          <w:lang w:val="es-ES"/>
        </w:rPr>
        <w:t xml:space="preserve"> Dar Ayuda Temporal S.A.S.</w:t>
      </w:r>
      <w:r>
        <w:rPr>
          <w:rFonts w:ascii="Arial" w:hAnsi="Arial" w:cs="Arial"/>
          <w:lang w:val="es-ES"/>
        </w:rPr>
        <w:t xml:space="preserve"> denominada “</w:t>
      </w:r>
      <w:r w:rsidRPr="006D6601">
        <w:rPr>
          <w:rFonts w:ascii="Arial" w:hAnsi="Arial" w:cs="Arial"/>
          <w:i/>
          <w:lang w:val="es-ES"/>
        </w:rPr>
        <w:t>Pleito pendiente entre las mismas partes y sobre el mismo asunto</w:t>
      </w:r>
      <w:r>
        <w:rPr>
          <w:rFonts w:ascii="Arial" w:hAnsi="Arial" w:cs="Arial"/>
          <w:lang w:val="es-ES"/>
        </w:rPr>
        <w:t>”.</w:t>
      </w:r>
    </w:p>
    <w:p w14:paraId="12BD9519" w14:textId="77777777" w:rsidR="00E710C4" w:rsidRDefault="00D372FF" w:rsidP="006D6601">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La audiencia del art. 372 (inicial) se llevó a cabo el 29 de septiembre de 2023. Allí se profirió sentencia anticipada declarando la falta de legitimación en la causa por pasiva del Banco Finandina S.A.; </w:t>
      </w:r>
      <w:r w:rsidR="00876E39">
        <w:rPr>
          <w:rFonts w:ascii="Arial" w:hAnsi="Arial" w:cs="Arial"/>
          <w:lang w:val="es-ES"/>
        </w:rPr>
        <w:t>se agotó la etapa de conciliación; se agotó el interrogatorio de los representantes legales de los demandados, así como el int</w:t>
      </w:r>
      <w:r w:rsidR="000A0F4C">
        <w:rPr>
          <w:rFonts w:ascii="Arial" w:hAnsi="Arial" w:cs="Arial"/>
          <w:lang w:val="es-ES"/>
        </w:rPr>
        <w:t xml:space="preserve">errogatorio de los demandantes; se fijó el litigio; se hizo el respectivo control de legalidad; y finalmente se hizo el decreto probatorio. </w:t>
      </w:r>
    </w:p>
    <w:p w14:paraId="4D2D40B7" w14:textId="77777777" w:rsidR="00C82960" w:rsidRDefault="00E710C4" w:rsidP="006D6601">
      <w:pPr>
        <w:pStyle w:val="Prrafodelista"/>
        <w:numPr>
          <w:ilvl w:val="0"/>
          <w:numId w:val="3"/>
        </w:numPr>
        <w:spacing w:after="0" w:line="360" w:lineRule="auto"/>
        <w:jc w:val="both"/>
        <w:rPr>
          <w:rFonts w:ascii="Arial" w:hAnsi="Arial" w:cs="Arial"/>
          <w:lang w:val="es-ES"/>
        </w:rPr>
      </w:pPr>
      <w:r>
        <w:rPr>
          <w:rFonts w:ascii="Arial" w:hAnsi="Arial" w:cs="Arial"/>
          <w:lang w:val="es-ES"/>
        </w:rPr>
        <w:t>Se fijó fecha para llevar a cabo audiencia del art. 373 (instrucción y juzgamiento) para el 15 de noviembre de 2023 a partir de las 9:00 a. m.</w:t>
      </w:r>
    </w:p>
    <w:p w14:paraId="437E0C5B" w14:textId="286BA5B8" w:rsidR="006D6601" w:rsidRPr="006D6601" w:rsidRDefault="00C82960" w:rsidP="006D6601">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Se debe advertir que el despacho no impuso sanción a </w:t>
      </w:r>
      <w:r>
        <w:rPr>
          <w:rFonts w:ascii="Arial" w:hAnsi="Arial" w:cs="Arial"/>
          <w:lang w:val="es-ES"/>
        </w:rPr>
        <w:t>Mapfre Seguros Generales d</w:t>
      </w:r>
      <w:r w:rsidRPr="006D6601">
        <w:rPr>
          <w:rFonts w:ascii="Arial" w:hAnsi="Arial" w:cs="Arial"/>
          <w:lang w:val="es-ES"/>
        </w:rPr>
        <w:t>e Colombia S.A.</w:t>
      </w:r>
      <w:r>
        <w:rPr>
          <w:rFonts w:ascii="Arial" w:hAnsi="Arial" w:cs="Arial"/>
          <w:lang w:val="es-ES"/>
        </w:rPr>
        <w:t xml:space="preserve"> </w:t>
      </w:r>
      <w:r>
        <w:rPr>
          <w:rFonts w:ascii="Arial" w:hAnsi="Arial" w:cs="Arial"/>
          <w:lang w:val="es-ES"/>
        </w:rPr>
        <w:t>por la no comparecencia de su representante legal ni apoderado a la audiencia.</w:t>
      </w:r>
    </w:p>
    <w:sectPr w:rsidR="006D6601" w:rsidRPr="006D66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AD6"/>
    <w:multiLevelType w:val="hybridMultilevel"/>
    <w:tmpl w:val="A66E7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761A45"/>
    <w:multiLevelType w:val="hybridMultilevel"/>
    <w:tmpl w:val="C074CCFA"/>
    <w:lvl w:ilvl="0" w:tplc="2ABA6836">
      <w:start w:val="1"/>
      <w:numFmt w:val="decimal"/>
      <w:lvlText w:val="%1."/>
      <w:lvlJc w:val="left"/>
      <w:pPr>
        <w:ind w:left="360" w:hanging="360"/>
      </w:pPr>
      <w:rPr>
        <w:rFonts w:hint="default"/>
        <w:b/>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CA71CD8"/>
    <w:multiLevelType w:val="hybridMultilevel"/>
    <w:tmpl w:val="529CC1D8"/>
    <w:lvl w:ilvl="0" w:tplc="EE967330">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CB"/>
    <w:rsid w:val="00000CE6"/>
    <w:rsid w:val="000023CB"/>
    <w:rsid w:val="00016067"/>
    <w:rsid w:val="00031F1B"/>
    <w:rsid w:val="00047038"/>
    <w:rsid w:val="000924A4"/>
    <w:rsid w:val="000A0F4C"/>
    <w:rsid w:val="000B45C8"/>
    <w:rsid w:val="000E3646"/>
    <w:rsid w:val="00106BEF"/>
    <w:rsid w:val="00167AF6"/>
    <w:rsid w:val="001A27B2"/>
    <w:rsid w:val="00221EC2"/>
    <w:rsid w:val="002463F5"/>
    <w:rsid w:val="002468CF"/>
    <w:rsid w:val="002600D0"/>
    <w:rsid w:val="002C2180"/>
    <w:rsid w:val="002E6869"/>
    <w:rsid w:val="002F11DE"/>
    <w:rsid w:val="0030076A"/>
    <w:rsid w:val="00317667"/>
    <w:rsid w:val="00320AB8"/>
    <w:rsid w:val="00344CA8"/>
    <w:rsid w:val="00372DF8"/>
    <w:rsid w:val="003C15B4"/>
    <w:rsid w:val="003D51F4"/>
    <w:rsid w:val="003F157D"/>
    <w:rsid w:val="0041368F"/>
    <w:rsid w:val="004160CC"/>
    <w:rsid w:val="0047037F"/>
    <w:rsid w:val="004D19DB"/>
    <w:rsid w:val="004D23A9"/>
    <w:rsid w:val="004D3A64"/>
    <w:rsid w:val="005239AD"/>
    <w:rsid w:val="00564961"/>
    <w:rsid w:val="00596417"/>
    <w:rsid w:val="005B6AC1"/>
    <w:rsid w:val="005F3483"/>
    <w:rsid w:val="00627B22"/>
    <w:rsid w:val="00627C94"/>
    <w:rsid w:val="006678A7"/>
    <w:rsid w:val="00696B8E"/>
    <w:rsid w:val="006C4D95"/>
    <w:rsid w:val="006D6601"/>
    <w:rsid w:val="006E4425"/>
    <w:rsid w:val="007237B6"/>
    <w:rsid w:val="007431A1"/>
    <w:rsid w:val="00814D20"/>
    <w:rsid w:val="00873E61"/>
    <w:rsid w:val="00876E39"/>
    <w:rsid w:val="008B4D07"/>
    <w:rsid w:val="00903A0F"/>
    <w:rsid w:val="00903CB0"/>
    <w:rsid w:val="00910DFF"/>
    <w:rsid w:val="00915B26"/>
    <w:rsid w:val="00916311"/>
    <w:rsid w:val="0099233A"/>
    <w:rsid w:val="009A3846"/>
    <w:rsid w:val="009B0024"/>
    <w:rsid w:val="009B0F7E"/>
    <w:rsid w:val="009B5E70"/>
    <w:rsid w:val="009E0A39"/>
    <w:rsid w:val="009F4EEB"/>
    <w:rsid w:val="00AF0317"/>
    <w:rsid w:val="00B0782C"/>
    <w:rsid w:val="00B559F2"/>
    <w:rsid w:val="00B84DAD"/>
    <w:rsid w:val="00BC5BE8"/>
    <w:rsid w:val="00BD5C96"/>
    <w:rsid w:val="00C25CA8"/>
    <w:rsid w:val="00C81297"/>
    <w:rsid w:val="00C82960"/>
    <w:rsid w:val="00CA4498"/>
    <w:rsid w:val="00CA741D"/>
    <w:rsid w:val="00CB26B7"/>
    <w:rsid w:val="00CC6DC8"/>
    <w:rsid w:val="00CD7AF2"/>
    <w:rsid w:val="00CF0238"/>
    <w:rsid w:val="00D27848"/>
    <w:rsid w:val="00D372FF"/>
    <w:rsid w:val="00D453CB"/>
    <w:rsid w:val="00D553A7"/>
    <w:rsid w:val="00D77F10"/>
    <w:rsid w:val="00E26538"/>
    <w:rsid w:val="00E3279A"/>
    <w:rsid w:val="00E36851"/>
    <w:rsid w:val="00E710C4"/>
    <w:rsid w:val="00EA52B2"/>
    <w:rsid w:val="00ED433D"/>
    <w:rsid w:val="00F14EDE"/>
    <w:rsid w:val="00F56F7C"/>
    <w:rsid w:val="00F7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729F"/>
  <w15:chartTrackingRefBased/>
  <w15:docId w15:val="{8FF731B4-B32F-47A9-A16D-B69C64F4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5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F2"/>
    <w:rPr>
      <w:rFonts w:ascii="Segoe UI" w:hAnsi="Segoe UI" w:cs="Segoe UI"/>
      <w:sz w:val="18"/>
      <w:szCs w:val="18"/>
    </w:rPr>
  </w:style>
  <w:style w:type="character" w:styleId="Refdecomentario">
    <w:name w:val="annotation reference"/>
    <w:basedOn w:val="Fuentedeprrafopredeter"/>
    <w:uiPriority w:val="99"/>
    <w:semiHidden/>
    <w:unhideWhenUsed/>
    <w:rsid w:val="00E26538"/>
    <w:rPr>
      <w:sz w:val="16"/>
      <w:szCs w:val="16"/>
    </w:rPr>
  </w:style>
  <w:style w:type="paragraph" w:styleId="Textocomentario">
    <w:name w:val="annotation text"/>
    <w:basedOn w:val="Normal"/>
    <w:link w:val="TextocomentarioCar"/>
    <w:uiPriority w:val="99"/>
    <w:semiHidden/>
    <w:unhideWhenUsed/>
    <w:rsid w:val="00E265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538"/>
    <w:rPr>
      <w:sz w:val="20"/>
      <w:szCs w:val="20"/>
    </w:rPr>
  </w:style>
  <w:style w:type="paragraph" w:styleId="Asuntodelcomentario">
    <w:name w:val="annotation subject"/>
    <w:basedOn w:val="Textocomentario"/>
    <w:next w:val="Textocomentario"/>
    <w:link w:val="AsuntodelcomentarioCar"/>
    <w:uiPriority w:val="99"/>
    <w:semiHidden/>
    <w:unhideWhenUsed/>
    <w:rsid w:val="00E26538"/>
    <w:rPr>
      <w:b/>
      <w:bCs/>
    </w:rPr>
  </w:style>
  <w:style w:type="character" w:customStyle="1" w:styleId="AsuntodelcomentarioCar">
    <w:name w:val="Asunto del comentario Car"/>
    <w:basedOn w:val="TextocomentarioCar"/>
    <w:link w:val="Asuntodelcomentario"/>
    <w:uiPriority w:val="99"/>
    <w:semiHidden/>
    <w:rsid w:val="00E26538"/>
    <w:rPr>
      <w:b/>
      <w:bCs/>
      <w:sz w:val="20"/>
      <w:szCs w:val="20"/>
    </w:rPr>
  </w:style>
  <w:style w:type="paragraph" w:styleId="Prrafodelista">
    <w:name w:val="List Paragraph"/>
    <w:basedOn w:val="Normal"/>
    <w:uiPriority w:val="34"/>
    <w:qFormat/>
    <w:rsid w:val="0001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FB79-E43F-4D19-896E-AB93FA28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7</Pages>
  <Words>1924</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20</cp:revision>
  <dcterms:created xsi:type="dcterms:W3CDTF">2023-11-02T14:36:00Z</dcterms:created>
  <dcterms:modified xsi:type="dcterms:W3CDTF">2023-11-03T17:14:00Z</dcterms:modified>
</cp:coreProperties>
</file>