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2624" w14:textId="0F66F1A4" w:rsidR="000A7E53" w:rsidRPr="00F969EE" w:rsidRDefault="0044349E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</w:t>
      </w:r>
      <w:r w:rsidR="000A7E53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a contingencia del proceso se califica como </w:t>
      </w:r>
      <w:r w:rsidR="004D769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REMOTA</w:t>
      </w:r>
      <w:r w:rsidR="000A7E53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dado que las Pólizas de Responsabilidad Civil directores y Administradores Servidores Públicos N°</w:t>
      </w:r>
      <w:bookmarkStart w:id="0" w:name="_Hlk167785982"/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8001473286</w:t>
      </w:r>
      <w:bookmarkEnd w:id="0"/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N°8001473432 y N°8001473531, no prestan cobertura </w:t>
      </w:r>
      <w:r w:rsidR="0054673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temporal d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ada la modalidad Claims Made con la que fueron suscritas</w:t>
      </w:r>
      <w:r w:rsidR="0054673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 tampoco prestan cobertura material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. </w:t>
      </w:r>
    </w:p>
    <w:p w14:paraId="43411E60" w14:textId="77777777" w:rsidR="000A7E53" w:rsidRPr="00F969EE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201F1E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3DDE63C4" w14:textId="0A628964" w:rsidR="000A7E53" w:rsidRDefault="000A7E53" w:rsidP="000A7E53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a Póliza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 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Responsabilidad civil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</w:t>
      </w:r>
      <w:r w:rsidR="004D7696" w:rsidRP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8001473286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cuyo asegurado es el 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Instituto de Desarrollo Urbano IDU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presta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 temporal, 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toda vez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que la póliza fue pactada bajo la modalidad 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Claims Made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cuya vigencia correspondió desde el </w:t>
      </w:r>
      <w:r w:rsidR="004D7696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28 de mayo de 2013 al 06 de noviembre de 2013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y los hechos que produjeron el presunto detrimento patrimonial, acaecieron 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el </w:t>
      </w:r>
      <w:r w:rsidR="004D769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22 de abril de 2017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fecha de finalización del contrato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 obra 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05 de 2014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lo que dicho hecho, e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stá 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fuera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de la póliza en comento</w:t>
      </w:r>
      <w:r w:rsidR="00C25B75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C25B75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A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demás, la primera reclamación (auto de apertura) fue proferido hasta el </w:t>
      </w:r>
      <w:r w:rsidR="004D7696" w:rsidRPr="004D769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13 de febrero de 2020</w:t>
      </w:r>
      <w:r w:rsidR="004D7696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 es decir, fuera de la vigencia, por lo que se observa que no se cumplieron los dos requisitos indispensables de la modalidad suscrita, hechos en vigencia o dentro del periodo de retroactividad pactado y primera reclamación al asegurador o asegurado en vigencia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otro lado, </w:t>
      </w:r>
      <w:r w:rsidR="00C25B75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no presta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61241E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material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C25B75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en atención a que el amparo es perjuicios a terceros, y lo debatido al interior del proceso es la presunta conducta dolosa o culposa de los presuntos responsables que a juicio de la Contraloría generó un detrimento patrimonial al Estado, amparo que no fue pactado en la póliza. </w:t>
      </w:r>
    </w:p>
    <w:p w14:paraId="7AF20E09" w14:textId="77777777" w:rsidR="00C25B75" w:rsidRDefault="00C25B75" w:rsidP="000A7E53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</w:p>
    <w:p w14:paraId="2F56C7D5" w14:textId="77220942" w:rsidR="00C25B75" w:rsidRDefault="00C25B75" w:rsidP="00C25B75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a Póliza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 Responsabilidad civil </w:t>
      </w:r>
      <w:r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8001473432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cuyo asegurado es el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Instituto de Desarrollo Urbano IDU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no presta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 temporal,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toda vez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que la póliza fue pactada bajo la modalidad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Claims Made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cuya vigencia correspondió desde el </w:t>
      </w:r>
      <w:r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06 de noviembre de 2013 al 10 de marzo de 2014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y los hechos que produjeron el presunto detrimento patrimonial, acaecieron el 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22 de abril de 2017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fecha de finalización del contrato</w:t>
      </w:r>
      <w:r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 obra </w:t>
      </w:r>
      <w:r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05 de 2014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lo que dicho hecho, e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stá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fuera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de la póliza en comento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. Además, la primera reclamación (auto de apertura) fue proferido hasta el </w:t>
      </w:r>
      <w:r w:rsidRPr="004D769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13 de febrero de 2020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 es decir, fuera de la vigencia, por lo que se observa que no se cumplieron los dos requisitos indispensables de la modalidad suscrita, hechos en vigencia o dentro del periodo de retroactividad pactado y primera reclamación al asegurador o asegurado en vigencia.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otro lado,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presta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 material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en atención a que el amparo es perjuicios a terceros, y lo debatido al interior del proceso es la presunta conducta dolosa o culposa de los presuntos responsables que a juicio de la Contraloría generó un detrimento patrimonial al Estado, amparo que no fue pactado en la póliza.  </w:t>
      </w:r>
    </w:p>
    <w:p w14:paraId="2F3CF7F1" w14:textId="77777777" w:rsidR="00C25B75" w:rsidRPr="0061241E" w:rsidRDefault="00C25B75" w:rsidP="00C25B75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val="es-MX" w:eastAsia="es-CO"/>
          <w14:ligatures w14:val="none"/>
        </w:rPr>
      </w:pPr>
    </w:p>
    <w:p w14:paraId="61763D46" w14:textId="1EFDAC13" w:rsidR="00C25B75" w:rsidRDefault="00C25B75" w:rsidP="00C25B75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Finalmente l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a Póliza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 Responsabilidad civil </w:t>
      </w:r>
      <w:r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8001473531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cuyo asegurado es el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Instituto de Desarrollo Urbano IDU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no presta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 temporal,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toda vez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que la póliza fue pactada bajo la modalidad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Claims Made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cuya vigencia correspondió desde el </w:t>
      </w:r>
      <w:r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13 de mayo de 2014 al 14 de mayo de 2015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y los hechos que produjeron el presunto detrimento patrimonial, acaecieron el 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22 de abril de 2017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fecha de finalización del contrato</w:t>
      </w:r>
      <w:r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 obra </w:t>
      </w:r>
      <w:r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05 de 2014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lo que dicho hecho, e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stá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fuera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de la póliza en comento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. Además, la primera reclamación (auto de apertura) fue proferido hasta el </w:t>
      </w:r>
      <w:r w:rsidRPr="004D769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13 de febrero de 2020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 es decir, fuera de la vigencia, por lo que se observa que no se cumplieron los dos requisitos indispensables de la modalidad suscrita, hechos en vigencia o dentro del periodo de retroactividad pactado y primera reclamación al asegurador o asegurado en vigencia.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otro lado,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presta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 material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en atención a que el amparo es perjuicios a terceros, y lo debatido al interior del proceso es la presunta conducta dolosa o culposa de los presuntos responsables que a juicio de la Contraloría generó un detrimento patrimonial al Estado, amparo que no fue pactado en la póliza.   </w:t>
      </w:r>
    </w:p>
    <w:p w14:paraId="3B39B162" w14:textId="77777777" w:rsidR="00C25B75" w:rsidRPr="00C25B75" w:rsidRDefault="00C25B75" w:rsidP="000A7E53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</w:p>
    <w:p w14:paraId="67DBEA14" w14:textId="77777777" w:rsidR="00C25B75" w:rsidRPr="0061241E" w:rsidRDefault="00C25B75" w:rsidP="000A7E53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val="es-MX" w:eastAsia="es-CO"/>
          <w14:ligatures w14:val="none"/>
        </w:rPr>
      </w:pPr>
    </w:p>
    <w:p w14:paraId="631E879C" w14:textId="5591D276" w:rsidR="000A7E53" w:rsidRDefault="000A7E53" w:rsidP="001F21AB">
      <w:pPr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lastRenderedPageBreak/>
        <w:t>Finalmente, respecto a la responsabilidad del afianzado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dependerá del análisis que realice la Contraloría de los elementos probatorios que obran en el expediente, confirmar o no la presunta materialización de un detrimento patrimonial al Estado, en especial de </w:t>
      </w:r>
      <w:r w:rsidR="00C25B75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las actas de suspensión y de modificación, mediante las cuales se expuso la necesidad de ajustes en los precios unitarios, el método constructivo implementado, la compra de tablestaca y suministro</w:t>
      </w:r>
      <w:r w:rsidR="00DF79C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transporte e hincado de tablaestaca, ello, por cuanto los reproches concretos del ente de control se enfocan en tales aspectos. </w:t>
      </w:r>
    </w:p>
    <w:p w14:paraId="72D638F3" w14:textId="77777777" w:rsidR="001F21AB" w:rsidRPr="00F969EE" w:rsidRDefault="001F21AB" w:rsidP="001F21AB">
      <w:pPr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</w:p>
    <w:p w14:paraId="25454AD5" w14:textId="77777777" w:rsidR="000A7E53" w:rsidRPr="00F969EE" w:rsidRDefault="000A7E53" w:rsidP="000A7E53">
      <w:pPr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Lo anterior, sin perjuicio del carácter contingente dentro del proceso de responsabilidad fiscal. </w:t>
      </w:r>
    </w:p>
    <w:p w14:paraId="6E549B14" w14:textId="77777777" w:rsidR="000A7E53" w:rsidRPr="00F969EE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3ECE35F7" w14:textId="32834718" w:rsidR="000A7E53" w:rsidRPr="00F969EE" w:rsidRDefault="000A7E53" w:rsidP="000A7E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bookmarkStart w:id="1" w:name="_Hlk137834647"/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Como liquidación del detrimento patrimonial se llegó a la suma </w:t>
      </w:r>
      <w:r w:rsidR="00D902E7" w:rsidRPr="00D902E7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$</w:t>
      </w:r>
      <w:r w:rsidR="00961527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1</w:t>
      </w:r>
      <w:r w:rsidR="00DF79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.500.000.000</w:t>
      </w:r>
      <w:r w:rsidRPr="000D174D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Este valor se calculó de la siguiente manera: </w:t>
      </w:r>
    </w:p>
    <w:p w14:paraId="07F92D8F" w14:textId="77777777" w:rsidR="000A7E53" w:rsidRPr="00F969EE" w:rsidRDefault="000A7E53" w:rsidP="000A7E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7D557ED8" w14:textId="65AD5F53" w:rsidR="000A7E53" w:rsidRPr="00D902E7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Del monto total del detrimento patrimonial, que para el caso es de $</w:t>
      </w:r>
      <w:r w:rsidR="00DF79C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8.917,293,217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DF79C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se aplicó el valor que indicó la Contraloría eventualmente afectaría en caso de un detrimento patrimonial al Estado, indicando que respecto a las pólizas de AXA COLPATRIA SEGUROS, se afectarían </w:t>
      </w:r>
      <w:r w:rsidR="00961527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el </w:t>
      </w:r>
      <w:r w:rsidR="00DF79C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amparos de </w:t>
      </w:r>
      <w:r w:rsidR="00DF79CB" w:rsidRPr="00DF79C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DIRECTORES Y ADM.SERVIDORES PUBLICOS-PERJUICIOS A TERCE</w:t>
      </w:r>
      <w:r w:rsidR="00DF79C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RCEROS por la suma total asegurada</w:t>
      </w:r>
      <w:r w:rsidR="00961527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la cual corresponde a </w:t>
      </w:r>
      <w:r w:rsidR="00DF79C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$1.500.000.000.</w:t>
      </w:r>
      <w:r w:rsidR="00D902E7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</w:p>
    <w:p w14:paraId="53F011A3" w14:textId="34992E36" w:rsidR="000A7E53" w:rsidRDefault="00D902E7" w:rsidP="000A7E53">
      <w:pP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bookmarkEnd w:id="1"/>
    </w:p>
    <w:sectPr w:rsidR="000A7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53"/>
    <w:rsid w:val="000A11E0"/>
    <w:rsid w:val="000A7E53"/>
    <w:rsid w:val="00112F2B"/>
    <w:rsid w:val="001E7F17"/>
    <w:rsid w:val="001F21AB"/>
    <w:rsid w:val="0044349E"/>
    <w:rsid w:val="00482CD7"/>
    <w:rsid w:val="004D7696"/>
    <w:rsid w:val="0054673B"/>
    <w:rsid w:val="0061241E"/>
    <w:rsid w:val="0064386F"/>
    <w:rsid w:val="00961527"/>
    <w:rsid w:val="009850C9"/>
    <w:rsid w:val="00B100AE"/>
    <w:rsid w:val="00C25B75"/>
    <w:rsid w:val="00CA506F"/>
    <w:rsid w:val="00D902E7"/>
    <w:rsid w:val="00D94030"/>
    <w:rsid w:val="00D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B2EA"/>
  <w15:chartTrackingRefBased/>
  <w15:docId w15:val="{DB8E2F6D-4658-44DE-B2B5-66A72C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53"/>
  </w:style>
  <w:style w:type="paragraph" w:styleId="Ttulo1">
    <w:name w:val="heading 1"/>
    <w:basedOn w:val="Normal"/>
    <w:next w:val="Normal"/>
    <w:link w:val="Ttulo1Car"/>
    <w:uiPriority w:val="9"/>
    <w:qFormat/>
    <w:rsid w:val="000A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E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E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E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E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E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E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7E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7E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7E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E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7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2</cp:revision>
  <dcterms:created xsi:type="dcterms:W3CDTF">2024-05-30T17:02:00Z</dcterms:created>
  <dcterms:modified xsi:type="dcterms:W3CDTF">2024-05-30T17:02:00Z</dcterms:modified>
</cp:coreProperties>
</file>