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3F4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JUZGADO CINCUENTA Y TRES CIVIL DEL CIRCUITO DE BOGOTÁ</w:t>
      </w:r>
    </w:p>
    <w:p w14:paraId="5EDE3382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  <w:t>Bogotá D.C., once (11) de marzo de dos mil veinticuatro (2024)</w:t>
      </w:r>
    </w:p>
    <w:p w14:paraId="0D6AE117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 xml:space="preserve">RADICADO: </w:t>
      </w:r>
      <w:r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  <w:t>11001 3103 0</w:t>
      </w: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 xml:space="preserve">15 </w:t>
      </w:r>
      <w:r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  <w:t>20</w:t>
      </w: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 xml:space="preserve">22 </w:t>
      </w:r>
      <w:r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  <w:t>00</w:t>
      </w: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 xml:space="preserve">051 </w:t>
      </w:r>
      <w:r>
        <w:rPr>
          <w:rFonts w:ascii="TwCenMT-Regular" w:hAnsi="TwCenMT-Regular" w:cs="TwCenMT-Regular"/>
          <w:color w:val="000000"/>
          <w:kern w:val="0"/>
          <w:sz w:val="26"/>
          <w:szCs w:val="26"/>
          <w:lang w:val="es-CO"/>
        </w:rPr>
        <w:t>00</w:t>
      </w:r>
    </w:p>
    <w:p w14:paraId="5849E12E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INADMITE REFORMA A LA DEMANDA</w:t>
      </w:r>
    </w:p>
    <w:p w14:paraId="2AA68958" w14:textId="77777777" w:rsidR="007237CA" w:rsidRDefault="007237CA" w:rsidP="00A83AD8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77BB39EC" w14:textId="77777777" w:rsidR="007237CA" w:rsidRDefault="007237CA" w:rsidP="00A83AD8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255099E6" w14:textId="00DC9E03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 conformidad con los artículos 82, 90 y 93 del Código General del Proceso y la Ley 2213</w:t>
      </w:r>
    </w:p>
    <w:p w14:paraId="71D52D4C" w14:textId="05CE857B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 2022, luego de revisada la reforma a la demanda radicada por la parte actora, el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Despacho resuelve:</w:t>
      </w:r>
    </w:p>
    <w:p w14:paraId="69AE497D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1A37AF7A" w14:textId="64AA05D3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Conferir el término de cinco (5) días para que la parte demandante subsane lo siguiente:</w:t>
      </w:r>
    </w:p>
    <w:p w14:paraId="46F046C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6684D396" w14:textId="0EC1A0B2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1. Precise las </w:t>
      </w:r>
      <w:proofErr w:type="gramStart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pretensiones quinta</w:t>
      </w:r>
      <w:proofErr w:type="gramEnd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principal, segunda subsidiaria, tercera subsidiaria en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el sentido de delimitar su objeto, por cuanto no se precisa con claridad si se persigue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declarar que la demandante se encontraba al día en sus pagos; y-o, algún tipo de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declaración sobre la cobertura final. En caso necesario </w:t>
      </w:r>
      <w:proofErr w:type="spellStart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desacumule</w:t>
      </w:r>
      <w:proofErr w:type="spellEnd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las nuevas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pretensiones.</w:t>
      </w:r>
    </w:p>
    <w:p w14:paraId="45F00091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45E9BF6A" w14:textId="05AD09A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2. Clarifique en debida forma los nuevos valores peticionados. En todo caso, se advierte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que en estas pretensiones sobre la liquidación y los intereses tendrá que precisar las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fechas de causación (</w:t>
      </w:r>
      <w:r>
        <w:rPr>
          <w:rFonts w:ascii="TwCenMT-Regular" w:hAnsi="TwCenMT-Regular" w:cs="TwCenMT-Regular"/>
          <w:color w:val="000000"/>
          <w:kern w:val="0"/>
          <w:lang w:val="es-CO"/>
        </w:rPr>
        <w:t>de inicio y fin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) de esos conceptos y los tipos de interés y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porcentajes en que se reclaman (</w:t>
      </w:r>
      <w:r>
        <w:rPr>
          <w:rFonts w:ascii="TwCenMT-Regular" w:hAnsi="TwCenMT-Regular" w:cs="TwCenMT-Regular"/>
          <w:color w:val="000000"/>
          <w:kern w:val="0"/>
          <w:lang w:val="es-CO"/>
        </w:rPr>
        <w:t>por ejemplo, intereses legales o comerciales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).</w:t>
      </w:r>
    </w:p>
    <w:p w14:paraId="3004958D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09DE55C8" w14:textId="3A2F9EBD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3. En concordancia con el numeral anterior, divida también la pretensión tercera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subsidiaria, pues allí pidió $60.000.000 por el amparo del desempleo y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$90.043.821 por intereses. Precise los lapsos de tiempo que tuvo en cuenta para ese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cálculo.</w:t>
      </w:r>
    </w:p>
    <w:p w14:paraId="41774CAB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4240D8DB" w14:textId="3270996C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4. Aclare, en la pretensión cuarta subsidiaria, a cuánto asciende el monto exigido por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disminución patrimonial, pues mencionó $200.000.000 y, en líneas posteriores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$394.502.887,49. En caso de que alguna de estas cifras sean los intereses, en orden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con los numerales anteriores, formule una nueva pretensión por exclusivamente los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réditos que exija, aclarando las fechas de causación y el porcentaje que tuvo en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cuenta.</w:t>
      </w:r>
    </w:p>
    <w:p w14:paraId="59B20984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4CCC1589" w14:textId="18C50734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5. Extraiga, de la pretensión cuarta subsidiaria, las circunstancias de hecho que relató,</w:t>
      </w:r>
    </w:p>
    <w:p w14:paraId="4C6309A7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 ser necesario inclúyalas en el acápite de hechos.</w:t>
      </w:r>
    </w:p>
    <w:p w14:paraId="63372175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0E762031" w14:textId="1E23EC90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6. Aclare el juramento estimatorio presentado conforme lo normado en el artículo 206</w:t>
      </w:r>
    </w:p>
    <w:p w14:paraId="5ABF9BB5" w14:textId="26187309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del Código General del Proceso, para tal efecto discrimine en forma razonada cada</w:t>
      </w:r>
      <w:r w:rsidR="007237CA"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concepto pretendido.</w:t>
      </w:r>
    </w:p>
    <w:p w14:paraId="3474752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03C548BF" w14:textId="550B7AD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7. Allegue un solo escrito unificando la demanda reformada con las correcciones aquí</w:t>
      </w:r>
    </w:p>
    <w:p w14:paraId="428480A2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enunciadas.</w:t>
      </w:r>
    </w:p>
    <w:p w14:paraId="4850361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</w:p>
    <w:p w14:paraId="704797FF" w14:textId="1301D4DF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8. Formule la reforma de la demanda integrándola en un solo escrito con la demanda</w:t>
      </w:r>
    </w:p>
    <w:p w14:paraId="059F06FA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inicial.</w:t>
      </w:r>
    </w:p>
    <w:p w14:paraId="40DB69AE" w14:textId="6354A402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8"/>
          <w:szCs w:val="8"/>
          <w:lang w:val="es-CO"/>
        </w:rPr>
      </w:pPr>
    </w:p>
    <w:p w14:paraId="39161E59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8"/>
          <w:szCs w:val="8"/>
          <w:lang w:val="es-CO"/>
        </w:rPr>
      </w:pPr>
    </w:p>
    <w:p w14:paraId="3C720F47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El escrito </w:t>
      </w:r>
      <w:proofErr w:type="spellStart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>subsanatorio</w:t>
      </w:r>
      <w:proofErr w:type="spellEnd"/>
      <w:r>
        <w:rPr>
          <w:rFonts w:ascii="TwCenMT-Regular" w:hAnsi="TwCenMT-Regular" w:cs="TwCenMT-Regular"/>
          <w:color w:val="000000"/>
          <w:kern w:val="0"/>
          <w:sz w:val="24"/>
          <w:szCs w:val="24"/>
          <w:lang w:val="es-CO"/>
        </w:rPr>
        <w:t xml:space="preserve"> y sus anexos deberán ser remitidos al correo electrónico</w:t>
      </w:r>
    </w:p>
    <w:p w14:paraId="7EC0F32D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563C2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color w:val="0563C2"/>
          <w:kern w:val="0"/>
          <w:sz w:val="24"/>
          <w:szCs w:val="24"/>
          <w:lang w:val="es-CO"/>
        </w:rPr>
        <w:t>j53cctobt@cendoj.ramajudicial.gov.co</w:t>
      </w:r>
    </w:p>
    <w:p w14:paraId="5F29286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</w:p>
    <w:p w14:paraId="4B3E0420" w14:textId="209715B9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NOTIFÍQUESE Y CÚMPLASE</w:t>
      </w:r>
    </w:p>
    <w:p w14:paraId="44ED293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</w:p>
    <w:p w14:paraId="2531265B" w14:textId="4900F614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GERMÁN EDUARDO RIVERO SALAZAR</w:t>
      </w:r>
    </w:p>
    <w:p w14:paraId="699925A8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JUEZ</w:t>
      </w:r>
    </w:p>
    <w:p w14:paraId="33468B81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6"/>
          <w:szCs w:val="26"/>
          <w:lang w:val="es-CO"/>
        </w:rPr>
        <w:t>(3)</w:t>
      </w:r>
    </w:p>
    <w:p w14:paraId="09063A4E" w14:textId="77777777" w:rsidR="007237CA" w:rsidRDefault="007237CA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0"/>
          <w:szCs w:val="20"/>
          <w:lang w:val="es-CO"/>
        </w:rPr>
      </w:pPr>
    </w:p>
    <w:p w14:paraId="346295CD" w14:textId="59541068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0"/>
          <w:szCs w:val="20"/>
          <w:lang w:val="es-CO"/>
        </w:rPr>
        <w:t>JUZGADO 53 CIVIL DEL CIRCUITO DE BOGOTÁ,</w:t>
      </w:r>
    </w:p>
    <w:p w14:paraId="4519AD51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color w:val="000000"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color w:val="000000"/>
          <w:kern w:val="0"/>
          <w:sz w:val="20"/>
          <w:szCs w:val="20"/>
          <w:lang w:val="es-CO"/>
        </w:rPr>
        <w:t>D.C.</w:t>
      </w:r>
    </w:p>
    <w:p w14:paraId="051AE016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Secretaría</w:t>
      </w:r>
    </w:p>
    <w:p w14:paraId="73134F6E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Notificación por Estado</w:t>
      </w:r>
    </w:p>
    <w:p w14:paraId="46DB2BF1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La providencia anterior se notificó por anotación en</w:t>
      </w:r>
    </w:p>
    <w:p w14:paraId="6131957D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estado No. 2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7 </w:t>
      </w: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fijado hoy 1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2 </w:t>
      </w: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de m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arzo </w:t>
      </w: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de 2024, a</w:t>
      </w:r>
    </w:p>
    <w:p w14:paraId="4640CD8D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la hora de las 8.00 A.M.</w:t>
      </w:r>
    </w:p>
    <w:p w14:paraId="3F1A7EB4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FrenchScriptMT" w:hAnsi="FrenchScriptMT" w:cs="FrenchScriptMT"/>
          <w:color w:val="000000"/>
          <w:kern w:val="0"/>
          <w:sz w:val="24"/>
          <w:szCs w:val="24"/>
          <w:lang w:val="es-CO"/>
        </w:rPr>
      </w:pPr>
      <w:r>
        <w:rPr>
          <w:rFonts w:ascii="FrenchScriptMT" w:hAnsi="FrenchScriptMT" w:cs="FrenchScriptMT"/>
          <w:color w:val="000000"/>
          <w:kern w:val="0"/>
          <w:sz w:val="24"/>
          <w:szCs w:val="24"/>
          <w:lang w:val="es-CO"/>
        </w:rPr>
        <w:t>Luz Ángela Sandoval Guzmán</w:t>
      </w:r>
    </w:p>
    <w:p w14:paraId="767B891E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color w:val="000000"/>
          <w:kern w:val="0"/>
          <w:sz w:val="20"/>
          <w:szCs w:val="20"/>
          <w:lang w:val="es-CO"/>
        </w:rPr>
        <w:t>Secretaria</w:t>
      </w:r>
    </w:p>
    <w:p w14:paraId="7C4839E8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79E27CC7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German Eduardo Rivero Salazar</w:t>
      </w:r>
    </w:p>
    <w:p w14:paraId="00D9D61C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</w:t>
      </w:r>
    </w:p>
    <w:p w14:paraId="3FF78E5E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171D8DB6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053</w:t>
      </w:r>
    </w:p>
    <w:p w14:paraId="63D22AB9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10BDF079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61BF0FB2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79CA1346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e55da83576f75c5ab14426c60f8ac83d05b1b3ffeba9b771aabbd4ee2ed23937</w:t>
      </w:r>
    </w:p>
    <w:p w14:paraId="58526F0C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11/03/2024 02:57:47 p. m.</w:t>
      </w:r>
    </w:p>
    <w:p w14:paraId="6D7AFAB2" w14:textId="77777777" w:rsidR="00A83AD8" w:rsidRDefault="00A83AD8" w:rsidP="0072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3D9C38E3" w14:textId="21F0689D" w:rsidR="00B9243D" w:rsidRDefault="00A83AD8" w:rsidP="007237CA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Script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D8"/>
    <w:rsid w:val="007237CA"/>
    <w:rsid w:val="00737460"/>
    <w:rsid w:val="00A83AD8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9F0"/>
  <w15:chartTrackingRefBased/>
  <w15:docId w15:val="{10F98367-5DBA-443D-9225-05C4139A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2024-03-12T22:59:00Z</dcterms:created>
  <dcterms:modified xsi:type="dcterms:W3CDTF">2024-03-12T23:01:00Z</dcterms:modified>
</cp:coreProperties>
</file>