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66144" w14:textId="77777777" w:rsidR="005C6F7D" w:rsidRDefault="005C6F7D" w:rsidP="00E368B5">
      <w:pPr>
        <w:autoSpaceDE w:val="0"/>
        <w:autoSpaceDN w:val="0"/>
        <w:adjustRightInd w:val="0"/>
        <w:spacing w:after="0" w:line="240" w:lineRule="auto"/>
        <w:jc w:val="center"/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</w:pPr>
      <w:r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  <w:t>JUZGADO CINCUENTA Y TRES CIVIL DEL CIRCUITO DE BOGOTÁ</w:t>
      </w:r>
    </w:p>
    <w:p w14:paraId="317E4944" w14:textId="77777777" w:rsidR="005C6F7D" w:rsidRDefault="005C6F7D" w:rsidP="00E368B5">
      <w:pPr>
        <w:autoSpaceDE w:val="0"/>
        <w:autoSpaceDN w:val="0"/>
        <w:adjustRightInd w:val="0"/>
        <w:spacing w:after="0" w:line="240" w:lineRule="auto"/>
        <w:jc w:val="center"/>
        <w:rPr>
          <w:rFonts w:ascii="TwCenMT-Regular" w:hAnsi="TwCenMT-Regular" w:cs="TwCenMT-Regular"/>
          <w:kern w:val="0"/>
          <w:sz w:val="26"/>
          <w:szCs w:val="26"/>
          <w:lang w:val="es-CO"/>
        </w:rPr>
      </w:pPr>
      <w:r>
        <w:rPr>
          <w:rFonts w:ascii="TwCenMT-Regular" w:hAnsi="TwCenMT-Regular" w:cs="TwCenMT-Regular"/>
          <w:kern w:val="0"/>
          <w:sz w:val="26"/>
          <w:szCs w:val="26"/>
          <w:lang w:val="es-CO"/>
        </w:rPr>
        <w:t>Bogotá D.C., once (11) de marzo de dos mil veinticuatro (2024)</w:t>
      </w:r>
    </w:p>
    <w:p w14:paraId="54CD8E31" w14:textId="77777777" w:rsidR="005C6F7D" w:rsidRDefault="005C6F7D" w:rsidP="00E368B5">
      <w:pPr>
        <w:autoSpaceDE w:val="0"/>
        <w:autoSpaceDN w:val="0"/>
        <w:adjustRightInd w:val="0"/>
        <w:spacing w:after="0" w:line="240" w:lineRule="auto"/>
        <w:jc w:val="center"/>
        <w:rPr>
          <w:rFonts w:ascii="TwCenMT-Regular" w:hAnsi="TwCenMT-Regular" w:cs="TwCenMT-Regular"/>
          <w:kern w:val="0"/>
          <w:sz w:val="26"/>
          <w:szCs w:val="26"/>
          <w:lang w:val="es-CO"/>
        </w:rPr>
      </w:pPr>
      <w:r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  <w:t xml:space="preserve">RADICADO: </w:t>
      </w:r>
      <w:r>
        <w:rPr>
          <w:rFonts w:ascii="TwCenMT-Regular" w:hAnsi="TwCenMT-Regular" w:cs="TwCenMT-Regular"/>
          <w:kern w:val="0"/>
          <w:sz w:val="26"/>
          <w:szCs w:val="26"/>
          <w:lang w:val="es-CO"/>
        </w:rPr>
        <w:t>11001 3103 0</w:t>
      </w:r>
      <w:r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  <w:t xml:space="preserve">15 </w:t>
      </w:r>
      <w:r>
        <w:rPr>
          <w:rFonts w:ascii="TwCenMT-Regular" w:hAnsi="TwCenMT-Regular" w:cs="TwCenMT-Regular"/>
          <w:kern w:val="0"/>
          <w:sz w:val="26"/>
          <w:szCs w:val="26"/>
          <w:lang w:val="es-CO"/>
        </w:rPr>
        <w:t>20</w:t>
      </w:r>
      <w:r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  <w:t xml:space="preserve">22 </w:t>
      </w:r>
      <w:r>
        <w:rPr>
          <w:rFonts w:ascii="TwCenMT-Regular" w:hAnsi="TwCenMT-Regular" w:cs="TwCenMT-Regular"/>
          <w:kern w:val="0"/>
          <w:sz w:val="26"/>
          <w:szCs w:val="26"/>
          <w:lang w:val="es-CO"/>
        </w:rPr>
        <w:t>00</w:t>
      </w:r>
      <w:r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  <w:t xml:space="preserve">051 </w:t>
      </w:r>
      <w:r>
        <w:rPr>
          <w:rFonts w:ascii="TwCenMT-Regular" w:hAnsi="TwCenMT-Regular" w:cs="TwCenMT-Regular"/>
          <w:kern w:val="0"/>
          <w:sz w:val="26"/>
          <w:szCs w:val="26"/>
          <w:lang w:val="es-CO"/>
        </w:rPr>
        <w:t>00</w:t>
      </w:r>
    </w:p>
    <w:p w14:paraId="6CD4DB7E" w14:textId="77777777" w:rsidR="005C6F7D" w:rsidRDefault="005C6F7D" w:rsidP="00E368B5">
      <w:pPr>
        <w:autoSpaceDE w:val="0"/>
        <w:autoSpaceDN w:val="0"/>
        <w:adjustRightInd w:val="0"/>
        <w:spacing w:after="0" w:line="240" w:lineRule="auto"/>
        <w:jc w:val="center"/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</w:pPr>
      <w:r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  <w:t>RECHAZA NULIDAD</w:t>
      </w:r>
    </w:p>
    <w:p w14:paraId="356109DC" w14:textId="77777777" w:rsidR="00E368B5" w:rsidRDefault="00E368B5" w:rsidP="005C6F7D">
      <w:pPr>
        <w:autoSpaceDE w:val="0"/>
        <w:autoSpaceDN w:val="0"/>
        <w:adjustRightInd w:val="0"/>
        <w:spacing w:after="0" w:line="240" w:lineRule="auto"/>
        <w:rPr>
          <w:rFonts w:ascii="TwCenMT-Regular" w:hAnsi="TwCenMT-Regular" w:cs="TwCenMT-Regular"/>
          <w:kern w:val="0"/>
          <w:sz w:val="24"/>
          <w:szCs w:val="24"/>
          <w:lang w:val="es-CO"/>
        </w:rPr>
      </w:pPr>
    </w:p>
    <w:p w14:paraId="0CA6FD22" w14:textId="77777777" w:rsidR="00E368B5" w:rsidRDefault="00E368B5" w:rsidP="00E368B5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</w:p>
    <w:p w14:paraId="3CF56DFB" w14:textId="66C41D5A" w:rsidR="005C6F7D" w:rsidRDefault="005C6F7D" w:rsidP="00E368B5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Comoquiera que en auto de esta misma fecha se tuvo por notificada a la demandada BBVA</w:t>
      </w:r>
    </w:p>
    <w:p w14:paraId="07A3A244" w14:textId="604D3B4C" w:rsidR="005C6F7D" w:rsidRDefault="005C6F7D" w:rsidP="00E368B5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Seguros de Vida Colombia S.A., en forma personal y conforme acta de notificación, por</w:t>
      </w:r>
      <w:r w:rsidR="00E368B5">
        <w:rPr>
          <w:rFonts w:ascii="TwCenMT-Regular" w:hAnsi="TwCenMT-Regular" w:cs="TwCenMT-Regular"/>
          <w:kern w:val="0"/>
          <w:sz w:val="24"/>
          <w:szCs w:val="24"/>
          <w:lang w:val="es-CO"/>
        </w:rPr>
        <w:t xml:space="preserve"> </w:t>
      </w: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sustracción de materia, no se tramitará el incidente de nulidad en cuanto no se tuvo en cuenta</w:t>
      </w:r>
      <w:r w:rsidR="00E368B5">
        <w:rPr>
          <w:rFonts w:ascii="TwCenMT-Regular" w:hAnsi="TwCenMT-Regular" w:cs="TwCenMT-Regular"/>
          <w:kern w:val="0"/>
          <w:sz w:val="24"/>
          <w:szCs w:val="24"/>
          <w:lang w:val="es-CO"/>
        </w:rPr>
        <w:t xml:space="preserve"> </w:t>
      </w: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la forma de notificaron alegada y en consecuencia no se encuentra irregularidad que</w:t>
      </w:r>
    </w:p>
    <w:p w14:paraId="2B94CA3E" w14:textId="77777777" w:rsidR="005C6F7D" w:rsidRDefault="005C6F7D" w:rsidP="00E368B5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resolver.</w:t>
      </w:r>
    </w:p>
    <w:p w14:paraId="34EFA9A3" w14:textId="77777777" w:rsidR="00E368B5" w:rsidRDefault="00E368B5" w:rsidP="00E368B5">
      <w:pPr>
        <w:autoSpaceDE w:val="0"/>
        <w:autoSpaceDN w:val="0"/>
        <w:adjustRightInd w:val="0"/>
        <w:spacing w:after="0" w:line="240" w:lineRule="auto"/>
        <w:jc w:val="both"/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</w:pPr>
    </w:p>
    <w:p w14:paraId="061F8791" w14:textId="0DE8BEE2" w:rsidR="005C6F7D" w:rsidRDefault="005C6F7D" w:rsidP="00E368B5">
      <w:pPr>
        <w:autoSpaceDE w:val="0"/>
        <w:autoSpaceDN w:val="0"/>
        <w:adjustRightInd w:val="0"/>
        <w:spacing w:after="0" w:line="240" w:lineRule="auto"/>
        <w:jc w:val="both"/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</w:pPr>
      <w:r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  <w:t>NOTIFÍQUESE Y CÚMPLASE</w:t>
      </w:r>
    </w:p>
    <w:p w14:paraId="149083BB" w14:textId="77777777" w:rsidR="00E368B5" w:rsidRDefault="00E368B5" w:rsidP="00E368B5">
      <w:pPr>
        <w:autoSpaceDE w:val="0"/>
        <w:autoSpaceDN w:val="0"/>
        <w:adjustRightInd w:val="0"/>
        <w:spacing w:after="0" w:line="240" w:lineRule="auto"/>
        <w:jc w:val="both"/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</w:pPr>
    </w:p>
    <w:p w14:paraId="02A06D64" w14:textId="694B9B45" w:rsidR="005C6F7D" w:rsidRDefault="005C6F7D" w:rsidP="00E368B5">
      <w:pPr>
        <w:autoSpaceDE w:val="0"/>
        <w:autoSpaceDN w:val="0"/>
        <w:adjustRightInd w:val="0"/>
        <w:spacing w:after="0" w:line="240" w:lineRule="auto"/>
        <w:jc w:val="both"/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</w:pPr>
      <w:r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  <w:t>GERMÁN EDUARDO RIVERO SALAZAR</w:t>
      </w:r>
    </w:p>
    <w:p w14:paraId="5F915324" w14:textId="77777777" w:rsidR="005C6F7D" w:rsidRDefault="005C6F7D" w:rsidP="00E368B5">
      <w:pPr>
        <w:autoSpaceDE w:val="0"/>
        <w:autoSpaceDN w:val="0"/>
        <w:adjustRightInd w:val="0"/>
        <w:spacing w:after="0" w:line="240" w:lineRule="auto"/>
        <w:jc w:val="both"/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</w:pPr>
      <w:r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  <w:t>JUEZ</w:t>
      </w:r>
    </w:p>
    <w:p w14:paraId="652F86A9" w14:textId="071A525C" w:rsidR="005C6F7D" w:rsidRDefault="005C6F7D" w:rsidP="00E368B5">
      <w:pPr>
        <w:autoSpaceDE w:val="0"/>
        <w:autoSpaceDN w:val="0"/>
        <w:adjustRightInd w:val="0"/>
        <w:spacing w:after="0" w:line="240" w:lineRule="auto"/>
        <w:jc w:val="both"/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</w:pPr>
      <w:r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  <w:t>(3)</w:t>
      </w:r>
    </w:p>
    <w:p w14:paraId="10CDFAED" w14:textId="77777777" w:rsidR="00E368B5" w:rsidRDefault="00E368B5" w:rsidP="00E368B5">
      <w:pPr>
        <w:autoSpaceDE w:val="0"/>
        <w:autoSpaceDN w:val="0"/>
        <w:adjustRightInd w:val="0"/>
        <w:spacing w:after="0" w:line="240" w:lineRule="auto"/>
        <w:jc w:val="both"/>
        <w:rPr>
          <w:rFonts w:ascii="TwCenMT-Bold" w:hAnsi="TwCenMT-Bold" w:cs="TwCenMT-Bold"/>
          <w:b/>
          <w:bCs/>
          <w:kern w:val="0"/>
          <w:sz w:val="20"/>
          <w:szCs w:val="20"/>
          <w:lang w:val="es-CO"/>
        </w:rPr>
      </w:pPr>
    </w:p>
    <w:p w14:paraId="6E864DC7" w14:textId="77777777" w:rsidR="00E368B5" w:rsidRDefault="00E368B5" w:rsidP="00E368B5">
      <w:pPr>
        <w:autoSpaceDE w:val="0"/>
        <w:autoSpaceDN w:val="0"/>
        <w:adjustRightInd w:val="0"/>
        <w:spacing w:after="0" w:line="240" w:lineRule="auto"/>
        <w:jc w:val="both"/>
        <w:rPr>
          <w:rFonts w:ascii="TwCenMT-Bold" w:hAnsi="TwCenMT-Bold" w:cs="TwCenMT-Bold"/>
          <w:b/>
          <w:bCs/>
          <w:kern w:val="0"/>
          <w:sz w:val="20"/>
          <w:szCs w:val="20"/>
          <w:lang w:val="es-CO"/>
        </w:rPr>
      </w:pPr>
    </w:p>
    <w:p w14:paraId="6B4DF887" w14:textId="49201304" w:rsidR="005C6F7D" w:rsidRDefault="005C6F7D" w:rsidP="00E368B5">
      <w:pPr>
        <w:autoSpaceDE w:val="0"/>
        <w:autoSpaceDN w:val="0"/>
        <w:adjustRightInd w:val="0"/>
        <w:spacing w:after="0" w:line="240" w:lineRule="auto"/>
        <w:jc w:val="both"/>
        <w:rPr>
          <w:rFonts w:ascii="TwCenMT-Bold" w:hAnsi="TwCenMT-Bold" w:cs="TwCenMT-Bold"/>
          <w:b/>
          <w:bCs/>
          <w:kern w:val="0"/>
          <w:sz w:val="20"/>
          <w:szCs w:val="20"/>
          <w:lang w:val="es-CO"/>
        </w:rPr>
      </w:pPr>
      <w:r>
        <w:rPr>
          <w:rFonts w:ascii="TwCenMT-Bold" w:hAnsi="TwCenMT-Bold" w:cs="TwCenMT-Bold"/>
          <w:b/>
          <w:bCs/>
          <w:kern w:val="0"/>
          <w:sz w:val="20"/>
          <w:szCs w:val="20"/>
          <w:lang w:val="es-CO"/>
        </w:rPr>
        <w:t>JUZGADO 53 CIVIL DEL CIRCUITO DE BOGOTÁ,</w:t>
      </w:r>
    </w:p>
    <w:p w14:paraId="29444BE7" w14:textId="77777777" w:rsidR="005C6F7D" w:rsidRDefault="005C6F7D" w:rsidP="00E368B5">
      <w:pPr>
        <w:autoSpaceDE w:val="0"/>
        <w:autoSpaceDN w:val="0"/>
        <w:adjustRightInd w:val="0"/>
        <w:spacing w:after="0" w:line="240" w:lineRule="auto"/>
        <w:jc w:val="both"/>
        <w:rPr>
          <w:rFonts w:ascii="TwCenMT-Bold" w:hAnsi="TwCenMT-Bold" w:cs="TwCenMT-Bold"/>
          <w:b/>
          <w:bCs/>
          <w:kern w:val="0"/>
          <w:sz w:val="20"/>
          <w:szCs w:val="20"/>
          <w:lang w:val="es-CO"/>
        </w:rPr>
      </w:pPr>
      <w:r>
        <w:rPr>
          <w:rFonts w:ascii="TwCenMT-Bold" w:hAnsi="TwCenMT-Bold" w:cs="TwCenMT-Bold"/>
          <w:b/>
          <w:bCs/>
          <w:kern w:val="0"/>
          <w:sz w:val="20"/>
          <w:szCs w:val="20"/>
          <w:lang w:val="es-CO"/>
        </w:rPr>
        <w:t>D.C.</w:t>
      </w:r>
    </w:p>
    <w:p w14:paraId="3C20B64F" w14:textId="77777777" w:rsidR="005C6F7D" w:rsidRDefault="005C6F7D" w:rsidP="00E368B5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0"/>
          <w:szCs w:val="20"/>
          <w:lang w:val="es-CO"/>
        </w:rPr>
      </w:pPr>
      <w:r>
        <w:rPr>
          <w:rFonts w:ascii="TwCenMT-Regular" w:hAnsi="TwCenMT-Regular" w:cs="TwCenMT-Regular"/>
          <w:kern w:val="0"/>
          <w:sz w:val="20"/>
          <w:szCs w:val="20"/>
          <w:lang w:val="es-CO"/>
        </w:rPr>
        <w:t>Secretaría</w:t>
      </w:r>
    </w:p>
    <w:p w14:paraId="4DFEC2ED" w14:textId="77777777" w:rsidR="005C6F7D" w:rsidRDefault="005C6F7D" w:rsidP="00E368B5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0"/>
          <w:szCs w:val="20"/>
          <w:lang w:val="es-CO"/>
        </w:rPr>
      </w:pPr>
      <w:r>
        <w:rPr>
          <w:rFonts w:ascii="TwCenMT-Regular" w:hAnsi="TwCenMT-Regular" w:cs="TwCenMT-Regular"/>
          <w:kern w:val="0"/>
          <w:sz w:val="20"/>
          <w:szCs w:val="20"/>
          <w:lang w:val="es-CO"/>
        </w:rPr>
        <w:t>Notificación por Estado</w:t>
      </w:r>
    </w:p>
    <w:p w14:paraId="4188C9DA" w14:textId="77777777" w:rsidR="005C6F7D" w:rsidRDefault="005C6F7D" w:rsidP="00E368B5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0"/>
          <w:szCs w:val="20"/>
          <w:lang w:val="es-CO"/>
        </w:rPr>
      </w:pPr>
      <w:r>
        <w:rPr>
          <w:rFonts w:ascii="TwCenMT-Regular" w:hAnsi="TwCenMT-Regular" w:cs="TwCenMT-Regular"/>
          <w:kern w:val="0"/>
          <w:sz w:val="20"/>
          <w:szCs w:val="20"/>
          <w:lang w:val="es-CO"/>
        </w:rPr>
        <w:t>La providencia anterior se notificó por anotación en</w:t>
      </w:r>
    </w:p>
    <w:p w14:paraId="37B47C2C" w14:textId="77777777" w:rsidR="005C6F7D" w:rsidRDefault="005C6F7D" w:rsidP="00E368B5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0"/>
          <w:szCs w:val="20"/>
          <w:lang w:val="es-CO"/>
        </w:rPr>
      </w:pPr>
      <w:r>
        <w:rPr>
          <w:rFonts w:ascii="TwCenMT-Regular" w:hAnsi="TwCenMT-Regular" w:cs="TwCenMT-Regular"/>
          <w:kern w:val="0"/>
          <w:sz w:val="20"/>
          <w:szCs w:val="20"/>
          <w:lang w:val="es-CO"/>
        </w:rPr>
        <w:t>estado No. 2</w:t>
      </w:r>
      <w:r>
        <w:rPr>
          <w:rFonts w:ascii="Calibri" w:hAnsi="Calibri" w:cs="Calibri"/>
          <w:kern w:val="0"/>
          <w:sz w:val="20"/>
          <w:szCs w:val="20"/>
          <w:lang w:val="es-CO"/>
        </w:rPr>
        <w:t xml:space="preserve">7 </w:t>
      </w:r>
      <w:r>
        <w:rPr>
          <w:rFonts w:ascii="TwCenMT-Regular" w:hAnsi="TwCenMT-Regular" w:cs="TwCenMT-Regular"/>
          <w:kern w:val="0"/>
          <w:sz w:val="20"/>
          <w:szCs w:val="20"/>
          <w:lang w:val="es-CO"/>
        </w:rPr>
        <w:t>fijado hoy 1</w:t>
      </w:r>
      <w:r>
        <w:rPr>
          <w:rFonts w:ascii="Calibri" w:hAnsi="Calibri" w:cs="Calibri"/>
          <w:kern w:val="0"/>
          <w:sz w:val="20"/>
          <w:szCs w:val="20"/>
          <w:lang w:val="es-CO"/>
        </w:rPr>
        <w:t xml:space="preserve">2 </w:t>
      </w:r>
      <w:r>
        <w:rPr>
          <w:rFonts w:ascii="TwCenMT-Regular" w:hAnsi="TwCenMT-Regular" w:cs="TwCenMT-Regular"/>
          <w:kern w:val="0"/>
          <w:sz w:val="20"/>
          <w:szCs w:val="20"/>
          <w:lang w:val="es-CO"/>
        </w:rPr>
        <w:t>de m</w:t>
      </w:r>
      <w:r>
        <w:rPr>
          <w:rFonts w:ascii="Calibri" w:hAnsi="Calibri" w:cs="Calibri"/>
          <w:kern w:val="0"/>
          <w:sz w:val="20"/>
          <w:szCs w:val="20"/>
          <w:lang w:val="es-CO"/>
        </w:rPr>
        <w:t xml:space="preserve">arzo </w:t>
      </w:r>
      <w:r>
        <w:rPr>
          <w:rFonts w:ascii="TwCenMT-Regular" w:hAnsi="TwCenMT-Regular" w:cs="TwCenMT-Regular"/>
          <w:kern w:val="0"/>
          <w:sz w:val="20"/>
          <w:szCs w:val="20"/>
          <w:lang w:val="es-CO"/>
        </w:rPr>
        <w:t>de 2024, a</w:t>
      </w:r>
    </w:p>
    <w:p w14:paraId="220C84DE" w14:textId="77777777" w:rsidR="005C6F7D" w:rsidRDefault="005C6F7D" w:rsidP="00E368B5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0"/>
          <w:szCs w:val="20"/>
          <w:lang w:val="es-CO"/>
        </w:rPr>
      </w:pPr>
      <w:r>
        <w:rPr>
          <w:rFonts w:ascii="TwCenMT-Regular" w:hAnsi="TwCenMT-Regular" w:cs="TwCenMT-Regular"/>
          <w:kern w:val="0"/>
          <w:sz w:val="20"/>
          <w:szCs w:val="20"/>
          <w:lang w:val="es-CO"/>
        </w:rPr>
        <w:t>la hora de las 8.00 A.M.</w:t>
      </w:r>
    </w:p>
    <w:p w14:paraId="55520D2B" w14:textId="77777777" w:rsidR="005C6F7D" w:rsidRDefault="005C6F7D" w:rsidP="00E368B5">
      <w:pPr>
        <w:autoSpaceDE w:val="0"/>
        <w:autoSpaceDN w:val="0"/>
        <w:adjustRightInd w:val="0"/>
        <w:spacing w:after="0" w:line="240" w:lineRule="auto"/>
        <w:jc w:val="both"/>
        <w:rPr>
          <w:rFonts w:ascii="FrenchScriptMT" w:hAnsi="FrenchScriptMT" w:cs="FrenchScriptMT"/>
          <w:kern w:val="0"/>
          <w:sz w:val="24"/>
          <w:szCs w:val="24"/>
          <w:lang w:val="es-CO"/>
        </w:rPr>
      </w:pPr>
      <w:r>
        <w:rPr>
          <w:rFonts w:ascii="FrenchScriptMT" w:hAnsi="FrenchScriptMT" w:cs="FrenchScriptMT"/>
          <w:kern w:val="0"/>
          <w:sz w:val="24"/>
          <w:szCs w:val="24"/>
          <w:lang w:val="es-CO"/>
        </w:rPr>
        <w:t>Luz Ángela Sandoval Guzmán</w:t>
      </w:r>
    </w:p>
    <w:p w14:paraId="47D00044" w14:textId="77777777" w:rsidR="005C6F7D" w:rsidRDefault="005C6F7D" w:rsidP="00E368B5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0"/>
          <w:szCs w:val="20"/>
          <w:lang w:val="es-CO"/>
        </w:rPr>
      </w:pPr>
      <w:r>
        <w:rPr>
          <w:rFonts w:ascii="TwCenMT-Regular" w:hAnsi="TwCenMT-Regular" w:cs="TwCenMT-Regular"/>
          <w:kern w:val="0"/>
          <w:sz w:val="20"/>
          <w:szCs w:val="20"/>
          <w:lang w:val="es-CO"/>
        </w:rPr>
        <w:t>Secretaria</w:t>
      </w:r>
    </w:p>
    <w:p w14:paraId="11A6FBC9" w14:textId="77777777" w:rsidR="005C6F7D" w:rsidRDefault="005C6F7D" w:rsidP="00E368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Firmado Por:</w:t>
      </w:r>
    </w:p>
    <w:p w14:paraId="4E1601A5" w14:textId="77777777" w:rsidR="005C6F7D" w:rsidRDefault="005C6F7D" w:rsidP="00E368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German Eduardo Rivero Salazar</w:t>
      </w:r>
    </w:p>
    <w:p w14:paraId="3D49F68D" w14:textId="77777777" w:rsidR="005C6F7D" w:rsidRDefault="005C6F7D" w:rsidP="00E368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Juez</w:t>
      </w:r>
    </w:p>
    <w:p w14:paraId="5984505E" w14:textId="77777777" w:rsidR="005C6F7D" w:rsidRDefault="005C6F7D" w:rsidP="00E368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Juzgado De Circuito</w:t>
      </w:r>
    </w:p>
    <w:p w14:paraId="440C1B7C" w14:textId="77777777" w:rsidR="005C6F7D" w:rsidRDefault="005C6F7D" w:rsidP="00E368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Civil 053</w:t>
      </w:r>
    </w:p>
    <w:p w14:paraId="1F874F1F" w14:textId="77777777" w:rsidR="005C6F7D" w:rsidRDefault="005C6F7D" w:rsidP="00E368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Bogotá, D.C. - Bogotá D.C.,</w:t>
      </w:r>
    </w:p>
    <w:p w14:paraId="24F32165" w14:textId="77777777" w:rsidR="005C6F7D" w:rsidRDefault="005C6F7D" w:rsidP="00E368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Este documento fue generado con firma electrónica y cuenta con plena validez jurídica,</w:t>
      </w:r>
    </w:p>
    <w:p w14:paraId="437584CE" w14:textId="1E54DDF6" w:rsidR="00B9243D" w:rsidRDefault="005C6F7D" w:rsidP="00E368B5">
      <w:pPr>
        <w:jc w:val="both"/>
      </w:pPr>
      <w:r>
        <w:rPr>
          <w:rFonts w:ascii="Arial" w:hAnsi="Arial" w:cs="Arial"/>
          <w:kern w:val="0"/>
          <w:sz w:val="16"/>
          <w:szCs w:val="16"/>
          <w:lang w:val="es-CO"/>
        </w:rPr>
        <w:t>conforme a lo dispuesto en la Ley 527/99 y el decreto reglamentario 2364/12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CenM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CenM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nchScript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7D"/>
    <w:rsid w:val="005C6F7D"/>
    <w:rsid w:val="00737460"/>
    <w:rsid w:val="00B9243D"/>
    <w:rsid w:val="00DA03DC"/>
    <w:rsid w:val="00E3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5E4F"/>
  <w15:chartTrackingRefBased/>
  <w15:docId w15:val="{E3A2F9A9-FDD3-47BE-AEF9-1CC084BD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2024-03-12T23:02:00Z</dcterms:created>
  <dcterms:modified xsi:type="dcterms:W3CDTF">2024-03-12T23:03:00Z</dcterms:modified>
</cp:coreProperties>
</file>