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11" w:rsidRDefault="000C1F11" w:rsidP="000C1F11">
      <w:pPr>
        <w:spacing w:after="0" w:line="276" w:lineRule="auto"/>
        <w:jc w:val="center"/>
        <w:rPr>
          <w:rFonts w:asciiTheme="majorHAnsi" w:hAnsiTheme="majorHAnsi" w:cstheme="majorHAnsi"/>
          <w:b/>
          <w:lang w:val="es-CO"/>
        </w:rPr>
      </w:pPr>
      <w:r>
        <w:rPr>
          <w:rFonts w:asciiTheme="majorHAnsi" w:hAnsiTheme="majorHAnsi" w:cstheme="majorHAnsi"/>
          <w:b/>
          <w:highlight w:val="yellow"/>
          <w:lang w:val="es-CO"/>
        </w:rPr>
        <w:t xml:space="preserve">ANÁLISIS </w:t>
      </w:r>
      <w:r w:rsidRPr="00485642">
        <w:rPr>
          <w:rFonts w:asciiTheme="majorHAnsi" w:hAnsiTheme="majorHAnsi" w:cstheme="majorHAnsi"/>
          <w:b/>
          <w:highlight w:val="yellow"/>
          <w:lang w:val="es-CO"/>
        </w:rPr>
        <w:t xml:space="preserve">CASO Y DESARROLLO </w:t>
      </w:r>
      <w:r w:rsidRPr="00770DB5">
        <w:rPr>
          <w:rFonts w:asciiTheme="majorHAnsi" w:hAnsiTheme="majorHAnsi" w:cstheme="majorHAnsi"/>
          <w:b/>
          <w:highlight w:val="yellow"/>
          <w:lang w:val="es-CO"/>
        </w:rPr>
        <w:t>AUDIENCIA</w:t>
      </w:r>
      <w:r w:rsidRPr="00770DB5">
        <w:rPr>
          <w:rFonts w:asciiTheme="majorHAnsi" w:hAnsiTheme="majorHAnsi" w:cstheme="majorHAnsi"/>
          <w:b/>
          <w:highlight w:val="yellow"/>
          <w:lang w:val="es-CO"/>
        </w:rPr>
        <w:t xml:space="preserve"> AMPARO INES PORTILLO ANGARITA Y OTROS vs. </w:t>
      </w:r>
      <w:r w:rsidRPr="00770DB5">
        <w:rPr>
          <w:rFonts w:asciiTheme="majorHAnsi" w:hAnsiTheme="majorHAnsi" w:cstheme="majorHAnsi"/>
          <w:b/>
          <w:highlight w:val="yellow"/>
          <w:lang w:val="es-CO"/>
        </w:rPr>
        <w:t>BBVA</w:t>
      </w:r>
      <w:r w:rsidRPr="00284ADF">
        <w:rPr>
          <w:rFonts w:asciiTheme="majorHAnsi" w:hAnsiTheme="majorHAnsi" w:cstheme="majorHAnsi"/>
          <w:b/>
          <w:lang w:val="es-CO"/>
        </w:rPr>
        <w:t xml:space="preserve"> SEGUROS DE VIDA COLOMBIA S.A.</w:t>
      </w:r>
    </w:p>
    <w:p w:rsidR="000C1F11" w:rsidRPr="00726728" w:rsidRDefault="000C1F11" w:rsidP="000C1F11">
      <w:pPr>
        <w:spacing w:after="0" w:line="276" w:lineRule="auto"/>
        <w:jc w:val="center"/>
        <w:rPr>
          <w:rFonts w:asciiTheme="majorHAnsi" w:hAnsiTheme="majorHAnsi" w:cstheme="majorHAnsi"/>
          <w:b/>
          <w:lang w:val="es-CO"/>
        </w:rPr>
      </w:pPr>
      <w:r>
        <w:rPr>
          <w:rFonts w:asciiTheme="majorHAnsi" w:hAnsiTheme="majorHAnsi" w:cstheme="majorHAnsi"/>
          <w:b/>
          <w:lang w:val="es-CO"/>
        </w:rPr>
        <w:t xml:space="preserve">PREPARACIÓN AUDIENCIA </w:t>
      </w:r>
      <w:r>
        <w:rPr>
          <w:rFonts w:asciiTheme="majorHAnsi" w:hAnsiTheme="majorHAnsi" w:cstheme="majorHAnsi"/>
          <w:b/>
          <w:lang w:val="es-CO"/>
        </w:rPr>
        <w:t>22 DE OCTUBRE DEL 2024</w:t>
      </w:r>
    </w:p>
    <w:p w:rsidR="000C1F11" w:rsidRPr="00726728" w:rsidRDefault="000C1F11" w:rsidP="000C1F11">
      <w:pPr>
        <w:spacing w:after="0" w:line="276" w:lineRule="auto"/>
        <w:jc w:val="center"/>
        <w:rPr>
          <w:rFonts w:asciiTheme="majorHAnsi" w:hAnsiTheme="majorHAnsi" w:cstheme="majorHAnsi"/>
          <w:b/>
          <w:lang w:val="es-CO"/>
        </w:rPr>
      </w:pPr>
      <w:r w:rsidRPr="00726728">
        <w:rPr>
          <w:rFonts w:asciiTheme="majorHAnsi" w:hAnsiTheme="majorHAnsi" w:cstheme="majorHAnsi"/>
          <w:b/>
          <w:lang w:val="es-CO"/>
        </w:rPr>
        <w:t xml:space="preserve">RAD: </w:t>
      </w:r>
      <w:r w:rsidRPr="000C1F11">
        <w:rPr>
          <w:rFonts w:asciiTheme="majorHAnsi" w:hAnsiTheme="majorHAnsi" w:cstheme="majorHAnsi"/>
          <w:b/>
          <w:lang w:val="es-CO"/>
        </w:rPr>
        <w:t>54 498 31 53 002 2022 00110 00</w:t>
      </w:r>
    </w:p>
    <w:p w:rsidR="000C1F11" w:rsidRPr="00726728" w:rsidRDefault="000C1F11" w:rsidP="000C1F11">
      <w:pPr>
        <w:spacing w:after="0" w:line="276" w:lineRule="auto"/>
        <w:jc w:val="center"/>
        <w:rPr>
          <w:rFonts w:asciiTheme="majorHAnsi" w:hAnsiTheme="majorHAnsi" w:cstheme="majorHAnsi"/>
          <w:b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0"/>
        <w:gridCol w:w="5528"/>
      </w:tblGrid>
      <w:tr w:rsidR="000C1F11" w:rsidRPr="00726728" w:rsidTr="000B0BED">
        <w:trPr>
          <w:trHeight w:val="719"/>
        </w:trPr>
        <w:tc>
          <w:tcPr>
            <w:tcW w:w="3681" w:type="dxa"/>
            <w:shd w:val="clear" w:color="auto" w:fill="auto"/>
          </w:tcPr>
          <w:p w:rsidR="000C1F11" w:rsidRPr="00726728" w:rsidRDefault="000C1F11" w:rsidP="000B0BED">
            <w:pPr>
              <w:spacing w:line="276" w:lineRule="auto"/>
              <w:rPr>
                <w:rFonts w:asciiTheme="majorHAnsi" w:hAnsiTheme="majorHAnsi" w:cstheme="majorHAnsi"/>
                <w:b/>
                <w:lang w:val="es-CO"/>
              </w:rPr>
            </w:pPr>
            <w:r w:rsidRPr="00726728">
              <w:rPr>
                <w:rFonts w:asciiTheme="majorHAnsi" w:hAnsiTheme="majorHAnsi" w:cstheme="majorHAnsi"/>
                <w:b/>
                <w:lang w:val="es-CO"/>
              </w:rPr>
              <w:t>DESPACHO:</w:t>
            </w:r>
          </w:p>
          <w:p w:rsidR="000C1F11" w:rsidRPr="00726728" w:rsidRDefault="000C1F11" w:rsidP="000B0BED">
            <w:pPr>
              <w:spacing w:line="276" w:lineRule="auto"/>
              <w:rPr>
                <w:rFonts w:asciiTheme="majorHAnsi" w:hAnsiTheme="majorHAnsi" w:cstheme="majorHAnsi"/>
                <w:b/>
                <w:lang w:val="es-CO"/>
              </w:rPr>
            </w:pPr>
            <w:r w:rsidRPr="00726728">
              <w:rPr>
                <w:rFonts w:asciiTheme="majorHAnsi" w:hAnsiTheme="majorHAnsi" w:cstheme="majorHAnsi"/>
                <w:b/>
                <w:lang w:val="es-CO"/>
              </w:rPr>
              <w:t>ASUNTO:</w:t>
            </w:r>
          </w:p>
        </w:tc>
        <w:tc>
          <w:tcPr>
            <w:tcW w:w="6389" w:type="dxa"/>
          </w:tcPr>
          <w:p w:rsidR="000C1F11" w:rsidRDefault="000C1F11" w:rsidP="000B0BED">
            <w:p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0C1F11">
              <w:rPr>
                <w:rFonts w:asciiTheme="majorHAnsi" w:hAnsiTheme="majorHAnsi" w:cstheme="majorHAnsi"/>
                <w:lang w:val="es-CO"/>
              </w:rPr>
              <w:t>JUZGADO SEGUNDO CIVIL DEL CIRCUITO DE OCAÑA</w:t>
            </w:r>
          </w:p>
          <w:p w:rsidR="000C1F11" w:rsidRPr="00726728" w:rsidRDefault="000C1F11" w:rsidP="000B0BED">
            <w:p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0C1F11">
              <w:rPr>
                <w:rFonts w:asciiTheme="majorHAnsi" w:hAnsiTheme="majorHAnsi" w:cstheme="majorHAnsi"/>
                <w:lang w:val="es-CO"/>
              </w:rPr>
              <w:t>RESPONSABILIDAD CIVIL CONTRACTUAL</w:t>
            </w:r>
          </w:p>
        </w:tc>
      </w:tr>
      <w:tr w:rsidR="000C1F11" w:rsidRPr="00726728" w:rsidTr="000B0BED">
        <w:trPr>
          <w:trHeight w:val="419"/>
        </w:trPr>
        <w:tc>
          <w:tcPr>
            <w:tcW w:w="3681" w:type="dxa"/>
          </w:tcPr>
          <w:p w:rsidR="000C1F11" w:rsidRPr="00726728" w:rsidRDefault="000C1F11" w:rsidP="000B0B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val="es-CO"/>
              </w:rPr>
            </w:pPr>
            <w:r w:rsidRPr="00726728">
              <w:rPr>
                <w:rFonts w:asciiTheme="majorHAnsi" w:hAnsiTheme="majorHAnsi" w:cstheme="majorHAnsi"/>
                <w:b/>
                <w:lang w:val="es-CO"/>
              </w:rPr>
              <w:t>DEMANDANTE</w:t>
            </w:r>
            <w:r>
              <w:rPr>
                <w:rFonts w:asciiTheme="majorHAnsi" w:hAnsiTheme="majorHAnsi" w:cstheme="majorHAnsi"/>
                <w:b/>
                <w:lang w:val="es-CO"/>
              </w:rPr>
              <w:t>S</w:t>
            </w:r>
            <w:r w:rsidRPr="00726728">
              <w:rPr>
                <w:rFonts w:asciiTheme="majorHAnsi" w:hAnsiTheme="majorHAnsi" w:cstheme="majorHAnsi"/>
                <w:b/>
                <w:lang w:val="es-CO"/>
              </w:rPr>
              <w:t>:</w:t>
            </w:r>
          </w:p>
        </w:tc>
        <w:tc>
          <w:tcPr>
            <w:tcW w:w="6389" w:type="dxa"/>
          </w:tcPr>
          <w:p w:rsidR="000C1F11" w:rsidRDefault="000C1F11" w:rsidP="000C1F1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0C1F11">
              <w:rPr>
                <w:rFonts w:asciiTheme="majorHAnsi" w:hAnsiTheme="majorHAnsi" w:cstheme="majorHAnsi"/>
                <w:lang w:val="es-CO"/>
              </w:rPr>
              <w:t>AMPARO INES PO</w:t>
            </w:r>
            <w:r>
              <w:rPr>
                <w:rFonts w:asciiTheme="majorHAnsi" w:hAnsiTheme="majorHAnsi" w:cstheme="majorHAnsi"/>
                <w:lang w:val="es-CO"/>
              </w:rPr>
              <w:t>RTILLO ANGARITA</w:t>
            </w:r>
            <w:r w:rsidR="00B451F0">
              <w:rPr>
                <w:rFonts w:asciiTheme="majorHAnsi" w:hAnsiTheme="majorHAnsi" w:cstheme="majorHAnsi"/>
                <w:lang w:val="es-CO"/>
              </w:rPr>
              <w:t xml:space="preserve"> (esposa asegurado)</w:t>
            </w:r>
          </w:p>
          <w:p w:rsidR="000C1F11" w:rsidRDefault="000C1F11" w:rsidP="003403BD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0C1F11">
              <w:rPr>
                <w:rFonts w:asciiTheme="majorHAnsi" w:hAnsiTheme="majorHAnsi" w:cstheme="majorHAnsi"/>
                <w:lang w:val="es-CO"/>
              </w:rPr>
              <w:t xml:space="preserve">MARIA ALEJANDRA QUINTANA PORTILLO </w:t>
            </w:r>
            <w:r w:rsidR="00B451F0">
              <w:rPr>
                <w:rFonts w:asciiTheme="majorHAnsi" w:hAnsiTheme="majorHAnsi" w:cstheme="majorHAnsi"/>
                <w:lang w:val="es-CO"/>
              </w:rPr>
              <w:t>(hija asegurado)</w:t>
            </w:r>
          </w:p>
          <w:p w:rsidR="000C1F11" w:rsidRDefault="000C1F11" w:rsidP="000C1F11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M</w:t>
            </w:r>
            <w:r w:rsidRPr="000C1F11">
              <w:rPr>
                <w:rFonts w:asciiTheme="majorHAnsi" w:hAnsiTheme="majorHAnsi" w:cstheme="majorHAnsi"/>
                <w:lang w:val="es-CO"/>
              </w:rPr>
              <w:t>ARIA VALENTINA QUINTANA PORTILLO</w:t>
            </w:r>
            <w:r w:rsidR="00B451F0">
              <w:rPr>
                <w:rFonts w:asciiTheme="majorHAnsi" w:hAnsiTheme="majorHAnsi" w:cstheme="majorHAnsi"/>
                <w:lang w:val="es-CO"/>
              </w:rPr>
              <w:t xml:space="preserve"> (hija asegurado)</w:t>
            </w:r>
          </w:p>
          <w:p w:rsidR="005954AF" w:rsidRDefault="005954AF" w:rsidP="000C1F11">
            <w:p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</w:p>
          <w:p w:rsidR="000C1F11" w:rsidRPr="000C1F11" w:rsidRDefault="000C1F11" w:rsidP="00F56A59">
            <w:p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 xml:space="preserve">AP. </w:t>
            </w:r>
            <w:r w:rsidRPr="000C1F11">
              <w:rPr>
                <w:rFonts w:asciiTheme="majorHAnsi" w:hAnsiTheme="majorHAnsi" w:cstheme="majorHAnsi"/>
                <w:lang w:val="es-CO"/>
              </w:rPr>
              <w:t>MARIA FERNANDA SALCEDO MONSALVE</w:t>
            </w:r>
            <w:r>
              <w:rPr>
                <w:rFonts w:asciiTheme="majorHAnsi" w:hAnsiTheme="majorHAnsi" w:cstheme="majorHAnsi"/>
                <w:lang w:val="es-CO"/>
              </w:rPr>
              <w:t xml:space="preserve"> (</w:t>
            </w:r>
            <w:r w:rsidRPr="000C1F11">
              <w:rPr>
                <w:rFonts w:asciiTheme="majorHAnsi" w:hAnsiTheme="majorHAnsi" w:cstheme="majorHAnsi"/>
                <w:lang w:val="es-CO"/>
              </w:rPr>
              <w:t>3219611595</w:t>
            </w:r>
            <w:r w:rsidR="00F56A59">
              <w:rPr>
                <w:rFonts w:asciiTheme="majorHAnsi" w:hAnsiTheme="majorHAnsi" w:cstheme="majorHAnsi"/>
                <w:lang w:val="es-CO"/>
              </w:rPr>
              <w:t>)</w:t>
            </w:r>
          </w:p>
        </w:tc>
      </w:tr>
      <w:tr w:rsidR="005954AF" w:rsidRPr="00726728" w:rsidTr="000B0BED">
        <w:trPr>
          <w:trHeight w:val="419"/>
        </w:trPr>
        <w:tc>
          <w:tcPr>
            <w:tcW w:w="3681" w:type="dxa"/>
          </w:tcPr>
          <w:p w:rsidR="005954AF" w:rsidRPr="00726728" w:rsidRDefault="005954AF" w:rsidP="000B0B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val="es-CO"/>
              </w:rPr>
            </w:pPr>
            <w:r>
              <w:rPr>
                <w:rFonts w:asciiTheme="majorHAnsi" w:hAnsiTheme="majorHAnsi" w:cstheme="majorHAnsi"/>
                <w:b/>
                <w:lang w:val="es-CO"/>
              </w:rPr>
              <w:t>VÍCTIMA DIRECTA:</w:t>
            </w:r>
          </w:p>
        </w:tc>
        <w:tc>
          <w:tcPr>
            <w:tcW w:w="6389" w:type="dxa"/>
          </w:tcPr>
          <w:p w:rsidR="005954AF" w:rsidRPr="005954AF" w:rsidRDefault="005954AF" w:rsidP="005954AF">
            <w:p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5954AF">
              <w:rPr>
                <w:rFonts w:asciiTheme="majorHAnsi" w:hAnsiTheme="majorHAnsi" w:cstheme="majorHAnsi"/>
                <w:lang w:val="es-CO"/>
              </w:rPr>
              <w:t>SAID QUINTANA</w:t>
            </w:r>
          </w:p>
        </w:tc>
      </w:tr>
      <w:tr w:rsidR="000C1F11" w:rsidRPr="00726728" w:rsidTr="000B0BED">
        <w:tc>
          <w:tcPr>
            <w:tcW w:w="3681" w:type="dxa"/>
          </w:tcPr>
          <w:p w:rsidR="000C1F11" w:rsidRPr="00726728" w:rsidRDefault="000C1F11" w:rsidP="000B0B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val="es-CO"/>
              </w:rPr>
            </w:pPr>
            <w:r w:rsidRPr="00726728">
              <w:rPr>
                <w:rFonts w:asciiTheme="majorHAnsi" w:hAnsiTheme="majorHAnsi" w:cstheme="majorHAnsi"/>
                <w:b/>
                <w:lang w:val="es-CO"/>
              </w:rPr>
              <w:t>DEMANDADO</w:t>
            </w:r>
            <w:r>
              <w:rPr>
                <w:rFonts w:asciiTheme="majorHAnsi" w:hAnsiTheme="majorHAnsi" w:cstheme="majorHAnsi"/>
                <w:b/>
                <w:lang w:val="es-CO"/>
              </w:rPr>
              <w:t>S</w:t>
            </w:r>
            <w:r w:rsidRPr="00726728">
              <w:rPr>
                <w:rFonts w:asciiTheme="majorHAnsi" w:hAnsiTheme="majorHAnsi" w:cstheme="majorHAnsi"/>
                <w:b/>
                <w:lang w:val="es-CO"/>
              </w:rPr>
              <w:t>:</w:t>
            </w:r>
          </w:p>
        </w:tc>
        <w:tc>
          <w:tcPr>
            <w:tcW w:w="6389" w:type="dxa"/>
          </w:tcPr>
          <w:p w:rsidR="005954AF" w:rsidRPr="005954AF" w:rsidRDefault="000C1F11" w:rsidP="00FB408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5954AF">
              <w:rPr>
                <w:rFonts w:asciiTheme="majorHAnsi" w:hAnsiTheme="majorHAnsi" w:cstheme="majorHAnsi"/>
                <w:lang w:val="es-CO"/>
              </w:rPr>
              <w:t xml:space="preserve">BBVA SEGUROS DE VIDA COLOMBIA S.A. “BBVA SEGUROS DE VIDA” </w:t>
            </w:r>
          </w:p>
          <w:p w:rsidR="000C1F11" w:rsidRPr="005954AF" w:rsidRDefault="000C1F11" w:rsidP="005954AF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5954AF">
              <w:rPr>
                <w:rFonts w:asciiTheme="majorHAnsi" w:hAnsiTheme="majorHAnsi" w:cstheme="majorHAnsi"/>
                <w:lang w:val="es-CO"/>
              </w:rPr>
              <w:t>BANCO VILBAO VIZCAYA ARGENTARIA COLOMBIA S.A. “BBVA COLOMBIA”</w:t>
            </w:r>
          </w:p>
        </w:tc>
      </w:tr>
      <w:tr w:rsidR="000C1F11" w:rsidRPr="00726728" w:rsidTr="000B0BED">
        <w:tc>
          <w:tcPr>
            <w:tcW w:w="3681" w:type="dxa"/>
          </w:tcPr>
          <w:p w:rsidR="000C1F11" w:rsidRPr="00726728" w:rsidRDefault="000C1F11" w:rsidP="000B0B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val="es-CO"/>
              </w:rPr>
            </w:pPr>
            <w:r w:rsidRPr="00726728">
              <w:rPr>
                <w:rFonts w:asciiTheme="majorHAnsi" w:hAnsiTheme="majorHAnsi" w:cstheme="majorHAnsi"/>
                <w:b/>
                <w:lang w:val="es-CO"/>
              </w:rPr>
              <w:t>VINCULACIÓN:</w:t>
            </w:r>
          </w:p>
        </w:tc>
        <w:tc>
          <w:tcPr>
            <w:tcW w:w="6389" w:type="dxa"/>
          </w:tcPr>
          <w:p w:rsidR="000C1F11" w:rsidRPr="00726728" w:rsidRDefault="000C1F11" w:rsidP="000B0BED">
            <w:p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726728">
              <w:rPr>
                <w:rFonts w:asciiTheme="majorHAnsi" w:hAnsiTheme="majorHAnsi" w:cstheme="majorHAnsi"/>
                <w:lang w:val="es-CO"/>
              </w:rPr>
              <w:t xml:space="preserve">Demanda directa </w:t>
            </w:r>
          </w:p>
        </w:tc>
      </w:tr>
      <w:tr w:rsidR="000C1F11" w:rsidRPr="00726728" w:rsidTr="000B0BED">
        <w:tc>
          <w:tcPr>
            <w:tcW w:w="3681" w:type="dxa"/>
          </w:tcPr>
          <w:p w:rsidR="000C1F11" w:rsidRPr="00726728" w:rsidRDefault="000C1F11" w:rsidP="000B0B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val="es-CO"/>
              </w:rPr>
            </w:pPr>
            <w:r w:rsidRPr="00726728">
              <w:rPr>
                <w:rFonts w:asciiTheme="majorHAnsi" w:hAnsiTheme="majorHAnsi" w:cstheme="majorHAnsi"/>
                <w:b/>
                <w:lang w:val="es-CO"/>
              </w:rPr>
              <w:t>FUNDAMENTO DE LA DEMANDA:</w:t>
            </w:r>
          </w:p>
        </w:tc>
        <w:tc>
          <w:tcPr>
            <w:tcW w:w="6389" w:type="dxa"/>
          </w:tcPr>
          <w:p w:rsidR="000C1F11" w:rsidRPr="00726728" w:rsidRDefault="000C1F11" w:rsidP="000B0BED">
            <w:pPr>
              <w:spacing w:line="276" w:lineRule="auto"/>
              <w:jc w:val="both"/>
              <w:rPr>
                <w:rFonts w:asciiTheme="majorHAnsi" w:hAnsiTheme="majorHAnsi" w:cstheme="majorHAnsi"/>
                <w:lang w:val="es-CO"/>
              </w:rPr>
            </w:pPr>
            <w:r w:rsidRPr="00726728">
              <w:rPr>
                <w:rFonts w:asciiTheme="majorHAnsi" w:hAnsiTheme="majorHAnsi" w:cstheme="majorHAnsi"/>
                <w:lang w:val="es-CO"/>
              </w:rPr>
              <w:t xml:space="preserve">Incumplimiento </w:t>
            </w:r>
            <w:r>
              <w:rPr>
                <w:rFonts w:asciiTheme="majorHAnsi" w:hAnsiTheme="majorHAnsi" w:cstheme="majorHAnsi"/>
                <w:lang w:val="es-CO"/>
              </w:rPr>
              <w:t xml:space="preserve">contractual </w:t>
            </w:r>
            <w:r w:rsidR="004B60AA">
              <w:rPr>
                <w:rFonts w:asciiTheme="majorHAnsi" w:hAnsiTheme="majorHAnsi" w:cstheme="majorHAnsi"/>
                <w:lang w:val="es-CO"/>
              </w:rPr>
              <w:t xml:space="preserve">– póliza de seguro de vida </w:t>
            </w:r>
          </w:p>
        </w:tc>
      </w:tr>
    </w:tbl>
    <w:p w:rsidR="000C1F11" w:rsidRPr="00726728" w:rsidRDefault="000C1F11" w:rsidP="000C1F11">
      <w:pPr>
        <w:spacing w:after="0" w:line="276" w:lineRule="auto"/>
        <w:jc w:val="both"/>
        <w:rPr>
          <w:rFonts w:asciiTheme="majorHAnsi" w:hAnsiTheme="majorHAnsi" w:cstheme="majorHAnsi"/>
          <w:b/>
          <w:lang w:val="es-CO"/>
        </w:rPr>
      </w:pPr>
    </w:p>
    <w:p w:rsidR="000C1F11" w:rsidRPr="00726728" w:rsidRDefault="000C1F11" w:rsidP="000C1F11">
      <w:pPr>
        <w:spacing w:after="0" w:line="276" w:lineRule="auto"/>
        <w:jc w:val="both"/>
        <w:rPr>
          <w:rFonts w:asciiTheme="majorHAnsi" w:hAnsiTheme="majorHAnsi" w:cstheme="majorHAnsi"/>
          <w:b/>
          <w:lang w:val="es-CO"/>
        </w:rPr>
      </w:pPr>
    </w:p>
    <w:p w:rsidR="000C1F11" w:rsidRPr="00726728" w:rsidRDefault="000C1F11" w:rsidP="000C1F1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  <w:r w:rsidRPr="00726728">
        <w:rPr>
          <w:rFonts w:asciiTheme="majorHAnsi" w:hAnsiTheme="majorHAnsi" w:cstheme="majorHAnsi"/>
          <w:b/>
          <w:highlight w:val="yellow"/>
          <w:lang w:val="es-CO"/>
        </w:rPr>
        <w:t>HECHOS DE LA DEMANDA:</w:t>
      </w:r>
    </w:p>
    <w:p w:rsidR="000C1F11" w:rsidRPr="00726728" w:rsidRDefault="000C1F11" w:rsidP="000C1F11">
      <w:pPr>
        <w:pStyle w:val="Prrafodelista"/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</w:p>
    <w:p w:rsidR="000C1F11" w:rsidRDefault="00A40EBA" w:rsidP="00520317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 w:rsidRPr="00A40EBA">
        <w:rPr>
          <w:rFonts w:asciiTheme="majorHAnsi" w:hAnsiTheme="majorHAnsi" w:cstheme="majorHAnsi"/>
          <w:lang w:val="es-CO"/>
        </w:rPr>
        <w:t xml:space="preserve">De conformidad con los hechos de la demanda el señor Said Quintana adquirió un crédito </w:t>
      </w:r>
      <w:r w:rsidR="001E6113" w:rsidRPr="001E6113">
        <w:rPr>
          <w:rFonts w:asciiTheme="majorHAnsi" w:hAnsiTheme="majorHAnsi" w:cstheme="majorHAnsi"/>
          <w:lang w:val="es-CO"/>
        </w:rPr>
        <w:t>No 001308659600031314</w:t>
      </w:r>
      <w:r w:rsidR="001E6113">
        <w:rPr>
          <w:rFonts w:asciiTheme="majorHAnsi" w:hAnsiTheme="majorHAnsi" w:cstheme="majorHAnsi"/>
          <w:lang w:val="es-CO"/>
        </w:rPr>
        <w:t xml:space="preserve"> </w:t>
      </w:r>
      <w:r w:rsidRPr="00A40EBA">
        <w:rPr>
          <w:rFonts w:asciiTheme="majorHAnsi" w:hAnsiTheme="majorHAnsi" w:cstheme="majorHAnsi"/>
          <w:lang w:val="es-CO"/>
        </w:rPr>
        <w:t>de vehículo con el banco BBVA, el cual fue amparado bajo una póliza de seguro de vida grupo deudores</w:t>
      </w:r>
      <w:r w:rsidR="00520317">
        <w:rPr>
          <w:rFonts w:asciiTheme="majorHAnsi" w:hAnsiTheme="majorHAnsi" w:cstheme="majorHAnsi"/>
          <w:lang w:val="es-CO"/>
        </w:rPr>
        <w:t xml:space="preserve"> No 02 227 0000048757,</w:t>
      </w:r>
      <w:r w:rsidR="00520317" w:rsidRPr="00520317">
        <w:rPr>
          <w:rFonts w:asciiTheme="majorHAnsi" w:hAnsiTheme="majorHAnsi" w:cstheme="majorHAnsi"/>
          <w:lang w:val="es-CO"/>
        </w:rPr>
        <w:t xml:space="preserve"> Certificado No 0013-0865-32-4000357750</w:t>
      </w:r>
      <w:r w:rsidR="00520317">
        <w:rPr>
          <w:rFonts w:asciiTheme="majorHAnsi" w:hAnsiTheme="majorHAnsi" w:cstheme="majorHAnsi"/>
          <w:lang w:val="es-CO"/>
        </w:rPr>
        <w:t xml:space="preserve">, </w:t>
      </w:r>
      <w:r w:rsidRPr="00A40EBA">
        <w:rPr>
          <w:rFonts w:asciiTheme="majorHAnsi" w:hAnsiTheme="majorHAnsi" w:cstheme="majorHAnsi"/>
          <w:lang w:val="es-CO"/>
        </w:rPr>
        <w:t xml:space="preserve">por un valor de </w:t>
      </w:r>
      <w:r w:rsidRPr="00A40EBA">
        <w:rPr>
          <w:rFonts w:asciiTheme="majorHAnsi" w:hAnsiTheme="majorHAnsi" w:cstheme="majorHAnsi"/>
          <w:b/>
          <w:lang w:val="es-CO"/>
        </w:rPr>
        <w:t>$70.000.000,</w:t>
      </w:r>
      <w:r w:rsidRPr="00A40EBA">
        <w:rPr>
          <w:rFonts w:asciiTheme="majorHAnsi" w:hAnsiTheme="majorHAnsi" w:cstheme="majorHAnsi"/>
          <w:lang w:val="es-CO"/>
        </w:rPr>
        <w:t xml:space="preserve"> el cual fue desembolsado el 11 de diciembre de 2019. La parte actora manifestó que el </w:t>
      </w:r>
      <w:r w:rsidRPr="00A40EBA">
        <w:rPr>
          <w:rFonts w:asciiTheme="majorHAnsi" w:hAnsiTheme="majorHAnsi" w:cstheme="majorHAnsi"/>
          <w:b/>
          <w:lang w:val="es-CO"/>
        </w:rPr>
        <w:t>8 de junio de 2021</w:t>
      </w:r>
      <w:r w:rsidRPr="00A40EBA">
        <w:rPr>
          <w:rFonts w:asciiTheme="majorHAnsi" w:hAnsiTheme="majorHAnsi" w:cstheme="majorHAnsi"/>
          <w:lang w:val="es-CO"/>
        </w:rPr>
        <w:t xml:space="preserve"> se presentó el fallecimiento del señor Said Quintana</w:t>
      </w:r>
      <w:r w:rsidR="00CF1AE5">
        <w:rPr>
          <w:rFonts w:asciiTheme="majorHAnsi" w:hAnsiTheme="majorHAnsi" w:cstheme="majorHAnsi"/>
          <w:lang w:val="es-CO"/>
        </w:rPr>
        <w:t xml:space="preserve"> a causa del COVID</w:t>
      </w:r>
      <w:r w:rsidRPr="00A40EBA">
        <w:rPr>
          <w:rFonts w:asciiTheme="majorHAnsi" w:hAnsiTheme="majorHAnsi" w:cstheme="majorHAnsi"/>
          <w:lang w:val="es-CO"/>
        </w:rPr>
        <w:t>, por lo que se procedió a solicitar afectar la póliza que amparaba dicho crédito, sin embargo, indic</w:t>
      </w:r>
      <w:r>
        <w:rPr>
          <w:rFonts w:asciiTheme="majorHAnsi" w:hAnsiTheme="majorHAnsi" w:cstheme="majorHAnsi"/>
          <w:lang w:val="es-CO"/>
        </w:rPr>
        <w:t>ó</w:t>
      </w:r>
      <w:r w:rsidRPr="00A40EBA">
        <w:rPr>
          <w:rFonts w:asciiTheme="majorHAnsi" w:hAnsiTheme="majorHAnsi" w:cstheme="majorHAnsi"/>
          <w:lang w:val="es-CO"/>
        </w:rPr>
        <w:t xml:space="preserve"> que el banco BBVA negó dicha afectación manifestando que el señor Quintana había omitido la prexistencia de patologías en su estado de salud.  </w:t>
      </w:r>
    </w:p>
    <w:p w:rsidR="005C6650" w:rsidRDefault="005C6650" w:rsidP="00A40EBA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727"/>
      </w:tblGrid>
      <w:tr w:rsidR="005C6650" w:rsidRPr="00CF4617" w:rsidTr="005C6650">
        <w:tc>
          <w:tcPr>
            <w:tcW w:w="4111" w:type="dxa"/>
          </w:tcPr>
          <w:p w:rsidR="005C6650" w:rsidRDefault="005C6650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Declaración de asegurabilidad: </w:t>
            </w:r>
          </w:p>
          <w:p w:rsidR="00A47BEF" w:rsidRDefault="00A47BEF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Emisión póliza: </w:t>
            </w:r>
          </w:p>
          <w:p w:rsidR="005C6650" w:rsidRDefault="005C6650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Desembolso crédito: </w:t>
            </w:r>
          </w:p>
          <w:p w:rsidR="005C6650" w:rsidRDefault="005C6650" w:rsidP="005C6650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Fallecimiento</w:t>
            </w:r>
            <w:r w:rsidRPr="00CF4617">
              <w:rPr>
                <w:rFonts w:cstheme="minorHAnsi"/>
                <w:b/>
                <w:lang w:val="es-CO"/>
              </w:rPr>
              <w:t>:</w:t>
            </w:r>
          </w:p>
          <w:p w:rsidR="005C6650" w:rsidRDefault="005C6650" w:rsidP="005C6650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Reclamación: </w:t>
            </w:r>
          </w:p>
          <w:p w:rsidR="005C6650" w:rsidRPr="00CF4617" w:rsidRDefault="005C6650" w:rsidP="005C6650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Objeción: </w:t>
            </w:r>
          </w:p>
        </w:tc>
        <w:tc>
          <w:tcPr>
            <w:tcW w:w="4727" w:type="dxa"/>
          </w:tcPr>
          <w:p w:rsidR="005C6650" w:rsidRDefault="001E6113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03 de diciembre del 2019</w:t>
            </w:r>
          </w:p>
          <w:p w:rsidR="00A47BEF" w:rsidRDefault="00A47BEF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11 de diciembre del 2019</w:t>
            </w:r>
          </w:p>
          <w:p w:rsidR="001E6113" w:rsidRDefault="001E6113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11 de diciembre del 2019</w:t>
            </w:r>
          </w:p>
          <w:p w:rsidR="001E6113" w:rsidRPr="00AC4CEA" w:rsidRDefault="001E6113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AC4CEA">
              <w:rPr>
                <w:rFonts w:cstheme="minorHAnsi"/>
                <w:b/>
                <w:lang w:val="es-CO"/>
              </w:rPr>
              <w:t>08 de junio del 2021</w:t>
            </w:r>
          </w:p>
          <w:p w:rsidR="001E6113" w:rsidRDefault="00CF1AE5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03 de agosto del 2021</w:t>
            </w:r>
          </w:p>
          <w:p w:rsidR="00170D15" w:rsidRPr="00CF4617" w:rsidRDefault="00170D15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 w:rsidRPr="005265B1">
              <w:rPr>
                <w:rFonts w:cstheme="minorHAnsi"/>
                <w:b/>
                <w:lang w:val="es-CO"/>
              </w:rPr>
              <w:t>23 de agosto del 2021</w:t>
            </w:r>
            <w:r>
              <w:rPr>
                <w:rFonts w:cstheme="minorHAnsi"/>
                <w:lang w:val="es-CO"/>
              </w:rPr>
              <w:t xml:space="preserve"> – se alega nulidad relativa por reticencia</w:t>
            </w:r>
          </w:p>
        </w:tc>
      </w:tr>
      <w:tr w:rsidR="005C6650" w:rsidRPr="00CF4617" w:rsidTr="005C6650">
        <w:tc>
          <w:tcPr>
            <w:tcW w:w="4111" w:type="dxa"/>
          </w:tcPr>
          <w:p w:rsidR="005C6650" w:rsidRPr="00CF4617" w:rsidRDefault="005C6650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lastRenderedPageBreak/>
              <w:t>Solicitud audiencia de conciliación:</w:t>
            </w:r>
          </w:p>
        </w:tc>
        <w:tc>
          <w:tcPr>
            <w:tcW w:w="4727" w:type="dxa"/>
          </w:tcPr>
          <w:p w:rsidR="005C6650" w:rsidRPr="00CF4617" w:rsidRDefault="000E140B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 medida cautelar</w:t>
            </w:r>
          </w:p>
        </w:tc>
      </w:tr>
      <w:tr w:rsidR="005C6650" w:rsidRPr="00CF4617" w:rsidTr="005C6650">
        <w:tc>
          <w:tcPr>
            <w:tcW w:w="4111" w:type="dxa"/>
          </w:tcPr>
          <w:p w:rsidR="005C6650" w:rsidRPr="00CF4617" w:rsidRDefault="005C6650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Audiencia de conciliación:</w:t>
            </w:r>
          </w:p>
        </w:tc>
        <w:tc>
          <w:tcPr>
            <w:tcW w:w="4727" w:type="dxa"/>
          </w:tcPr>
          <w:p w:rsidR="005C6650" w:rsidRPr="00CF4617" w:rsidRDefault="000E140B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 medida cautelar</w:t>
            </w:r>
          </w:p>
        </w:tc>
      </w:tr>
      <w:tr w:rsidR="005C6650" w:rsidRPr="00CF4617" w:rsidTr="005C6650">
        <w:tc>
          <w:tcPr>
            <w:tcW w:w="4111" w:type="dxa"/>
          </w:tcPr>
          <w:p w:rsidR="005C6650" w:rsidRPr="00CF4617" w:rsidRDefault="005C6650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Radicación de la demanda:</w:t>
            </w:r>
          </w:p>
        </w:tc>
        <w:tc>
          <w:tcPr>
            <w:tcW w:w="4727" w:type="dxa"/>
          </w:tcPr>
          <w:p w:rsidR="005C6650" w:rsidRPr="003B3122" w:rsidRDefault="0000088C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3B3122">
              <w:rPr>
                <w:rFonts w:cstheme="minorHAnsi"/>
                <w:b/>
                <w:lang w:val="es-CO"/>
              </w:rPr>
              <w:t>28 de abril del 2022</w:t>
            </w:r>
          </w:p>
        </w:tc>
      </w:tr>
      <w:tr w:rsidR="005C6650" w:rsidRPr="00CF4617" w:rsidTr="005C6650">
        <w:tc>
          <w:tcPr>
            <w:tcW w:w="4111" w:type="dxa"/>
          </w:tcPr>
          <w:p w:rsidR="005C6650" w:rsidRPr="00CF4617" w:rsidRDefault="005C6650" w:rsidP="000B0BED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 xml:space="preserve">Auto </w:t>
            </w:r>
            <w:proofErr w:type="spellStart"/>
            <w:r w:rsidRPr="00CF4617">
              <w:rPr>
                <w:rFonts w:cstheme="minorHAnsi"/>
                <w:b/>
                <w:lang w:val="es-CO"/>
              </w:rPr>
              <w:t>Admisorio</w:t>
            </w:r>
            <w:proofErr w:type="spellEnd"/>
            <w:r w:rsidRPr="00CF4617">
              <w:rPr>
                <w:rFonts w:cstheme="minorHAnsi"/>
                <w:b/>
                <w:lang w:val="es-CO"/>
              </w:rPr>
              <w:t xml:space="preserve"> de la demanda:</w:t>
            </w:r>
          </w:p>
        </w:tc>
        <w:tc>
          <w:tcPr>
            <w:tcW w:w="4727" w:type="dxa"/>
          </w:tcPr>
          <w:p w:rsidR="005C6650" w:rsidRPr="00CF4617" w:rsidRDefault="00E8523B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03 de agosto del 2022</w:t>
            </w:r>
          </w:p>
        </w:tc>
      </w:tr>
      <w:tr w:rsidR="005C6650" w:rsidRPr="002A0604" w:rsidTr="005C6650">
        <w:tc>
          <w:tcPr>
            <w:tcW w:w="4111" w:type="dxa"/>
          </w:tcPr>
          <w:p w:rsidR="005C6650" w:rsidRPr="00CF4617" w:rsidRDefault="005C6650" w:rsidP="001D24B0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Notificación </w:t>
            </w:r>
            <w:r w:rsidR="001D24B0">
              <w:rPr>
                <w:rFonts w:cstheme="minorHAnsi"/>
                <w:b/>
                <w:lang w:val="es-CO"/>
              </w:rPr>
              <w:t>a BBVA</w:t>
            </w:r>
            <w:r w:rsidRPr="00CF4617">
              <w:rPr>
                <w:rFonts w:cstheme="minorHAnsi"/>
                <w:b/>
                <w:lang w:val="es-CO"/>
              </w:rPr>
              <w:t>:</w:t>
            </w:r>
          </w:p>
        </w:tc>
        <w:tc>
          <w:tcPr>
            <w:tcW w:w="4727" w:type="dxa"/>
          </w:tcPr>
          <w:p w:rsidR="005C6650" w:rsidRPr="00CF4617" w:rsidRDefault="0000088C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04 de agosto del 2022</w:t>
            </w:r>
          </w:p>
        </w:tc>
      </w:tr>
      <w:tr w:rsidR="005C6650" w:rsidRPr="003B18FF" w:rsidTr="005C6650">
        <w:tc>
          <w:tcPr>
            <w:tcW w:w="4111" w:type="dxa"/>
          </w:tcPr>
          <w:p w:rsidR="005C6650" w:rsidRPr="00CF4617" w:rsidRDefault="005C6650" w:rsidP="001D24B0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Contestación</w:t>
            </w:r>
            <w:r>
              <w:rPr>
                <w:rFonts w:cstheme="minorHAnsi"/>
                <w:b/>
                <w:lang w:val="es-CO"/>
              </w:rPr>
              <w:t xml:space="preserve"> </w:t>
            </w:r>
            <w:r w:rsidR="001D24B0">
              <w:rPr>
                <w:rFonts w:cstheme="minorHAnsi"/>
                <w:b/>
                <w:lang w:val="es-CO"/>
              </w:rPr>
              <w:t>BBVA</w:t>
            </w:r>
            <w:r w:rsidRPr="00CF4617">
              <w:rPr>
                <w:rFonts w:cstheme="minorHAnsi"/>
                <w:b/>
                <w:lang w:val="es-CO"/>
              </w:rPr>
              <w:t>:</w:t>
            </w:r>
          </w:p>
        </w:tc>
        <w:tc>
          <w:tcPr>
            <w:tcW w:w="4727" w:type="dxa"/>
          </w:tcPr>
          <w:p w:rsidR="005C6650" w:rsidRPr="002A0604" w:rsidRDefault="0000088C" w:rsidP="000B0BED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09 de septiembre del 2022</w:t>
            </w:r>
          </w:p>
        </w:tc>
      </w:tr>
    </w:tbl>
    <w:p w:rsidR="005C6650" w:rsidRDefault="005C6650" w:rsidP="00A40EBA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</w:p>
    <w:p w:rsidR="00A40EBA" w:rsidRDefault="009A1A65" w:rsidP="00A40EBA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 w:rsidRPr="009A1A65">
        <w:rPr>
          <w:rFonts w:asciiTheme="majorHAnsi" w:hAnsiTheme="majorHAnsi" w:cstheme="majorHAnsi"/>
          <w:b/>
          <w:lang w:val="es-CO"/>
        </w:rPr>
        <w:t>Prescripción:</w:t>
      </w:r>
      <w:r>
        <w:rPr>
          <w:rFonts w:asciiTheme="majorHAnsi" w:hAnsiTheme="majorHAnsi" w:cstheme="majorHAnsi"/>
          <w:lang w:val="es-CO"/>
        </w:rPr>
        <w:t xml:space="preserve"> no. La demanda se presentó en el término oportuno. Es importante señalar que tampoco se configuró la prescripción de las acciones derivadas del contrato de seguro. </w:t>
      </w:r>
    </w:p>
    <w:p w:rsidR="005D66E8" w:rsidRDefault="005D66E8" w:rsidP="00A40EBA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</w:p>
    <w:p w:rsidR="009A1A65" w:rsidRPr="00726728" w:rsidRDefault="009A1A65" w:rsidP="00A40EBA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</w:p>
    <w:p w:rsidR="000C1F11" w:rsidRPr="00726728" w:rsidRDefault="000C1F11" w:rsidP="000C1F1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highlight w:val="yellow"/>
          <w:lang w:val="es-CO"/>
        </w:rPr>
      </w:pPr>
      <w:r w:rsidRPr="00726728">
        <w:rPr>
          <w:rFonts w:asciiTheme="majorHAnsi" w:hAnsiTheme="majorHAnsi" w:cstheme="majorHAnsi"/>
          <w:b/>
          <w:highlight w:val="yellow"/>
          <w:lang w:val="es-CO"/>
        </w:rPr>
        <w:t>PRETENSIONES:</w:t>
      </w:r>
      <w:r w:rsidRPr="00726728">
        <w:rPr>
          <w:rFonts w:asciiTheme="majorHAnsi" w:hAnsiTheme="majorHAnsi" w:cstheme="majorHAnsi"/>
          <w:highlight w:val="yellow"/>
          <w:lang w:val="es-CO"/>
        </w:rPr>
        <w:t xml:space="preserve"> </w:t>
      </w:r>
    </w:p>
    <w:p w:rsidR="000C1F11" w:rsidRPr="00726728" w:rsidRDefault="000C1F11" w:rsidP="000C1F11">
      <w:pPr>
        <w:pStyle w:val="Prrafodelista"/>
        <w:spacing w:after="0" w:line="276" w:lineRule="auto"/>
        <w:jc w:val="both"/>
        <w:rPr>
          <w:rFonts w:asciiTheme="majorHAnsi" w:hAnsiTheme="majorHAnsi" w:cstheme="majorHAnsi"/>
          <w:highlight w:val="yellow"/>
          <w:lang w:val="es-CO"/>
        </w:rPr>
      </w:pPr>
    </w:p>
    <w:p w:rsidR="007F7DDF" w:rsidRDefault="007F7DDF" w:rsidP="007F7DDF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 w:rsidRPr="007F7DDF">
        <w:rPr>
          <w:rFonts w:asciiTheme="majorHAnsi" w:hAnsiTheme="majorHAnsi" w:cstheme="majorHAnsi"/>
          <w:lang w:val="es-CO"/>
        </w:rPr>
        <w:t>Las pretensiones de la demanda van encaminadas al reconocimiento de</w:t>
      </w:r>
      <w:r>
        <w:rPr>
          <w:rFonts w:asciiTheme="majorHAnsi" w:hAnsiTheme="majorHAnsi" w:cstheme="majorHAnsi"/>
          <w:lang w:val="es-CO"/>
        </w:rPr>
        <w:t>:</w:t>
      </w:r>
      <w:r w:rsidR="009C1C43" w:rsidRPr="009C1C43">
        <w:t xml:space="preserve"> </w:t>
      </w:r>
      <w:r w:rsidR="009C1C43" w:rsidRPr="009C1C43">
        <w:rPr>
          <w:rFonts w:asciiTheme="majorHAnsi" w:hAnsiTheme="majorHAnsi" w:cstheme="majorHAnsi"/>
          <w:lang w:val="es-CO"/>
        </w:rPr>
        <w:t xml:space="preserve">$ </w:t>
      </w:r>
      <w:r w:rsidR="009C1C43" w:rsidRPr="009C1C43">
        <w:rPr>
          <w:rFonts w:asciiTheme="majorHAnsi" w:hAnsiTheme="majorHAnsi" w:cstheme="majorHAnsi"/>
          <w:b/>
          <w:lang w:val="es-CO"/>
        </w:rPr>
        <w:t>179.783.358</w:t>
      </w:r>
    </w:p>
    <w:p w:rsidR="007F7DDF" w:rsidRDefault="007F7DDF" w:rsidP="007F7DD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 w:rsidRPr="007F7DDF">
        <w:rPr>
          <w:rFonts w:asciiTheme="majorHAnsi" w:hAnsiTheme="majorHAnsi" w:cstheme="majorHAnsi"/>
          <w:lang w:val="es-CO"/>
        </w:rPr>
        <w:t>$60.857.236 por concept</w:t>
      </w:r>
      <w:r>
        <w:rPr>
          <w:rFonts w:asciiTheme="majorHAnsi" w:hAnsiTheme="majorHAnsi" w:cstheme="majorHAnsi"/>
          <w:lang w:val="es-CO"/>
        </w:rPr>
        <w:t>o de saldo insoluto de la deuda</w:t>
      </w:r>
    </w:p>
    <w:p w:rsidR="007F7DDF" w:rsidRDefault="007F7DDF" w:rsidP="007F7DD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 w:rsidRPr="007F7DDF">
        <w:rPr>
          <w:rFonts w:asciiTheme="majorHAnsi" w:hAnsiTheme="majorHAnsi" w:cstheme="majorHAnsi"/>
          <w:lang w:val="es-CO"/>
        </w:rPr>
        <w:t>$18.926.122 por conc</w:t>
      </w:r>
      <w:r>
        <w:rPr>
          <w:rFonts w:asciiTheme="majorHAnsi" w:hAnsiTheme="majorHAnsi" w:cstheme="majorHAnsi"/>
          <w:lang w:val="es-CO"/>
        </w:rPr>
        <w:t>epto de reembolso</w:t>
      </w:r>
      <w:r w:rsidR="00885994">
        <w:rPr>
          <w:rFonts w:asciiTheme="majorHAnsi" w:hAnsiTheme="majorHAnsi" w:cstheme="majorHAnsi"/>
          <w:lang w:val="es-CO"/>
        </w:rPr>
        <w:t xml:space="preserve"> </w:t>
      </w:r>
      <w:r w:rsidR="006F1507">
        <w:rPr>
          <w:rFonts w:asciiTheme="majorHAnsi" w:hAnsiTheme="majorHAnsi" w:cstheme="majorHAnsi"/>
          <w:lang w:val="es-CO"/>
        </w:rPr>
        <w:t>indexado y actualizado</w:t>
      </w:r>
      <w:r w:rsidR="00885994">
        <w:rPr>
          <w:rFonts w:asciiTheme="majorHAnsi" w:hAnsiTheme="majorHAnsi" w:cstheme="majorHAnsi"/>
          <w:lang w:val="es-CO"/>
        </w:rPr>
        <w:t xml:space="preserve">– </w:t>
      </w:r>
      <w:r w:rsidR="00885994" w:rsidRPr="00885994">
        <w:rPr>
          <w:rFonts w:asciiTheme="majorHAnsi" w:hAnsiTheme="majorHAnsi" w:cstheme="majorHAnsi"/>
          <w:i/>
          <w:u w:val="single"/>
          <w:lang w:val="es-CO"/>
        </w:rPr>
        <w:t>pretensión en contra del banco</w:t>
      </w:r>
    </w:p>
    <w:p w:rsidR="007F7DDF" w:rsidRDefault="007F7DDF" w:rsidP="007F7DD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 w:rsidRPr="007F7DDF">
        <w:rPr>
          <w:rFonts w:asciiTheme="majorHAnsi" w:hAnsiTheme="majorHAnsi" w:cstheme="majorHAnsi"/>
          <w:lang w:val="es-CO"/>
        </w:rPr>
        <w:t xml:space="preserve">100 SMLMV por </w:t>
      </w:r>
      <w:r>
        <w:rPr>
          <w:rFonts w:asciiTheme="majorHAnsi" w:hAnsiTheme="majorHAnsi" w:cstheme="majorHAnsi"/>
          <w:lang w:val="es-CO"/>
        </w:rPr>
        <w:t xml:space="preserve">concepto de perjuicios morales </w:t>
      </w:r>
    </w:p>
    <w:p w:rsidR="000C1F11" w:rsidRPr="007F7DDF" w:rsidRDefault="007F7DDF" w:rsidP="007F7DD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>C</w:t>
      </w:r>
      <w:r w:rsidRPr="007F7DDF">
        <w:rPr>
          <w:rFonts w:asciiTheme="majorHAnsi" w:hAnsiTheme="majorHAnsi" w:cstheme="majorHAnsi"/>
          <w:lang w:val="es-CO"/>
        </w:rPr>
        <w:t xml:space="preserve">ostas y agencias en derecho.  </w:t>
      </w:r>
    </w:p>
    <w:p w:rsidR="000C1F11" w:rsidRDefault="000C1F11" w:rsidP="000C1F11">
      <w:pPr>
        <w:pStyle w:val="Prrafodelista"/>
        <w:spacing w:after="0" w:line="276" w:lineRule="auto"/>
        <w:rPr>
          <w:rFonts w:asciiTheme="majorHAnsi" w:hAnsiTheme="majorHAnsi" w:cstheme="majorHAnsi"/>
          <w:lang w:val="es-CO"/>
        </w:rPr>
      </w:pPr>
    </w:p>
    <w:p w:rsidR="0041350A" w:rsidRPr="00726728" w:rsidRDefault="0041350A" w:rsidP="000C1F11">
      <w:pPr>
        <w:pStyle w:val="Prrafodelista"/>
        <w:spacing w:after="0" w:line="276" w:lineRule="auto"/>
        <w:rPr>
          <w:rFonts w:asciiTheme="majorHAnsi" w:hAnsiTheme="majorHAnsi" w:cstheme="majorHAnsi"/>
          <w:lang w:val="es-CO"/>
        </w:rPr>
      </w:pPr>
    </w:p>
    <w:p w:rsidR="00D73831" w:rsidRDefault="00D73831" w:rsidP="000C1F1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  <w:r>
        <w:rPr>
          <w:rFonts w:asciiTheme="majorHAnsi" w:hAnsiTheme="majorHAnsi" w:cstheme="majorHAnsi"/>
          <w:b/>
          <w:highlight w:val="yellow"/>
          <w:lang w:val="es-CO"/>
        </w:rPr>
        <w:t>PÓLIZA VINCULADA</w:t>
      </w:r>
    </w:p>
    <w:p w:rsidR="00D73831" w:rsidRDefault="00D73831" w:rsidP="00D73831">
      <w:p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</w:p>
    <w:p w:rsidR="0000088C" w:rsidRDefault="00D73831" w:rsidP="006A34EE">
      <w:pPr>
        <w:spacing w:after="0"/>
        <w:jc w:val="both"/>
        <w:rPr>
          <w:rFonts w:asciiTheme="majorHAnsi" w:hAnsiTheme="majorHAnsi" w:cstheme="majorHAnsi"/>
          <w:lang w:val="es-CO"/>
        </w:rPr>
      </w:pPr>
      <w:r w:rsidRPr="00D73831">
        <w:rPr>
          <w:rFonts w:asciiTheme="majorHAnsi" w:hAnsiTheme="majorHAnsi" w:cstheme="majorHAnsi"/>
          <w:lang w:val="es-CO"/>
        </w:rPr>
        <w:t xml:space="preserve">Con la demanda se vincula la </w:t>
      </w:r>
      <w:r>
        <w:rPr>
          <w:rFonts w:asciiTheme="majorHAnsi" w:hAnsiTheme="majorHAnsi" w:cstheme="majorHAnsi"/>
          <w:lang w:val="es-CO"/>
        </w:rPr>
        <w:t xml:space="preserve">póliza </w:t>
      </w:r>
      <w:r w:rsidR="0000088C">
        <w:rPr>
          <w:rFonts w:asciiTheme="majorHAnsi" w:hAnsiTheme="majorHAnsi" w:cstheme="majorHAnsi"/>
          <w:lang w:val="es-CO"/>
        </w:rPr>
        <w:t xml:space="preserve">de seguro de vida grupo deudores </w:t>
      </w:r>
      <w:r w:rsidR="0000088C" w:rsidRPr="00B360CC">
        <w:rPr>
          <w:rFonts w:asciiTheme="majorHAnsi" w:hAnsiTheme="majorHAnsi" w:cstheme="majorHAnsi"/>
          <w:b/>
          <w:lang w:val="es-CO"/>
        </w:rPr>
        <w:t>VGDB-105</w:t>
      </w:r>
      <w:r w:rsidR="006A34EE">
        <w:rPr>
          <w:rFonts w:asciiTheme="majorHAnsi" w:hAnsiTheme="majorHAnsi" w:cstheme="majorHAnsi"/>
          <w:b/>
          <w:lang w:val="es-CO"/>
        </w:rPr>
        <w:t xml:space="preserve">, </w:t>
      </w:r>
      <w:r w:rsidR="006A34EE" w:rsidRPr="006A34EE">
        <w:rPr>
          <w:rFonts w:asciiTheme="majorHAnsi" w:hAnsiTheme="majorHAnsi" w:cstheme="majorHAnsi"/>
          <w:lang w:val="es-CO"/>
        </w:rPr>
        <w:t xml:space="preserve">No. </w:t>
      </w:r>
      <w:r w:rsidR="006A34EE" w:rsidRPr="006A34EE">
        <w:rPr>
          <w:rFonts w:asciiTheme="majorHAnsi" w:hAnsiTheme="majorHAnsi" w:cstheme="majorHAnsi"/>
          <w:lang w:val="es-CO"/>
        </w:rPr>
        <w:t>02 227 0000048757, certificado No. 0013-0865-32-4000357750</w:t>
      </w:r>
      <w:r w:rsidR="006A34EE">
        <w:rPr>
          <w:rFonts w:asciiTheme="majorHAnsi" w:hAnsiTheme="majorHAnsi" w:cstheme="majorHAnsi"/>
          <w:lang w:val="es-CO"/>
        </w:rPr>
        <w:t>:</w:t>
      </w:r>
    </w:p>
    <w:p w:rsidR="006A34EE" w:rsidRDefault="006A34EE" w:rsidP="006A34EE">
      <w:pPr>
        <w:spacing w:after="0"/>
        <w:jc w:val="both"/>
        <w:rPr>
          <w:rFonts w:asciiTheme="majorHAnsi" w:hAnsiTheme="majorHAnsi" w:cstheme="majorHAnsi"/>
          <w:lang w:val="es-CO"/>
        </w:rPr>
      </w:pPr>
    </w:p>
    <w:p w:rsidR="00F709A2" w:rsidRDefault="00F709A2" w:rsidP="00B360CC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lang w:val="es-CO"/>
        </w:rPr>
      </w:pPr>
      <w:r w:rsidRPr="00F709A2">
        <w:rPr>
          <w:rFonts w:asciiTheme="majorHAnsi" w:hAnsiTheme="majorHAnsi" w:cstheme="majorHAnsi"/>
          <w:b/>
          <w:lang w:val="es-CO"/>
        </w:rPr>
        <w:t>Amparo afectado:</w:t>
      </w:r>
      <w:r>
        <w:rPr>
          <w:rFonts w:asciiTheme="majorHAnsi" w:hAnsiTheme="majorHAnsi" w:cstheme="majorHAnsi"/>
          <w:lang w:val="es-CO"/>
        </w:rPr>
        <w:t xml:space="preserve"> Vida (muerte por cualquier causa)</w:t>
      </w:r>
    </w:p>
    <w:p w:rsidR="00F709A2" w:rsidRPr="00F709A2" w:rsidRDefault="00F709A2" w:rsidP="00B360CC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lang w:val="es-CO"/>
        </w:rPr>
      </w:pPr>
      <w:r w:rsidRPr="00F709A2">
        <w:rPr>
          <w:rFonts w:asciiTheme="majorHAnsi" w:hAnsiTheme="majorHAnsi" w:cstheme="majorHAnsi"/>
          <w:b/>
          <w:lang w:val="es-CO"/>
        </w:rPr>
        <w:t>Valor asegurado:</w:t>
      </w:r>
      <w:r>
        <w:rPr>
          <w:rFonts w:asciiTheme="majorHAnsi" w:hAnsiTheme="majorHAnsi" w:cstheme="majorHAnsi"/>
          <w:lang w:val="es-CO"/>
        </w:rPr>
        <w:t xml:space="preserve"> $70.000.000</w:t>
      </w:r>
    </w:p>
    <w:p w:rsidR="0000088C" w:rsidRPr="00B360CC" w:rsidRDefault="0000088C" w:rsidP="00B360CC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lang w:val="es-CO"/>
        </w:rPr>
      </w:pPr>
      <w:r w:rsidRPr="00B360CC">
        <w:rPr>
          <w:rFonts w:asciiTheme="majorHAnsi" w:hAnsiTheme="majorHAnsi" w:cstheme="majorHAnsi"/>
          <w:b/>
          <w:lang w:val="es-CO"/>
        </w:rPr>
        <w:t>Tomador:</w:t>
      </w:r>
      <w:r w:rsidRPr="00B360CC">
        <w:rPr>
          <w:rFonts w:asciiTheme="majorHAnsi" w:hAnsiTheme="majorHAnsi" w:cstheme="majorHAnsi"/>
          <w:lang w:val="es-CO"/>
        </w:rPr>
        <w:t xml:space="preserve"> BBVA COLOMBIA S.A</w:t>
      </w:r>
    </w:p>
    <w:p w:rsidR="0000088C" w:rsidRPr="00B360CC" w:rsidRDefault="0000088C" w:rsidP="00B360CC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lang w:val="es-CO"/>
        </w:rPr>
      </w:pPr>
      <w:r w:rsidRPr="00B360CC">
        <w:rPr>
          <w:rFonts w:asciiTheme="majorHAnsi" w:hAnsiTheme="majorHAnsi" w:cstheme="majorHAnsi"/>
          <w:b/>
          <w:lang w:val="es-CO"/>
        </w:rPr>
        <w:t>Asegurado:</w:t>
      </w:r>
      <w:r w:rsidRPr="00B360CC">
        <w:rPr>
          <w:rFonts w:asciiTheme="majorHAnsi" w:hAnsiTheme="majorHAnsi" w:cstheme="majorHAnsi"/>
          <w:lang w:val="es-CO"/>
        </w:rPr>
        <w:t xml:space="preserve"> Said Quintana</w:t>
      </w:r>
    </w:p>
    <w:p w:rsidR="0000088C" w:rsidRPr="00B360CC" w:rsidRDefault="0000088C" w:rsidP="00B360CC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lang w:val="es-CO"/>
        </w:rPr>
      </w:pPr>
      <w:r w:rsidRPr="00B360CC">
        <w:rPr>
          <w:rFonts w:asciiTheme="majorHAnsi" w:hAnsiTheme="majorHAnsi" w:cstheme="majorHAnsi"/>
          <w:b/>
          <w:lang w:val="es-CO"/>
        </w:rPr>
        <w:t>Reclamo:</w:t>
      </w:r>
      <w:r w:rsidRPr="00B360CC">
        <w:rPr>
          <w:rFonts w:asciiTheme="majorHAnsi" w:hAnsiTheme="majorHAnsi" w:cstheme="majorHAnsi"/>
          <w:lang w:val="es-CO"/>
        </w:rPr>
        <w:t xml:space="preserve"> VGDB-21977</w:t>
      </w:r>
    </w:p>
    <w:p w:rsidR="0000088C" w:rsidRPr="00B360CC" w:rsidRDefault="0000088C" w:rsidP="00B360CC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lang w:val="es-CO"/>
        </w:rPr>
      </w:pPr>
      <w:r w:rsidRPr="00B360CC">
        <w:rPr>
          <w:rFonts w:asciiTheme="majorHAnsi" w:hAnsiTheme="majorHAnsi" w:cstheme="majorHAnsi"/>
          <w:b/>
          <w:lang w:val="es-CO"/>
        </w:rPr>
        <w:t>Obligación:</w:t>
      </w:r>
      <w:r w:rsidRPr="00B360CC">
        <w:rPr>
          <w:rFonts w:asciiTheme="majorHAnsi" w:hAnsiTheme="majorHAnsi" w:cstheme="majorHAnsi"/>
          <w:lang w:val="es-CO"/>
        </w:rPr>
        <w:t xml:space="preserve"> 00130865009600031314</w:t>
      </w:r>
    </w:p>
    <w:p w:rsidR="00D73831" w:rsidRDefault="00D73831" w:rsidP="00D73831">
      <w:p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</w:p>
    <w:p w:rsidR="00D73831" w:rsidRPr="00D73831" w:rsidRDefault="00D73831" w:rsidP="00D73831">
      <w:p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</w:p>
    <w:p w:rsidR="00402A8B" w:rsidRDefault="00402A8B" w:rsidP="000C1F1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  <w:r>
        <w:rPr>
          <w:rFonts w:asciiTheme="majorHAnsi" w:hAnsiTheme="majorHAnsi" w:cstheme="majorHAnsi"/>
          <w:b/>
          <w:highlight w:val="yellow"/>
          <w:lang w:val="es-CO"/>
        </w:rPr>
        <w:t>LIQUIDACIÓN OBJETIVA</w:t>
      </w:r>
    </w:p>
    <w:p w:rsidR="00402A8B" w:rsidRDefault="00402A8B" w:rsidP="00402A8B">
      <w:p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</w:p>
    <w:p w:rsidR="00DE1A5C" w:rsidRDefault="00DE1A5C" w:rsidP="00402A8B">
      <w:pPr>
        <w:spacing w:after="0" w:line="276" w:lineRule="auto"/>
        <w:jc w:val="both"/>
        <w:rPr>
          <w:rFonts w:asciiTheme="majorHAnsi" w:hAnsiTheme="majorHAnsi" w:cstheme="majorHAnsi"/>
          <w:b/>
          <w:lang w:val="es-CO"/>
        </w:rPr>
      </w:pPr>
      <w:r w:rsidRPr="00DE1A5C">
        <w:rPr>
          <w:rFonts w:asciiTheme="majorHAnsi" w:hAnsiTheme="majorHAnsi" w:cstheme="majorHAnsi"/>
          <w:b/>
          <w:lang w:val="es-CO"/>
        </w:rPr>
        <w:t xml:space="preserve">Fallecimiento del asegurado: </w:t>
      </w:r>
      <w:r w:rsidRPr="00DE1A5C">
        <w:rPr>
          <w:rFonts w:asciiTheme="majorHAnsi" w:hAnsiTheme="majorHAnsi" w:cstheme="majorHAnsi"/>
          <w:lang w:val="es-CO"/>
        </w:rPr>
        <w:t>08 de junio de 2021</w:t>
      </w:r>
      <w:r w:rsidRPr="00DE1A5C">
        <w:rPr>
          <w:rFonts w:asciiTheme="majorHAnsi" w:hAnsiTheme="majorHAnsi" w:cstheme="majorHAnsi"/>
          <w:b/>
          <w:lang w:val="es-CO"/>
        </w:rPr>
        <w:t xml:space="preserve"> </w:t>
      </w:r>
    </w:p>
    <w:p w:rsidR="00DE1A5C" w:rsidRDefault="00DE1A5C" w:rsidP="00402A8B">
      <w:pPr>
        <w:spacing w:after="0" w:line="276" w:lineRule="auto"/>
        <w:jc w:val="both"/>
        <w:rPr>
          <w:rFonts w:asciiTheme="majorHAnsi" w:hAnsiTheme="majorHAnsi" w:cstheme="majorHAnsi"/>
          <w:b/>
          <w:lang w:val="es-CO"/>
        </w:rPr>
      </w:pPr>
      <w:r w:rsidRPr="00DE1A5C">
        <w:rPr>
          <w:rFonts w:asciiTheme="majorHAnsi" w:hAnsiTheme="majorHAnsi" w:cstheme="majorHAnsi"/>
          <w:b/>
          <w:lang w:val="es-CO"/>
        </w:rPr>
        <w:t>Valor asegurado</w:t>
      </w:r>
      <w:r>
        <w:rPr>
          <w:rFonts w:asciiTheme="majorHAnsi" w:hAnsiTheme="majorHAnsi" w:cstheme="majorHAnsi"/>
          <w:b/>
          <w:lang w:val="es-CO"/>
        </w:rPr>
        <w:t xml:space="preserve"> a la fecha de la muerte</w:t>
      </w:r>
      <w:r w:rsidRPr="00DE1A5C">
        <w:rPr>
          <w:rFonts w:asciiTheme="majorHAnsi" w:hAnsiTheme="majorHAnsi" w:cstheme="majorHAnsi"/>
          <w:b/>
          <w:lang w:val="es-CO"/>
        </w:rPr>
        <w:t xml:space="preserve">: </w:t>
      </w:r>
      <w:r w:rsidRPr="00DE1A5C">
        <w:rPr>
          <w:rFonts w:asciiTheme="majorHAnsi" w:hAnsiTheme="majorHAnsi" w:cstheme="majorHAnsi"/>
          <w:lang w:val="es-CO"/>
        </w:rPr>
        <w:t>$ 60.259.685</w:t>
      </w:r>
      <w:r w:rsidRPr="00DE1A5C">
        <w:rPr>
          <w:rFonts w:asciiTheme="majorHAnsi" w:hAnsiTheme="majorHAnsi" w:cstheme="majorHAnsi"/>
          <w:b/>
          <w:lang w:val="es-CO"/>
        </w:rPr>
        <w:t xml:space="preserve"> </w:t>
      </w:r>
    </w:p>
    <w:p w:rsidR="00402A8B" w:rsidRDefault="00DE1A5C" w:rsidP="00402A8B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 w:rsidRPr="00DE1A5C">
        <w:rPr>
          <w:rFonts w:asciiTheme="majorHAnsi" w:hAnsiTheme="majorHAnsi" w:cstheme="majorHAnsi"/>
          <w:b/>
          <w:lang w:val="es-CO"/>
        </w:rPr>
        <w:t xml:space="preserve">Intereses moratorios: </w:t>
      </w:r>
      <w:r w:rsidRPr="00DE1A5C">
        <w:rPr>
          <w:rFonts w:asciiTheme="majorHAnsi" w:hAnsiTheme="majorHAnsi" w:cstheme="majorHAnsi"/>
          <w:lang w:val="es-CO"/>
        </w:rPr>
        <w:t xml:space="preserve">A partir del 08 de julio de 2021 </w:t>
      </w:r>
      <w:r w:rsidR="00EE7DEA">
        <w:rPr>
          <w:rFonts w:asciiTheme="majorHAnsi" w:hAnsiTheme="majorHAnsi" w:cstheme="majorHAnsi"/>
          <w:lang w:val="es-CO"/>
        </w:rPr>
        <w:t xml:space="preserve">a septiembre del 2022 </w:t>
      </w:r>
      <w:r w:rsidRPr="00DE1A5C">
        <w:rPr>
          <w:rFonts w:asciiTheme="majorHAnsi" w:hAnsiTheme="majorHAnsi" w:cstheme="majorHAnsi"/>
          <w:lang w:val="es-CO"/>
        </w:rPr>
        <w:t xml:space="preserve">TOTAL $ 79.290.777 </w:t>
      </w:r>
    </w:p>
    <w:p w:rsidR="006F1507" w:rsidRDefault="006F1507" w:rsidP="00402A8B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 xml:space="preserve">** Aunque es preciso tener en cuenta que con la demanda no se solicitó el cobro de intereses en la pretensión dirigida en contra de la aseguradora. </w:t>
      </w:r>
    </w:p>
    <w:p w:rsidR="007420EE" w:rsidRDefault="007420EE" w:rsidP="00402A8B">
      <w:pPr>
        <w:spacing w:after="0" w:line="276" w:lineRule="auto"/>
        <w:jc w:val="both"/>
        <w:rPr>
          <w:rFonts w:asciiTheme="majorHAnsi" w:hAnsiTheme="majorHAnsi" w:cstheme="majorHAnsi"/>
          <w:lang w:val="es-CO"/>
        </w:rPr>
      </w:pPr>
    </w:p>
    <w:p w:rsidR="007420EE" w:rsidRPr="00DE1A5C" w:rsidRDefault="007420EE" w:rsidP="00402A8B">
      <w:pPr>
        <w:spacing w:after="0" w:line="276" w:lineRule="auto"/>
        <w:jc w:val="both"/>
        <w:rPr>
          <w:rFonts w:asciiTheme="majorHAnsi" w:hAnsiTheme="majorHAnsi" w:cstheme="majorHAnsi"/>
          <w:highlight w:val="yellow"/>
          <w:lang w:val="es-CO"/>
        </w:rPr>
      </w:pPr>
      <w:r>
        <w:rPr>
          <w:rFonts w:asciiTheme="majorHAnsi" w:hAnsiTheme="majorHAnsi" w:cstheme="majorHAnsi"/>
          <w:lang w:val="es-CO"/>
        </w:rPr>
        <w:lastRenderedPageBreak/>
        <w:t xml:space="preserve">El pago del </w:t>
      </w:r>
      <w:r w:rsidRPr="007420EE">
        <w:rPr>
          <w:rFonts w:asciiTheme="majorHAnsi" w:hAnsiTheme="majorHAnsi" w:cstheme="majorHAnsi"/>
          <w:b/>
          <w:lang w:val="es-CO"/>
        </w:rPr>
        <w:t>perjuicio moral</w:t>
      </w:r>
      <w:r>
        <w:rPr>
          <w:rFonts w:asciiTheme="majorHAnsi" w:hAnsiTheme="majorHAnsi" w:cstheme="majorHAnsi"/>
          <w:lang w:val="es-CO"/>
        </w:rPr>
        <w:t xml:space="preserve"> solicitado es claramente improcedente, no solo porque escapa de la cobertura otorgada en el aseguramiento, sino porque tampoco se acreditó la </w:t>
      </w:r>
      <w:proofErr w:type="spellStart"/>
      <w:r>
        <w:rPr>
          <w:rFonts w:asciiTheme="majorHAnsi" w:hAnsiTheme="majorHAnsi" w:cstheme="majorHAnsi"/>
          <w:lang w:val="es-CO"/>
        </w:rPr>
        <w:t>causación</w:t>
      </w:r>
      <w:proofErr w:type="spellEnd"/>
      <w:r>
        <w:rPr>
          <w:rFonts w:asciiTheme="majorHAnsi" w:hAnsiTheme="majorHAnsi" w:cstheme="majorHAnsi"/>
          <w:lang w:val="es-CO"/>
        </w:rPr>
        <w:t xml:space="preserve"> del perjuicio. </w:t>
      </w:r>
    </w:p>
    <w:p w:rsidR="00402A8B" w:rsidRDefault="00402A8B" w:rsidP="00402A8B">
      <w:p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</w:p>
    <w:p w:rsidR="00402A8B" w:rsidRPr="00402A8B" w:rsidRDefault="00402A8B" w:rsidP="00402A8B">
      <w:p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</w:p>
    <w:p w:rsidR="000C1F11" w:rsidRPr="00726728" w:rsidRDefault="000C1F11" w:rsidP="000C1F1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highlight w:val="yellow"/>
          <w:lang w:val="es-CO"/>
        </w:rPr>
      </w:pPr>
      <w:r w:rsidRPr="00726728">
        <w:rPr>
          <w:rFonts w:asciiTheme="majorHAnsi" w:hAnsiTheme="majorHAnsi" w:cstheme="majorHAnsi"/>
          <w:b/>
          <w:highlight w:val="yellow"/>
          <w:lang w:val="es-CO"/>
        </w:rPr>
        <w:t xml:space="preserve">CALIFICACIÓN CONTINGENCIA: </w:t>
      </w:r>
    </w:p>
    <w:p w:rsidR="00DF5649" w:rsidRDefault="00DF5649" w:rsidP="00DF5649">
      <w:pPr>
        <w:pStyle w:val="NormalWeb"/>
        <w:shd w:val="clear" w:color="auto" w:fill="FFFFFF"/>
        <w:spacing w:after="0" w:line="276" w:lineRule="auto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La contingencia se califica como EVENTUAL, comoquiera que, si bien la póliza en principio ofrece cobertura temporal y material, lo cierto es que se encuentra en discusión la configuración de la nulidad relativa del contrato de seguro. </w:t>
      </w:r>
    </w:p>
    <w:p w:rsidR="00DF5649" w:rsidRPr="00DF5649" w:rsidRDefault="00DF5649" w:rsidP="00DF5649">
      <w:pPr>
        <w:pStyle w:val="NormalWeb"/>
        <w:shd w:val="clear" w:color="auto" w:fill="FFFFFF"/>
        <w:spacing w:after="0" w:line="276" w:lineRule="auto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En efecto, la póliza </w:t>
      </w:r>
      <w:r w:rsidRPr="00DF5649">
        <w:rPr>
          <w:rFonts w:asciiTheme="majorHAnsi" w:eastAsiaTheme="minorHAnsi" w:hAnsiTheme="majorHAnsi" w:cstheme="majorHAnsi"/>
          <w:b/>
          <w:i/>
          <w:sz w:val="22"/>
          <w:szCs w:val="22"/>
          <w:u w:val="single"/>
          <w:lang w:val="es-CO"/>
        </w:rPr>
        <w:t>ofrece cobertura temporal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, comoquiera que el contrato de seguro se formalizó el </w:t>
      </w:r>
      <w:r w:rsidRPr="00DF5649">
        <w:rPr>
          <w:rFonts w:asciiTheme="majorHAnsi" w:eastAsiaTheme="minorHAnsi" w:hAnsiTheme="majorHAnsi" w:cstheme="majorHAnsi"/>
          <w:b/>
          <w:sz w:val="22"/>
          <w:szCs w:val="22"/>
          <w:lang w:val="es-CO"/>
        </w:rPr>
        <w:t>11 de diciembre de 2019,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y se encontraba vigente para la época en que ocurrió el fallecimiento (</w:t>
      </w:r>
      <w:r w:rsidRPr="00DF5649">
        <w:rPr>
          <w:rFonts w:asciiTheme="majorHAnsi" w:eastAsiaTheme="minorHAnsi" w:hAnsiTheme="majorHAnsi" w:cstheme="majorHAnsi"/>
          <w:b/>
          <w:sz w:val="22"/>
          <w:szCs w:val="22"/>
          <w:lang w:val="es-CO"/>
        </w:rPr>
        <w:t>08 de junio de 2021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). Igualmente, </w:t>
      </w:r>
      <w:r w:rsidRPr="00DF5649">
        <w:rPr>
          <w:rFonts w:asciiTheme="majorHAnsi" w:eastAsiaTheme="minorHAnsi" w:hAnsiTheme="majorHAnsi" w:cstheme="majorHAnsi"/>
          <w:b/>
          <w:i/>
          <w:sz w:val="22"/>
          <w:szCs w:val="22"/>
          <w:u w:val="single"/>
          <w:lang w:val="es-CO"/>
        </w:rPr>
        <w:t>ofrece cobertura material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>, comoquiera que dentro de los amparos concertados se encuentra el de “Vida (Muerte por cualquier causa).</w:t>
      </w:r>
    </w:p>
    <w:p w:rsidR="00DF5649" w:rsidRPr="00DF5649" w:rsidRDefault="00DF5649" w:rsidP="00DF5649">
      <w:pPr>
        <w:pStyle w:val="NormalWeb"/>
        <w:shd w:val="clear" w:color="auto" w:fill="FFFFFF"/>
        <w:spacing w:after="0" w:line="276" w:lineRule="auto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No </w:t>
      </w:r>
      <w:r w:rsidR="008C430C"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>obstante,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dependerá del debate probatorio y del criterio del juzgador: (i) aplicar la consecuencia jurídica prevista en el artículo 1058 del Código de Comercio, a efectos de declarar la nulidad relativa del contrato de seguro, como resultado de la reticencia del asegurado; y (ii) aplicar la tesis según la cual constituye una exigencia la práctica de exámenes médicos, o la necesidad de relación causal entre la verdad omitida y la realización del siniestro.</w:t>
      </w:r>
    </w:p>
    <w:p w:rsidR="00DF5649" w:rsidRPr="00DF5649" w:rsidRDefault="00DF5649" w:rsidP="00DF5649">
      <w:pPr>
        <w:pStyle w:val="NormalWeb"/>
        <w:shd w:val="clear" w:color="auto" w:fill="FFFFFF"/>
        <w:spacing w:after="0" w:line="276" w:lineRule="auto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>
        <w:rPr>
          <w:rFonts w:asciiTheme="majorHAnsi" w:eastAsiaTheme="minorHAnsi" w:hAnsiTheme="majorHAnsi" w:cstheme="majorHAnsi"/>
          <w:sz w:val="22"/>
          <w:szCs w:val="22"/>
          <w:lang w:val="es-CO"/>
        </w:rPr>
        <w:t>A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>demás, deberá confirmarse o desvirtuarse si la firma y el diligenciamiento de la declaración de asegurabilidad fue efectivamente realizado por el asegurado, situación que enfáticamente ha reprochado el extremo actor.</w:t>
      </w:r>
    </w:p>
    <w:p w:rsidR="000C1F11" w:rsidRDefault="00DF5649" w:rsidP="000053D3">
      <w:pPr>
        <w:pStyle w:val="NormalWeb"/>
        <w:shd w:val="clear" w:color="auto" w:fill="FFFFFF"/>
        <w:spacing w:after="0" w:line="276" w:lineRule="auto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>
        <w:rPr>
          <w:rFonts w:asciiTheme="majorHAnsi" w:eastAsiaTheme="minorHAnsi" w:hAnsiTheme="majorHAnsi" w:cstheme="majorHAnsi"/>
          <w:sz w:val="22"/>
          <w:szCs w:val="22"/>
          <w:lang w:val="es-CO"/>
        </w:rPr>
        <w:t>E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>s importante destacar que hasta este momento procesal contamos con elementos probatorios</w:t>
      </w:r>
      <w:r w:rsidR="008C430C">
        <w:rPr>
          <w:rFonts w:asciiTheme="majorHAnsi" w:eastAsiaTheme="minorHAnsi" w:hAnsiTheme="majorHAnsi" w:cstheme="majorHAnsi"/>
          <w:sz w:val="22"/>
          <w:szCs w:val="22"/>
          <w:lang w:val="es-CO"/>
        </w:rPr>
        <w:t>, como el dictamen pericial emitido por el Dr. Gabriel Duque Posada, que acreditan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</w:t>
      </w:r>
      <w:r w:rsidR="004D098C"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>que,</w:t>
      </w:r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si la compañía hubiera conocido la información omitida por el asegurado, habría adoptado una conducta distinta, como </w:t>
      </w:r>
      <w:proofErr w:type="spellStart"/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>extraprimar</w:t>
      </w:r>
      <w:proofErr w:type="spellEnd"/>
      <w:r w:rsidRPr="00DF5649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o negarse a la emisión de la póliza, en los términos del artículo 1058 del Código de Comercio</w:t>
      </w:r>
      <w:r w:rsidR="008C430C">
        <w:rPr>
          <w:rFonts w:asciiTheme="majorHAnsi" w:eastAsiaTheme="minorHAnsi" w:hAnsiTheme="majorHAnsi" w:cstheme="majorHAnsi"/>
          <w:sz w:val="22"/>
          <w:szCs w:val="22"/>
          <w:lang w:val="es-CO"/>
        </w:rPr>
        <w:t>.</w:t>
      </w:r>
      <w:r w:rsidR="000053D3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Concretamente el dictamen concluyó: “</w:t>
      </w:r>
      <w:r w:rsidR="000053D3" w:rsidRPr="000053D3">
        <w:rPr>
          <w:rFonts w:asciiTheme="majorHAnsi" w:eastAsiaTheme="minorHAnsi" w:hAnsiTheme="majorHAnsi" w:cstheme="majorHAnsi"/>
          <w:sz w:val="22"/>
          <w:szCs w:val="22"/>
          <w:lang w:val="es-CO"/>
        </w:rPr>
        <w:t>De acuerdo a LAS POLÍTICAS DE SUSCRIPCIÓN y dado que no declaró ninguna patología, la compañía no lo remitió a exámenes médicos. Procedió a calificar como riesgo estándar. En caso que el señor</w:t>
      </w:r>
      <w:r w:rsidR="000053D3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</w:t>
      </w:r>
      <w:r w:rsidR="000053D3" w:rsidRPr="000053D3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SAID QUINTANA hubiese declarado estos antecedentes (CARDIOPATÍA ISQUÉMICA + IAM + CATETERISMO CARDIACO + CIRUGIA CORAZÓN ABIERTO), la aseguradora BBVA Seguros, hubiese requerido la realización de exámenes o la solicitud de la historia clínica, la valoración de dichos resultados por parte del médico calificador, </w:t>
      </w:r>
      <w:proofErr w:type="gramStart"/>
      <w:r w:rsidR="000053D3" w:rsidRPr="000053D3">
        <w:rPr>
          <w:rFonts w:asciiTheme="majorHAnsi" w:eastAsiaTheme="minorHAnsi" w:hAnsiTheme="majorHAnsi" w:cstheme="majorHAnsi"/>
          <w:sz w:val="22"/>
          <w:szCs w:val="22"/>
          <w:lang w:val="es-CO"/>
        </w:rPr>
        <w:t>quien</w:t>
      </w:r>
      <w:proofErr w:type="gramEnd"/>
      <w:r w:rsidR="000053D3" w:rsidRPr="000053D3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dadas las estadísticas mostradas, hubiese calif</w:t>
      </w:r>
      <w:r w:rsidR="000053D3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icado como RIESGO NO ASEGURABLE”. </w:t>
      </w: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496E72">
        <w:rPr>
          <w:rFonts w:asciiTheme="majorHAnsi" w:hAnsiTheme="majorHAnsi" w:cstheme="majorHAnsi"/>
          <w:b/>
          <w:sz w:val="22"/>
          <w:szCs w:val="22"/>
          <w:highlight w:val="cyan"/>
          <w:lang w:val="es-CO"/>
        </w:rPr>
        <w:lastRenderedPageBreak/>
        <w:t>DESARROLLO AUDIENCIA ART. 373 CGP</w:t>
      </w:r>
    </w:p>
    <w:p w:rsidR="000C1F11" w:rsidRDefault="00DF5649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22</w:t>
      </w:r>
      <w:r w:rsidR="000C1F11">
        <w:rPr>
          <w:rFonts w:asciiTheme="majorHAnsi" w:hAnsiTheme="majorHAnsi" w:cstheme="majorHAnsi"/>
          <w:b/>
          <w:sz w:val="22"/>
          <w:szCs w:val="22"/>
          <w:lang w:val="es-CO"/>
        </w:rPr>
        <w:t xml:space="preserve"> DE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OCTUBRE DEL 2024</w:t>
      </w:r>
      <w:r w:rsidR="00770DB5">
        <w:rPr>
          <w:rFonts w:asciiTheme="majorHAnsi" w:hAnsiTheme="majorHAnsi" w:cstheme="majorHAnsi"/>
          <w:b/>
          <w:sz w:val="22"/>
          <w:szCs w:val="22"/>
          <w:lang w:val="es-CO"/>
        </w:rPr>
        <w:t xml:space="preserve"> (APLAZADA)</w:t>
      </w: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496E72">
        <w:rPr>
          <w:rFonts w:asciiTheme="majorHAnsi" w:hAnsiTheme="majorHAnsi" w:cstheme="majorHAnsi"/>
          <w:b/>
          <w:sz w:val="22"/>
          <w:szCs w:val="22"/>
          <w:highlight w:val="yellow"/>
          <w:lang w:val="es-CO"/>
        </w:rPr>
        <w:t>ASISTENCIA DE LAS PARTES: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CC0566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t xml:space="preserve">Se reconoce personería jurídica. </w:t>
      </w:r>
      <w:proofErr w:type="spellStart"/>
      <w:r w:rsidR="000C1F11" w:rsidRPr="00496E72">
        <w:rPr>
          <w:rFonts w:asciiTheme="majorHAnsi" w:hAnsiTheme="majorHAnsi" w:cstheme="majorHAnsi"/>
          <w:sz w:val="22"/>
          <w:szCs w:val="22"/>
          <w:lang w:val="es-CO"/>
        </w:rPr>
        <w:t>Darlyn</w:t>
      </w:r>
      <w:proofErr w:type="spellEnd"/>
      <w:r w:rsidR="000C1F11" w:rsidRPr="00496E72">
        <w:rPr>
          <w:rFonts w:asciiTheme="majorHAnsi" w:hAnsiTheme="majorHAnsi" w:cstheme="majorHAnsi"/>
          <w:sz w:val="22"/>
          <w:szCs w:val="22"/>
          <w:lang w:val="es-CO"/>
        </w:rPr>
        <w:t xml:space="preserve"> Muñoz en calidad de apoderada judicial sustituta de </w:t>
      </w:r>
      <w:r w:rsidR="00DF5649">
        <w:rPr>
          <w:rFonts w:asciiTheme="majorHAnsi" w:hAnsiTheme="majorHAnsi" w:cstheme="majorHAnsi"/>
          <w:sz w:val="22"/>
          <w:szCs w:val="22"/>
          <w:lang w:val="es-CO"/>
        </w:rPr>
        <w:t>BBVA</w:t>
      </w:r>
      <w:r w:rsidR="000C1F11" w:rsidRPr="00496E72">
        <w:rPr>
          <w:rFonts w:asciiTheme="majorHAnsi" w:hAnsiTheme="majorHAnsi" w:cstheme="majorHAnsi"/>
          <w:sz w:val="22"/>
          <w:szCs w:val="22"/>
          <w:lang w:val="es-CO"/>
        </w:rPr>
        <w:t xml:space="preserve"> SEGUROS DE VIDA S.A.</w:t>
      </w:r>
      <w:r w:rsidR="000C1F11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</w:p>
    <w:p w:rsidR="00DF5649" w:rsidRDefault="00DF5649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highlight w:val="yellow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496E72">
        <w:rPr>
          <w:rFonts w:asciiTheme="majorHAnsi" w:hAnsiTheme="majorHAnsi" w:cstheme="majorHAnsi"/>
          <w:b/>
          <w:sz w:val="22"/>
          <w:szCs w:val="22"/>
          <w:highlight w:val="yellow"/>
          <w:lang w:val="es-CO"/>
        </w:rPr>
        <w:t>PRÁCTICA DE PRUEBAS:</w:t>
      </w: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Pr="008076D8" w:rsidRDefault="00CC0566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Para interrogatorio al perito:</w:t>
      </w:r>
    </w:p>
    <w:p w:rsidR="000C1F11" w:rsidRPr="00B22BDE" w:rsidRDefault="000C1F11" w:rsidP="00DF5649">
      <w:pPr>
        <w:pStyle w:val="NormalWeb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 xml:space="preserve">Sírvase manifestar al Despacho si Usted revisó la historia clínica de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Said Quintana </w:t>
      </w: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>qué evidencias identificó frente a los antecedentes médicos de aq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uella previos a 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>diciembre del 2019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.</w:t>
      </w: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</w:p>
    <w:p w:rsidR="000C1F11" w:rsidRPr="00DF5649" w:rsidRDefault="000C1F11" w:rsidP="0024471C">
      <w:pPr>
        <w:pStyle w:val="NormalWeb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Sírvase manifestar si de acuerdo con la historia clínica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>de Said Quintana</w:t>
      </w:r>
      <w:r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,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este </w:t>
      </w:r>
      <w:r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estaba en tratamiento o control médico en relación con sus antecedentes de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infarto agudo miocardio, cirugía de corazón abierto con bypass coronario, isquemia cerebral transitoria, </w:t>
      </w:r>
      <w:proofErr w:type="spellStart"/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>diverticulitis</w:t>
      </w:r>
      <w:proofErr w:type="spellEnd"/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>, cateterismo cardiaco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>.</w:t>
      </w:r>
    </w:p>
    <w:p w:rsidR="000C1F11" w:rsidRPr="00B22BDE" w:rsidRDefault="000C1F11" w:rsidP="000C1F11">
      <w:pPr>
        <w:pStyle w:val="NormalWeb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 xml:space="preserve">Sírvase manifestar si como resultado de ese control en que se encontraba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>Said Quintana</w:t>
      </w: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>,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 este </w:t>
      </w: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 xml:space="preserve">tomaba medicamentos con frecuencia.  </w:t>
      </w:r>
    </w:p>
    <w:p w:rsidR="000C1F11" w:rsidRPr="00B22BDE" w:rsidRDefault="000C1F11" w:rsidP="000C1F11">
      <w:pPr>
        <w:pStyle w:val="NormalWeb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 xml:space="preserve">Sírvase manifestar concretamente cuál es la incidencia que representa para el estado de salud el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infarto agudo miocardio, 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la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cirugía de corazón abierto con bypass coronario, isquemia cerebral transitoria, </w:t>
      </w:r>
      <w:proofErr w:type="spellStart"/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>diverticulitis</w:t>
      </w:r>
      <w:proofErr w:type="spellEnd"/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>, cateterismo cardiaco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, concretamente en un hombre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de las características del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 asegurado</w:t>
      </w: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>. Es decir, qué tan relevante en su condición de salud puede resultar para un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 hombre </w:t>
      </w: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>de esas características la e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>xistencia de estas enfermedades y antecedentes.</w:t>
      </w:r>
      <w:r w:rsidRPr="00B22BDE">
        <w:rPr>
          <w:rFonts w:asciiTheme="majorHAnsi" w:hAnsiTheme="majorHAnsi" w:cstheme="majorHAnsi"/>
          <w:b/>
          <w:sz w:val="22"/>
          <w:szCs w:val="22"/>
          <w:lang w:val="es-CO"/>
        </w:rPr>
        <w:t xml:space="preserve">  </w:t>
      </w:r>
    </w:p>
    <w:p w:rsidR="000C1F11" w:rsidRDefault="000C1F11" w:rsidP="000C1F1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Cuál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es con las incidencias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respecto del seguro.</w:t>
      </w:r>
    </w:p>
    <w:p w:rsidR="000C1F11" w:rsidRDefault="000C1F11" w:rsidP="000C1F1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Las anotaciones de la historia clínica referentes 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>a</w:t>
      </w:r>
      <w:r w:rsidR="00DF5649" w:rsidRPr="00B22BDE">
        <w:rPr>
          <w:rFonts w:asciiTheme="majorHAnsi" w:hAnsiTheme="majorHAnsi" w:cstheme="majorHAnsi"/>
          <w:b/>
          <w:sz w:val="22"/>
          <w:szCs w:val="22"/>
          <w:lang w:val="es-CO"/>
        </w:rPr>
        <w:t xml:space="preserve">l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infarto agudo miocardio, 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la </w:t>
      </w:r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cirugía de corazón abierto con bypass coronario, isquemia cerebral transitoria, </w:t>
      </w:r>
      <w:proofErr w:type="spellStart"/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>diverticulitis</w:t>
      </w:r>
      <w:proofErr w:type="spellEnd"/>
      <w:r w:rsidR="00DF5649" w:rsidRPr="00DF5649">
        <w:rPr>
          <w:rFonts w:asciiTheme="majorHAnsi" w:hAnsiTheme="majorHAnsi" w:cstheme="majorHAnsi"/>
          <w:b/>
          <w:sz w:val="22"/>
          <w:szCs w:val="22"/>
          <w:lang w:val="es-CO"/>
        </w:rPr>
        <w:t>, cateterismo cardiaco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>,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previas a 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>diciembre del 2019 evidencian que en efecto el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asegurad</w:t>
      </w:r>
      <w:r w:rsidR="00DF5649">
        <w:rPr>
          <w:rFonts w:asciiTheme="majorHAnsi" w:hAnsiTheme="majorHAnsi" w:cstheme="majorHAnsi"/>
          <w:b/>
          <w:sz w:val="22"/>
          <w:szCs w:val="22"/>
          <w:lang w:val="es-CO"/>
        </w:rPr>
        <w:t>o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estaba cursando por esta enfermedad. </w:t>
      </w: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CC0566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highlight w:val="yellow"/>
          <w:lang w:val="es-CO"/>
        </w:rPr>
        <w:t xml:space="preserve">PROYECTO </w:t>
      </w:r>
      <w:r w:rsidR="000C1F11" w:rsidRPr="00496E72">
        <w:rPr>
          <w:rFonts w:asciiTheme="majorHAnsi" w:hAnsiTheme="majorHAnsi" w:cstheme="majorHAnsi"/>
          <w:b/>
          <w:sz w:val="22"/>
          <w:szCs w:val="22"/>
          <w:highlight w:val="yellow"/>
          <w:lang w:val="es-CO"/>
        </w:rPr>
        <w:t>ALEGATOS DE CONCLUSIÓN:</w:t>
      </w: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:rsidR="000C1F11" w:rsidRDefault="000C1F11" w:rsidP="000C1F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El Despacho deberá tener en cuenta que en este proceso no le asiste ningún tipo de obligación indemnizatoria a la Compañía por cuanto:</w:t>
      </w:r>
    </w:p>
    <w:p w:rsidR="00DA6B4F" w:rsidRDefault="000C1F11" w:rsidP="000C1F11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4C33F3">
        <w:rPr>
          <w:rFonts w:asciiTheme="majorHAnsi" w:hAnsiTheme="majorHAnsi" w:cstheme="majorHAnsi"/>
          <w:b/>
          <w:sz w:val="22"/>
          <w:szCs w:val="22"/>
          <w:lang w:val="es-CO"/>
        </w:rPr>
        <w:t>Nulidad del contrato de seguro: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 No puede perderse de vista que </w:t>
      </w:r>
      <w:r w:rsidR="00DA6B4F">
        <w:rPr>
          <w:rFonts w:asciiTheme="majorHAnsi" w:hAnsiTheme="majorHAnsi" w:cstheme="majorHAnsi"/>
          <w:sz w:val="22"/>
          <w:szCs w:val="22"/>
          <w:lang w:val="es-CO"/>
        </w:rPr>
        <w:t xml:space="preserve">el señor </w:t>
      </w:r>
      <w:r w:rsidR="00DA6B4F" w:rsidRPr="00DF5649">
        <w:rPr>
          <w:rFonts w:asciiTheme="majorHAnsi" w:hAnsiTheme="majorHAnsi" w:cstheme="majorHAnsi"/>
          <w:b/>
          <w:sz w:val="22"/>
          <w:szCs w:val="22"/>
          <w:lang w:val="es-CO"/>
        </w:rPr>
        <w:t>Said Quintana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 fue reticente en virtud de que no declaró sinceramente el estado del riesgo con anterioridad al perfeccionamiento de su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aseguramiento. Como se explicó, las anteriores omisiones cobran fundamental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DA6B4F">
        <w:rPr>
          <w:rFonts w:asciiTheme="majorHAnsi" w:hAnsiTheme="majorHAnsi" w:cstheme="majorHAnsi"/>
          <w:sz w:val="22"/>
          <w:szCs w:val="22"/>
          <w:lang w:val="es-CO"/>
        </w:rPr>
        <w:t>relevancia, debido a que el entonces asegurado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 conocía sus enfermedades y antecedentes, sin embargo, los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lastRenderedPageBreak/>
        <w:t xml:space="preserve">negó en el momento de perfeccionar su seguro siendo supremamente relevantes para el Asegurador. </w:t>
      </w:r>
      <w:r w:rsidRPr="00DA6B4F">
        <w:rPr>
          <w:rFonts w:asciiTheme="majorHAnsi" w:hAnsiTheme="majorHAnsi" w:cstheme="majorHAnsi"/>
          <w:b/>
          <w:sz w:val="22"/>
          <w:szCs w:val="22"/>
          <w:lang w:val="es-CO"/>
        </w:rPr>
        <w:t xml:space="preserve">En otras palabras, es claro que, si mi representada hubiera conocido </w:t>
      </w:r>
      <w:r w:rsidR="00DA6B4F" w:rsidRPr="00DA6B4F">
        <w:rPr>
          <w:rFonts w:asciiTheme="majorHAnsi" w:hAnsiTheme="majorHAnsi" w:cstheme="majorHAnsi"/>
          <w:b/>
          <w:sz w:val="22"/>
          <w:szCs w:val="22"/>
          <w:lang w:val="es-CO"/>
        </w:rPr>
        <w:t xml:space="preserve">que el asegurado tenía antecedentes médico s relevantes como lo era el </w:t>
      </w:r>
      <w:r w:rsidR="00DA6B4F" w:rsidRPr="00DA6B4F">
        <w:rPr>
          <w:rFonts w:asciiTheme="majorHAnsi" w:hAnsiTheme="majorHAnsi" w:cstheme="majorHAnsi"/>
          <w:b/>
          <w:sz w:val="22"/>
          <w:szCs w:val="22"/>
          <w:lang w:val="es-CO"/>
        </w:rPr>
        <w:t>infarto agudo miocardio</w:t>
      </w:r>
      <w:r w:rsidR="00DA6B4F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, </w:t>
      </w:r>
      <w:r w:rsidR="00DA6B4F">
        <w:rPr>
          <w:rFonts w:asciiTheme="majorHAnsi" w:hAnsiTheme="majorHAnsi" w:cstheme="majorHAnsi"/>
          <w:b/>
          <w:sz w:val="22"/>
          <w:szCs w:val="22"/>
          <w:lang w:val="es-CO"/>
        </w:rPr>
        <w:t xml:space="preserve">la </w:t>
      </w:r>
      <w:r w:rsidR="00DA6B4F" w:rsidRPr="00DF5649">
        <w:rPr>
          <w:rFonts w:asciiTheme="majorHAnsi" w:hAnsiTheme="majorHAnsi" w:cstheme="majorHAnsi"/>
          <w:b/>
          <w:sz w:val="22"/>
          <w:szCs w:val="22"/>
          <w:lang w:val="es-CO"/>
        </w:rPr>
        <w:t>cirugía de corazón abierto con bypass coronario,</w:t>
      </w:r>
      <w:r w:rsidR="00DA6B4F">
        <w:rPr>
          <w:rFonts w:asciiTheme="majorHAnsi" w:hAnsiTheme="majorHAnsi" w:cstheme="majorHAnsi"/>
          <w:b/>
          <w:sz w:val="22"/>
          <w:szCs w:val="22"/>
          <w:lang w:val="es-CO"/>
        </w:rPr>
        <w:t xml:space="preserve"> la</w:t>
      </w:r>
      <w:r w:rsidR="00DA6B4F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 isquemia cerebral transitoria, </w:t>
      </w:r>
      <w:r w:rsidR="00DA6B4F">
        <w:rPr>
          <w:rFonts w:asciiTheme="majorHAnsi" w:hAnsiTheme="majorHAnsi" w:cstheme="majorHAnsi"/>
          <w:b/>
          <w:sz w:val="22"/>
          <w:szCs w:val="22"/>
          <w:lang w:val="es-CO"/>
        </w:rPr>
        <w:t xml:space="preserve">la </w:t>
      </w:r>
      <w:proofErr w:type="spellStart"/>
      <w:r w:rsidR="00DA6B4F" w:rsidRPr="00DF5649">
        <w:rPr>
          <w:rFonts w:asciiTheme="majorHAnsi" w:hAnsiTheme="majorHAnsi" w:cstheme="majorHAnsi"/>
          <w:b/>
          <w:sz w:val="22"/>
          <w:szCs w:val="22"/>
          <w:lang w:val="es-CO"/>
        </w:rPr>
        <w:t>diverticulitis</w:t>
      </w:r>
      <w:proofErr w:type="spellEnd"/>
      <w:r w:rsidR="00DA6B4F" w:rsidRPr="00DF56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, </w:t>
      </w:r>
      <w:r w:rsidR="00DA6B4F">
        <w:rPr>
          <w:rFonts w:asciiTheme="majorHAnsi" w:hAnsiTheme="majorHAnsi" w:cstheme="majorHAnsi"/>
          <w:b/>
          <w:sz w:val="22"/>
          <w:szCs w:val="22"/>
          <w:lang w:val="es-CO"/>
        </w:rPr>
        <w:t xml:space="preserve">el </w:t>
      </w:r>
      <w:r w:rsidR="00DA6B4F" w:rsidRPr="00DF5649">
        <w:rPr>
          <w:rFonts w:asciiTheme="majorHAnsi" w:hAnsiTheme="majorHAnsi" w:cstheme="majorHAnsi"/>
          <w:b/>
          <w:sz w:val="22"/>
          <w:szCs w:val="22"/>
          <w:lang w:val="es-CO"/>
        </w:rPr>
        <w:t>cateterismo cardiaco</w:t>
      </w:r>
      <w:r w:rsidRPr="00AF47DE">
        <w:rPr>
          <w:rFonts w:asciiTheme="majorHAnsi" w:hAnsiTheme="majorHAnsi" w:cstheme="majorHAnsi"/>
          <w:b/>
          <w:sz w:val="22"/>
          <w:szCs w:val="22"/>
          <w:u w:val="single"/>
          <w:lang w:val="es-CO"/>
        </w:rPr>
        <w:t xml:space="preserve"> con anterioridad al perfeccionamiento de su aseguramiento, evidentemente se habría retraído de celebrar el mismo, o por lo menos, habría pactado condiciones mucho más onerosas en él.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DA6B4F">
        <w:rPr>
          <w:rFonts w:asciiTheme="majorHAnsi" w:hAnsiTheme="majorHAnsi" w:cstheme="majorHAnsi"/>
          <w:sz w:val="22"/>
          <w:szCs w:val="22"/>
          <w:lang w:val="es-CO"/>
        </w:rPr>
        <w:t xml:space="preserve">Esto tal cual se indica en las conclusiones emitidas en el peritaje aportado por mi prohijada y que asevera sin dificultad que si la compañía hubiera conocido el verdadero estado del riesgo que se le estaba trasladando esta no habría emitido el aseguramiento, el dictamen concluye: </w:t>
      </w:r>
      <w:r w:rsidR="00DA6B4F" w:rsidRPr="00DA6B4F">
        <w:rPr>
          <w:rFonts w:asciiTheme="majorHAnsi" w:hAnsiTheme="majorHAnsi" w:cstheme="majorHAnsi"/>
          <w:i/>
          <w:sz w:val="22"/>
          <w:szCs w:val="22"/>
          <w:lang w:val="es-CO"/>
        </w:rPr>
        <w:t>“</w:t>
      </w:r>
      <w:r w:rsidR="00DA6B4F" w:rsidRPr="00DA6B4F">
        <w:rPr>
          <w:rFonts w:asciiTheme="majorHAnsi" w:eastAsiaTheme="minorHAnsi" w:hAnsiTheme="majorHAnsi" w:cstheme="majorHAnsi"/>
          <w:i/>
          <w:sz w:val="22"/>
          <w:szCs w:val="22"/>
          <w:lang w:val="es-CO"/>
        </w:rPr>
        <w:t xml:space="preserve">De acuerdo a LAS POLÍTICAS DE SUSCRIPCIÓN y dado que no declaró ninguna patología, la compañía no lo remitió a exámenes médicos. Procedió a calificar como riesgo estándar. En caso que el señor SAID QUINTANA hubiese declarado estos antecedentes (CARDIOPATÍA ISQUÉMICA + IAM + CATETERISMO CARDIACO + CIRUGIA CORAZÓN ABIERTO), la aseguradora BBVA Seguros, hubiese requerido la realización de exámenes o la solicitud de la historia clínica, la valoración de dichos resultados por parte del médico calificador, </w:t>
      </w:r>
      <w:proofErr w:type="gramStart"/>
      <w:r w:rsidR="00DA6B4F" w:rsidRPr="00DA6B4F">
        <w:rPr>
          <w:rFonts w:asciiTheme="majorHAnsi" w:eastAsiaTheme="minorHAnsi" w:hAnsiTheme="majorHAnsi" w:cstheme="majorHAnsi"/>
          <w:i/>
          <w:sz w:val="22"/>
          <w:szCs w:val="22"/>
          <w:lang w:val="es-CO"/>
        </w:rPr>
        <w:t>quien</w:t>
      </w:r>
      <w:proofErr w:type="gramEnd"/>
      <w:r w:rsidR="00DA6B4F" w:rsidRPr="00DA6B4F">
        <w:rPr>
          <w:rFonts w:asciiTheme="majorHAnsi" w:eastAsiaTheme="minorHAnsi" w:hAnsiTheme="majorHAnsi" w:cstheme="majorHAnsi"/>
          <w:i/>
          <w:sz w:val="22"/>
          <w:szCs w:val="22"/>
          <w:lang w:val="es-CO"/>
        </w:rPr>
        <w:t xml:space="preserve"> dadas las estadísticas mostradas, hubiese calificado como RIESGO NO ASEGURABLE”.</w:t>
      </w:r>
      <w:r w:rsidR="00DA6B4F">
        <w:rPr>
          <w:rFonts w:asciiTheme="majorHAnsi" w:eastAsiaTheme="minorHAnsi" w:hAnsiTheme="majorHAnsi" w:cstheme="majorHAnsi"/>
          <w:i/>
          <w:sz w:val="22"/>
          <w:szCs w:val="22"/>
          <w:lang w:val="es-CO"/>
        </w:rPr>
        <w:t xml:space="preserve"> </w:t>
      </w:r>
      <w:r w:rsidR="00DA6B4F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Es de anotar que el perito también resalta el hecho de que, como el asegurado no manifestó tener ninguna enfermedad preexistente a la fecha en la que solicitó su aseguramiento, pues la conducta de la compañía fue no enviarlo a exámenes o revisiones a la historia clínica, puesto que, confiando en la buena fe del asegurado, se confió en que no </w:t>
      </w:r>
      <w:proofErr w:type="gramStart"/>
      <w:r w:rsidR="00DA6B4F">
        <w:rPr>
          <w:rFonts w:asciiTheme="majorHAnsi" w:eastAsiaTheme="minorHAnsi" w:hAnsiTheme="majorHAnsi" w:cstheme="majorHAnsi"/>
          <w:sz w:val="22"/>
          <w:szCs w:val="22"/>
          <w:lang w:val="es-CO"/>
        </w:rPr>
        <w:t>habían</w:t>
      </w:r>
      <w:proofErr w:type="gramEnd"/>
      <w:r w:rsidR="00DA6B4F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enfermedades por declarar. </w:t>
      </w:r>
    </w:p>
    <w:p w:rsidR="000C1F11" w:rsidRPr="004C33F3" w:rsidRDefault="000C1F11" w:rsidP="000C1F11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4C33F3">
        <w:rPr>
          <w:rFonts w:asciiTheme="majorHAnsi" w:hAnsiTheme="majorHAnsi" w:cstheme="majorHAnsi"/>
          <w:sz w:val="22"/>
          <w:szCs w:val="22"/>
          <w:lang w:val="es-CO"/>
        </w:rPr>
        <w:t>En este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sentido,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basta con evidenciar la historia clínica </w:t>
      </w:r>
      <w:r w:rsidR="00B62B91">
        <w:rPr>
          <w:rFonts w:asciiTheme="majorHAnsi" w:hAnsiTheme="majorHAnsi" w:cstheme="majorHAnsi"/>
          <w:sz w:val="22"/>
          <w:szCs w:val="22"/>
          <w:lang w:val="es-CO"/>
        </w:rPr>
        <w:t xml:space="preserve">del </w:t>
      </w:r>
      <w:r w:rsidR="00B62B91">
        <w:rPr>
          <w:rFonts w:asciiTheme="majorHAnsi" w:hAnsiTheme="majorHAnsi" w:cstheme="majorHAnsi"/>
          <w:sz w:val="22"/>
          <w:szCs w:val="22"/>
          <w:lang w:val="es-CO"/>
        </w:rPr>
        <w:t xml:space="preserve">señor </w:t>
      </w:r>
      <w:r w:rsidR="00B62B91" w:rsidRPr="00DF5649">
        <w:rPr>
          <w:rFonts w:asciiTheme="majorHAnsi" w:hAnsiTheme="majorHAnsi" w:cstheme="majorHAnsi"/>
          <w:b/>
          <w:sz w:val="22"/>
          <w:szCs w:val="22"/>
          <w:lang w:val="es-CO"/>
        </w:rPr>
        <w:t>Said Quintana</w:t>
      </w:r>
      <w:r w:rsidR="00B62B91"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para advertir que desde una valoración que se afinque en la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sana crítica, se concluye claramente que estas enfermedades y antecedentes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cumplen de lejos los parámetros del artículo 1058 del Código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de Comercio, para invocar y declarar la nulidad de su seguro en virtud de la configuración del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fenómeno jurídico de reticencia.</w:t>
      </w:r>
    </w:p>
    <w:p w:rsidR="000C1F11" w:rsidRDefault="000C1F11" w:rsidP="00F67AD6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t xml:space="preserve">Es preciso indicar que de acuerdo con el dictamen pericial sustentado por el Dr. Duque, las enfermedades </w:t>
      </w:r>
      <w:r w:rsidR="00F67AD6">
        <w:rPr>
          <w:rFonts w:asciiTheme="majorHAnsi" w:hAnsiTheme="majorHAnsi" w:cstheme="majorHAnsi"/>
          <w:sz w:val="22"/>
          <w:szCs w:val="22"/>
          <w:lang w:val="es-CO"/>
        </w:rPr>
        <w:t>y antecedentes antes mencionados en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efecto se presentaron antes de la fecha en la que se firmó por la asegurada la declaración de asegurabilidad. De acuerdo con lo explicado por el Dr. Duque, </w:t>
      </w:r>
      <w:r w:rsidR="00F67AD6">
        <w:rPr>
          <w:rFonts w:asciiTheme="majorHAnsi" w:hAnsiTheme="majorHAnsi" w:cstheme="majorHAnsi"/>
          <w:sz w:val="22"/>
          <w:szCs w:val="22"/>
          <w:lang w:val="es-CO"/>
        </w:rPr>
        <w:t xml:space="preserve">de conocerse con anterioridad los antecedentes médicos del asegurado, </w:t>
      </w:r>
      <w:r w:rsidR="00F67AD6" w:rsidRPr="00F67AD6">
        <w:rPr>
          <w:rFonts w:asciiTheme="majorHAnsi" w:hAnsiTheme="majorHAnsi" w:cstheme="majorHAnsi"/>
          <w:sz w:val="22"/>
          <w:szCs w:val="22"/>
          <w:lang w:val="es-CO"/>
        </w:rPr>
        <w:t>se hubiese considerado como RIESGO NO ASEGURABLE</w:t>
      </w:r>
      <w:r w:rsidR="00F67AD6">
        <w:rPr>
          <w:rFonts w:asciiTheme="majorHAnsi" w:hAnsiTheme="majorHAnsi" w:cstheme="majorHAnsi"/>
          <w:sz w:val="22"/>
          <w:szCs w:val="22"/>
          <w:lang w:val="es-CO"/>
        </w:rPr>
        <w:t>.</w:t>
      </w:r>
      <w:r w:rsidR="00F67AD6" w:rsidRPr="00F67AD6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F67AD6">
        <w:rPr>
          <w:rFonts w:asciiTheme="majorHAnsi" w:hAnsiTheme="majorHAnsi" w:cstheme="majorHAnsi"/>
          <w:sz w:val="22"/>
          <w:szCs w:val="22"/>
          <w:lang w:val="es-CO"/>
        </w:rPr>
        <w:t xml:space="preserve">En este orden de ideas, 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cumplimos con el requisito de </w:t>
      </w:r>
      <w:r w:rsidR="00F67AD6">
        <w:rPr>
          <w:rFonts w:asciiTheme="majorHAnsi" w:hAnsiTheme="majorHAnsi" w:cstheme="majorHAnsi"/>
          <w:sz w:val="22"/>
          <w:szCs w:val="22"/>
          <w:lang w:val="es-CO"/>
        </w:rPr>
        <w:t>demorar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técnicamente </w:t>
      </w:r>
      <w:r w:rsidR="00F67AD6">
        <w:rPr>
          <w:rFonts w:asciiTheme="majorHAnsi" w:hAnsiTheme="majorHAnsi" w:cstheme="majorHAnsi"/>
          <w:sz w:val="22"/>
          <w:szCs w:val="22"/>
          <w:lang w:val="es-CO"/>
        </w:rPr>
        <w:t>cuál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habría sido la consecuencia </w:t>
      </w:r>
      <w:proofErr w:type="spellStart"/>
      <w:r>
        <w:rPr>
          <w:rFonts w:asciiTheme="majorHAnsi" w:hAnsiTheme="majorHAnsi" w:cstheme="majorHAnsi"/>
          <w:sz w:val="22"/>
          <w:szCs w:val="22"/>
          <w:lang w:val="es-CO"/>
        </w:rPr>
        <w:t>negocial</w:t>
      </w:r>
      <w:proofErr w:type="spellEnd"/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F67AD6">
        <w:rPr>
          <w:rFonts w:asciiTheme="majorHAnsi" w:hAnsiTheme="majorHAnsi" w:cstheme="majorHAnsi"/>
          <w:sz w:val="22"/>
          <w:szCs w:val="22"/>
          <w:lang w:val="es-CO"/>
        </w:rPr>
        <w:t>e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n caso de haber conocido el estado del riesgo. Esto fue también manifestado por el RL de la </w:t>
      </w:r>
      <w:proofErr w:type="spellStart"/>
      <w:r>
        <w:rPr>
          <w:rFonts w:asciiTheme="majorHAnsi" w:hAnsiTheme="majorHAnsi" w:cstheme="majorHAnsi"/>
          <w:sz w:val="22"/>
          <w:szCs w:val="22"/>
          <w:lang w:val="es-CO"/>
        </w:rPr>
        <w:t>asegruadora</w:t>
      </w:r>
      <w:proofErr w:type="spellEnd"/>
      <w:r>
        <w:rPr>
          <w:rFonts w:asciiTheme="majorHAnsi" w:hAnsiTheme="majorHAnsi" w:cstheme="majorHAnsi"/>
          <w:sz w:val="22"/>
          <w:szCs w:val="22"/>
          <w:lang w:val="es-CO"/>
        </w:rPr>
        <w:t xml:space="preserve">. </w:t>
      </w:r>
    </w:p>
    <w:p w:rsidR="000C1F11" w:rsidRDefault="000C1F11" w:rsidP="000C1F11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En conclusión, en el presente caso debe darse aplicación al artículo 1058 del Código de Comercio el cual consagra la nulidad del contrato de seguro como consecuencia de la reticencia del asegurado. El aseguramiento 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del señor </w:t>
      </w:r>
      <w:r w:rsidR="00B73098" w:rsidRPr="00DF5649">
        <w:rPr>
          <w:rFonts w:asciiTheme="majorHAnsi" w:hAnsiTheme="majorHAnsi" w:cstheme="majorHAnsi"/>
          <w:b/>
          <w:sz w:val="22"/>
          <w:szCs w:val="22"/>
          <w:lang w:val="es-CO"/>
        </w:rPr>
        <w:t>Said Quintana</w:t>
      </w:r>
      <w:r w:rsidR="00B73098"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 para advertir que desde una valoración que se afinque en la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B73098" w:rsidRPr="004C33F3">
        <w:rPr>
          <w:rFonts w:asciiTheme="majorHAnsi" w:hAnsiTheme="majorHAnsi" w:cstheme="majorHAnsi"/>
          <w:sz w:val="22"/>
          <w:szCs w:val="22"/>
          <w:lang w:val="es-CO"/>
        </w:rPr>
        <w:t xml:space="preserve">sana crítica, se concluye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debe declararse nulo, debido a que ésta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negó todas sus patologías y antecedentes durante la etapa precontractual al perfeccionamiento de su seguro. Más aun, cuando sus patologías y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antecedentes le fueron peguntados expresamente por medio de la declaración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4C33F3">
        <w:rPr>
          <w:rFonts w:asciiTheme="majorHAnsi" w:hAnsiTheme="majorHAnsi" w:cstheme="majorHAnsi"/>
          <w:sz w:val="22"/>
          <w:szCs w:val="22"/>
          <w:lang w:val="es-CO"/>
        </w:rPr>
        <w:t>de asegurabilidad que suscribió.</w:t>
      </w:r>
    </w:p>
    <w:p w:rsidR="00B73098" w:rsidRDefault="000C1F11" w:rsidP="00B73098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lastRenderedPageBreak/>
        <w:t xml:space="preserve">Es de anotar que 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>de acuerdo con el interrogatorio de parte el extremo accionante confirmó que: (i) A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>l señor Said Quintana le fue practicada cirugía a corazón abierto el 18 de julio de 2019.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(ii) Que p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>revio a la cirugía de corazón abierto le fue practicado un cateterismo cardiaco que no le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>funcionó.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(iii) que a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 xml:space="preserve">ntes de la cirugía, el señor Quintana también sufría de </w:t>
      </w:r>
      <w:proofErr w:type="spellStart"/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>diverculitis</w:t>
      </w:r>
      <w:proofErr w:type="spellEnd"/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 xml:space="preserve"> e iba a tratamientos para esta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enfermedad a Bucaramanga. (iv) que 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>el señor Said Quintana tenía estado de nutricional de obesidad. Pero luego de la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>cirugía afirman que perdió mucho peso.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(v) que e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>l señor Said Quintana sufría también de tabaquismo.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(vi) que e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>l señor Said Quintana asistía a controles médicos mensuales.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(vii) que </w:t>
      </w:r>
      <w:r w:rsidR="00B73098" w:rsidRPr="00B73098">
        <w:rPr>
          <w:rFonts w:asciiTheme="majorHAnsi" w:hAnsiTheme="majorHAnsi" w:cstheme="majorHAnsi"/>
          <w:sz w:val="22"/>
          <w:szCs w:val="22"/>
          <w:lang w:val="es-CO"/>
        </w:rPr>
        <w:t xml:space="preserve">El señor Quintana estaba formulado 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con </w:t>
      </w:r>
      <w:proofErr w:type="spellStart"/>
      <w:r w:rsidR="00B73098">
        <w:rPr>
          <w:rFonts w:asciiTheme="majorHAnsi" w:hAnsiTheme="majorHAnsi" w:cstheme="majorHAnsi"/>
          <w:sz w:val="22"/>
          <w:szCs w:val="22"/>
          <w:lang w:val="es-CO"/>
        </w:rPr>
        <w:t>carvedilol</w:t>
      </w:r>
      <w:proofErr w:type="spellEnd"/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y </w:t>
      </w:r>
      <w:proofErr w:type="spellStart"/>
      <w:r w:rsidR="00B73098">
        <w:rPr>
          <w:rFonts w:asciiTheme="majorHAnsi" w:hAnsiTheme="majorHAnsi" w:cstheme="majorHAnsi"/>
          <w:sz w:val="22"/>
          <w:szCs w:val="22"/>
          <w:lang w:val="es-CO"/>
        </w:rPr>
        <w:t>atorvastatina</w:t>
      </w:r>
      <w:proofErr w:type="spellEnd"/>
      <w:r w:rsidR="00B73098">
        <w:rPr>
          <w:rFonts w:asciiTheme="majorHAnsi" w:hAnsiTheme="majorHAnsi" w:cstheme="majorHAnsi"/>
          <w:sz w:val="22"/>
          <w:szCs w:val="22"/>
          <w:lang w:val="es-CO"/>
        </w:rPr>
        <w:t>. Lo que constata que</w:t>
      </w:r>
      <w:r w:rsidR="00790938">
        <w:rPr>
          <w:rFonts w:asciiTheme="majorHAnsi" w:hAnsiTheme="majorHAnsi" w:cstheme="majorHAnsi"/>
          <w:sz w:val="22"/>
          <w:szCs w:val="22"/>
          <w:lang w:val="es-CO"/>
        </w:rPr>
        <w:t>,</w:t>
      </w:r>
      <w:r w:rsidR="00B73098">
        <w:rPr>
          <w:rFonts w:asciiTheme="majorHAnsi" w:hAnsiTheme="majorHAnsi" w:cstheme="majorHAnsi"/>
          <w:sz w:val="22"/>
          <w:szCs w:val="22"/>
          <w:lang w:val="es-CO"/>
        </w:rPr>
        <w:t xml:space="preserve"> en efecto, tanto él como su familia eran conocedores de la condición cardiaca del asegurado previo a la solicitud del aseguramiento.  </w:t>
      </w:r>
    </w:p>
    <w:p w:rsidR="00790938" w:rsidRDefault="00790938" w:rsidP="00790938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t xml:space="preserve">También resulta muy importante resaltar que, en </w:t>
      </w:r>
      <w:r w:rsidRPr="00790938">
        <w:rPr>
          <w:rFonts w:asciiTheme="majorHAnsi" w:hAnsiTheme="majorHAnsi" w:cstheme="majorHAnsi"/>
          <w:sz w:val="22"/>
          <w:szCs w:val="22"/>
          <w:lang w:val="es-CO"/>
        </w:rPr>
        <w:t>el interrogatorio las demandantes reconocen que la firma contenida en la declaración de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790938">
        <w:rPr>
          <w:rFonts w:asciiTheme="majorHAnsi" w:hAnsiTheme="majorHAnsi" w:cstheme="majorHAnsi"/>
          <w:sz w:val="22"/>
          <w:szCs w:val="22"/>
          <w:lang w:val="es-CO"/>
        </w:rPr>
        <w:t xml:space="preserve">asegurabilidad corresponde a la del señor Quintana, </w:t>
      </w:r>
      <w:r w:rsidR="00EB4671">
        <w:rPr>
          <w:rFonts w:asciiTheme="majorHAnsi" w:hAnsiTheme="majorHAnsi" w:cstheme="majorHAnsi"/>
          <w:sz w:val="22"/>
          <w:szCs w:val="22"/>
          <w:lang w:val="es-CO"/>
        </w:rPr>
        <w:t xml:space="preserve">y </w:t>
      </w:r>
      <w:r w:rsidRPr="00790938">
        <w:rPr>
          <w:rFonts w:asciiTheme="majorHAnsi" w:hAnsiTheme="majorHAnsi" w:cstheme="majorHAnsi"/>
          <w:sz w:val="22"/>
          <w:szCs w:val="22"/>
          <w:lang w:val="es-CO"/>
        </w:rPr>
        <w:t>que lo que desconocen es la letra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. </w:t>
      </w:r>
    </w:p>
    <w:p w:rsidR="007F6A71" w:rsidRDefault="007F6A71" w:rsidP="00790938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t>Ahora bien, es preciso hacer algunas aclaraciones en torno a la defensa de la parte accionante:</w:t>
      </w:r>
    </w:p>
    <w:p w:rsidR="007F6A71" w:rsidRDefault="007F6A71" w:rsidP="008C6150">
      <w:pPr>
        <w:pStyle w:val="NormalWeb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7F6A71">
        <w:rPr>
          <w:rFonts w:asciiTheme="majorHAnsi" w:hAnsiTheme="majorHAnsi" w:cstheme="majorHAnsi"/>
          <w:sz w:val="22"/>
          <w:szCs w:val="22"/>
          <w:lang w:val="es-CO"/>
        </w:rPr>
        <w:t>El Código de Comercio se abstuvo de consagrar la inspección del riesgo como una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obligación a cargo del asegurador. Es decir, </w:t>
      </w:r>
      <w:r w:rsidRPr="007F6A71">
        <w:rPr>
          <w:rFonts w:asciiTheme="majorHAnsi" w:hAnsiTheme="majorHAnsi" w:cstheme="majorHAnsi"/>
          <w:b/>
          <w:sz w:val="22"/>
          <w:szCs w:val="22"/>
          <w:lang w:val="es-CO"/>
        </w:rPr>
        <w:t>no es un requisito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 para la declaratoria de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la reticencia, </w:t>
      </w:r>
      <w:r w:rsidRPr="007F6A71">
        <w:rPr>
          <w:rFonts w:asciiTheme="majorHAnsi" w:hAnsiTheme="majorHAnsi" w:cstheme="majorHAnsi"/>
          <w:b/>
          <w:sz w:val="22"/>
          <w:szCs w:val="22"/>
          <w:lang w:val="es-CO"/>
        </w:rPr>
        <w:t>que la aseguradora verifique el estado del riesgo antes de contratar</w:t>
      </w:r>
      <w:r>
        <w:rPr>
          <w:rFonts w:asciiTheme="majorHAnsi" w:hAnsiTheme="majorHAnsi" w:cstheme="majorHAnsi"/>
          <w:sz w:val="22"/>
          <w:szCs w:val="22"/>
          <w:lang w:val="es-CO"/>
        </w:rPr>
        <w:t>.</w:t>
      </w:r>
    </w:p>
    <w:p w:rsidR="007F6A71" w:rsidRDefault="007F6A71" w:rsidP="006C3DD6">
      <w:pPr>
        <w:pStyle w:val="NormalWeb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7F6A71">
        <w:rPr>
          <w:rFonts w:asciiTheme="majorHAnsi" w:hAnsiTheme="majorHAnsi" w:cstheme="majorHAnsi"/>
          <w:sz w:val="22"/>
          <w:szCs w:val="22"/>
          <w:lang w:val="es-CO"/>
        </w:rPr>
        <w:t>La necesidad de que el contrato de seguro se celebre con la ubérrima buena fe, vincula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>por igual al tomador y al asegurador. Sin embargo, la carga de información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>precontractual corresponde al tomador, pues es en relación con esta que pueden surgir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las nulidades relativas contempladas en el Código de Comercio. En otras palabras, </w:t>
      </w:r>
      <w:r w:rsidRPr="007F6A71">
        <w:rPr>
          <w:rFonts w:asciiTheme="majorHAnsi" w:hAnsiTheme="majorHAnsi" w:cstheme="majorHAnsi"/>
          <w:b/>
          <w:sz w:val="22"/>
          <w:szCs w:val="22"/>
          <w:lang w:val="es-CO"/>
        </w:rPr>
        <w:t>es</w:t>
      </w:r>
      <w:r w:rsidRPr="007F6A71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Pr="007F6A71">
        <w:rPr>
          <w:rFonts w:asciiTheme="majorHAnsi" w:hAnsiTheme="majorHAnsi" w:cstheme="majorHAnsi"/>
          <w:b/>
          <w:sz w:val="22"/>
          <w:szCs w:val="22"/>
          <w:lang w:val="es-CO"/>
        </w:rPr>
        <w:t>el tomador del contrato quien tiene la obligación de informar acerca del estado del riesgo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>y no la aseguradora quien tiene la obligación de verificarlo</w:t>
      </w:r>
      <w:r>
        <w:rPr>
          <w:rFonts w:asciiTheme="majorHAnsi" w:hAnsiTheme="majorHAnsi" w:cstheme="majorHAnsi"/>
          <w:sz w:val="22"/>
          <w:szCs w:val="22"/>
          <w:lang w:val="es-CO"/>
        </w:rPr>
        <w:t>.</w:t>
      </w:r>
    </w:p>
    <w:p w:rsidR="007F6A71" w:rsidRDefault="007F6A71" w:rsidP="007F6A71">
      <w:pPr>
        <w:pStyle w:val="NormalWeb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En materia específica de seguros de vida, es desacertado jurídicamente afirmar que existe una obligación legal en cabeza de las aseguradoras </w:t>
      </w:r>
      <w:r w:rsidRPr="004B5CC1">
        <w:rPr>
          <w:rFonts w:asciiTheme="majorHAnsi" w:hAnsiTheme="majorHAnsi" w:cstheme="majorHAnsi"/>
          <w:b/>
          <w:sz w:val="22"/>
          <w:szCs w:val="22"/>
          <w:lang w:val="es-CO"/>
        </w:rPr>
        <w:t>de exigir y/o practicar exámenes médicos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 xml:space="preserve"> con anterioridad a la celeb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>ración de un contrato de seguro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>, no solo no existe una obligación legal de esta naturaleza, sino que, por el contrario, existen normas imperativas de orden público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, como lo es el 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>artículo 1158 del Código de Comercio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, </w:t>
      </w:r>
      <w:r w:rsidRPr="007F6A71">
        <w:rPr>
          <w:rFonts w:asciiTheme="majorHAnsi" w:hAnsiTheme="majorHAnsi" w:cstheme="majorHAnsi"/>
          <w:sz w:val="22"/>
          <w:szCs w:val="22"/>
          <w:lang w:val="es-CO"/>
        </w:rPr>
        <w:t>que expresamente establecen que no es una obligación de las aseguradoras la práctica y/o exigencia de este tipo de exámenes.</w:t>
      </w:r>
    </w:p>
    <w:p w:rsidR="00A716EB" w:rsidRPr="00A716EB" w:rsidRDefault="00A716EB" w:rsidP="009B65E9">
      <w:pPr>
        <w:pStyle w:val="NormalWeb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A716EB">
        <w:rPr>
          <w:rFonts w:asciiTheme="majorHAnsi" w:hAnsiTheme="majorHAnsi" w:cstheme="majorHAnsi"/>
          <w:sz w:val="22"/>
          <w:szCs w:val="22"/>
          <w:lang w:val="es-CO"/>
        </w:rPr>
        <w:t xml:space="preserve">No existe una obligación de acreditar una </w:t>
      </w:r>
      <w:r w:rsidRPr="00330F0D">
        <w:rPr>
          <w:rFonts w:asciiTheme="majorHAnsi" w:hAnsiTheme="majorHAnsi" w:cstheme="majorHAnsi"/>
          <w:b/>
          <w:sz w:val="22"/>
          <w:szCs w:val="22"/>
          <w:lang w:val="es-CO"/>
        </w:rPr>
        <w:t>relación de causalidad</w:t>
      </w:r>
      <w:r w:rsidRPr="00A716EB">
        <w:rPr>
          <w:rFonts w:asciiTheme="majorHAnsi" w:hAnsiTheme="majorHAnsi" w:cstheme="majorHAnsi"/>
          <w:sz w:val="22"/>
          <w:szCs w:val="22"/>
          <w:lang w:val="es-CO"/>
        </w:rPr>
        <w:t xml:space="preserve"> entre la omisión del asegurado y la ocurrencia del siniestro, comoquiera que dicho nexo no constituye un elemento configurativo de la nulidad del contrato de seguro</w:t>
      </w:r>
      <w:r w:rsidR="00330F0D">
        <w:rPr>
          <w:rFonts w:asciiTheme="majorHAnsi" w:hAnsiTheme="majorHAnsi" w:cstheme="majorHAnsi"/>
          <w:sz w:val="22"/>
          <w:szCs w:val="22"/>
          <w:lang w:val="es-CO"/>
        </w:rPr>
        <w:t>.</w:t>
      </w:r>
      <w:r w:rsidRPr="00A716EB">
        <w:rPr>
          <w:rFonts w:asciiTheme="majorHAnsi" w:hAnsiTheme="majorHAnsi" w:cstheme="majorHAnsi"/>
          <w:sz w:val="22"/>
          <w:szCs w:val="22"/>
          <w:lang w:val="es-CO"/>
        </w:rPr>
        <w:t xml:space="preserve"> La nulidad relativa </w:t>
      </w:r>
      <w:r w:rsidRPr="00A716EB">
        <w:rPr>
          <w:rFonts w:asciiTheme="majorHAnsi" w:hAnsiTheme="majorHAnsi" w:cstheme="majorHAnsi"/>
          <w:sz w:val="22"/>
          <w:szCs w:val="22"/>
          <w:lang w:val="es-CO"/>
        </w:rPr>
        <w:t>por reticencia del asegurado corresponde a una sanción jurídica que se configura precisamente por el incumplimiento del asegurado al deber precontractual de declarar sinceramente el estado del riesgo, con independencia de que la eventual omisión incida o no en la causa de muerte</w:t>
      </w:r>
      <w:r w:rsidRPr="00A716EB">
        <w:rPr>
          <w:rFonts w:asciiTheme="majorHAnsi" w:hAnsiTheme="majorHAnsi" w:cstheme="majorHAnsi"/>
          <w:sz w:val="22"/>
          <w:szCs w:val="22"/>
          <w:lang w:val="es-CO"/>
        </w:rPr>
        <w:t>.</w:t>
      </w:r>
    </w:p>
    <w:p w:rsidR="00182C7B" w:rsidRDefault="00182C7B" w:rsidP="000C1F11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182C7B" w:rsidRDefault="00182C7B" w:rsidP="000C1F11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lastRenderedPageBreak/>
        <w:t xml:space="preserve">Es por todo lo anterior, que habiéndose acreditado: (i) la enfermedad preexistente y no declarada; y (ii) la consecuencia </w:t>
      </w:r>
      <w:proofErr w:type="spellStart"/>
      <w:r>
        <w:rPr>
          <w:rFonts w:asciiTheme="majorHAnsi" w:hAnsiTheme="majorHAnsi" w:cstheme="majorHAnsi"/>
          <w:sz w:val="22"/>
          <w:szCs w:val="22"/>
          <w:lang w:val="es-CO"/>
        </w:rPr>
        <w:t>negocial</w:t>
      </w:r>
      <w:proofErr w:type="spellEnd"/>
      <w:r>
        <w:rPr>
          <w:rFonts w:asciiTheme="majorHAnsi" w:hAnsiTheme="majorHAnsi" w:cstheme="majorHAnsi"/>
          <w:sz w:val="22"/>
          <w:szCs w:val="22"/>
          <w:lang w:val="es-CO"/>
        </w:rPr>
        <w:t xml:space="preserve"> generada como resultado de la reticencia; es necesario por ser procedente declarar la nulidad relativa del aseguramiento vinculado a este proceso y con ello negar las pretensiones de la demanda. </w:t>
      </w:r>
    </w:p>
    <w:p w:rsidR="00737423" w:rsidRDefault="00182C7B" w:rsidP="00182C7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t xml:space="preserve">Dicho lo anterior, es preciso también resaltar que, también se configuró en este caso </w:t>
      </w:r>
      <w:r w:rsidRPr="00182C7B">
        <w:rPr>
          <w:rFonts w:asciiTheme="majorHAnsi" w:hAnsiTheme="majorHAnsi" w:cstheme="majorHAnsi"/>
          <w:sz w:val="22"/>
          <w:szCs w:val="22"/>
          <w:lang w:val="es-CO"/>
        </w:rPr>
        <w:t>la falta de legitimación es evidente, dado que el demandante al no ser parte del contrato de seguro, no tiene derecho a exigir la efectividad del mismo. Lo anterior, toda vez que el tomador y beneficiario es el Banco BBVA Colombia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. Así las </w:t>
      </w:r>
      <w:proofErr w:type="gramStart"/>
      <w:r>
        <w:rPr>
          <w:rFonts w:asciiTheme="majorHAnsi" w:hAnsiTheme="majorHAnsi" w:cstheme="majorHAnsi"/>
          <w:sz w:val="22"/>
          <w:szCs w:val="22"/>
          <w:lang w:val="es-CO"/>
        </w:rPr>
        <w:t>cosas</w:t>
      </w:r>
      <w:proofErr w:type="gramEnd"/>
      <w:r>
        <w:rPr>
          <w:rFonts w:asciiTheme="majorHAnsi" w:hAnsiTheme="majorHAnsi" w:cstheme="majorHAnsi"/>
          <w:sz w:val="22"/>
          <w:szCs w:val="22"/>
          <w:lang w:val="es-CO"/>
        </w:rPr>
        <w:t xml:space="preserve"> solicito al despacho resolver este proceso en estricta revisión de las condiciones bajo las cuales la póliza fue emitida.</w:t>
      </w:r>
    </w:p>
    <w:p w:rsidR="00182C7B" w:rsidRDefault="00737423" w:rsidP="00737423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t>Finalmente, es menester resaltar que: (i) la parte demandante no solicitó el cobro de intereses en las pretensiones invocadas en contra de la aseguradora; (ii)</w:t>
      </w:r>
      <w:r w:rsidR="00327C66">
        <w:rPr>
          <w:rFonts w:asciiTheme="majorHAnsi" w:hAnsiTheme="majorHAnsi" w:cstheme="majorHAnsi"/>
          <w:sz w:val="22"/>
          <w:szCs w:val="22"/>
          <w:lang w:val="es-CO"/>
        </w:rPr>
        <w:t xml:space="preserve"> el</w:t>
      </w:r>
      <w:r w:rsidR="00327C66" w:rsidRPr="00327C66">
        <w:rPr>
          <w:rFonts w:asciiTheme="majorHAnsi" w:hAnsiTheme="majorHAnsi" w:cstheme="majorHAnsi"/>
          <w:sz w:val="22"/>
          <w:szCs w:val="22"/>
          <w:lang w:val="es-CO"/>
        </w:rPr>
        <w:t xml:space="preserve"> daño moral es claramente improcedente, no solo porque escapa de la cobertura otorgada en el aseguramiento, sino porque tampoco se acreditó la </w:t>
      </w:r>
      <w:proofErr w:type="spellStart"/>
      <w:r w:rsidR="00327C66" w:rsidRPr="00327C66">
        <w:rPr>
          <w:rFonts w:asciiTheme="majorHAnsi" w:hAnsiTheme="majorHAnsi" w:cstheme="majorHAnsi"/>
          <w:sz w:val="22"/>
          <w:szCs w:val="22"/>
          <w:lang w:val="es-CO"/>
        </w:rPr>
        <w:t>causación</w:t>
      </w:r>
      <w:proofErr w:type="spellEnd"/>
      <w:r w:rsidR="00327C66" w:rsidRPr="00327C66">
        <w:rPr>
          <w:rFonts w:asciiTheme="majorHAnsi" w:hAnsiTheme="majorHAnsi" w:cstheme="majorHAnsi"/>
          <w:sz w:val="22"/>
          <w:szCs w:val="22"/>
          <w:lang w:val="es-CO"/>
        </w:rPr>
        <w:t xml:space="preserve"> del perjuicio.</w:t>
      </w:r>
      <w:r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</w:p>
    <w:p w:rsidR="000C1F11" w:rsidRDefault="000C1F11" w:rsidP="000C1F11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4C33F3">
        <w:rPr>
          <w:rFonts w:asciiTheme="majorHAnsi" w:hAnsiTheme="majorHAnsi" w:cstheme="majorHAnsi"/>
          <w:sz w:val="22"/>
          <w:szCs w:val="22"/>
          <w:lang w:val="es-CO"/>
        </w:rPr>
        <w:t>Por las razones antes expuestas, solicito respetuosamente negar la totalidad de las pretensiones de la parte demandante y en su lugar, imponerle condena en costas y agencias en derecho</w:t>
      </w:r>
      <w:r>
        <w:rPr>
          <w:rFonts w:asciiTheme="majorHAnsi" w:hAnsiTheme="majorHAnsi" w:cstheme="majorHAnsi"/>
          <w:sz w:val="22"/>
          <w:szCs w:val="22"/>
          <w:lang w:val="es-CO"/>
        </w:rPr>
        <w:t>.</w:t>
      </w:r>
    </w:p>
    <w:p w:rsidR="00770DB5" w:rsidRDefault="00770DB5" w:rsidP="00770DB5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t xml:space="preserve">El 21 de octubre </w:t>
      </w:r>
      <w:r w:rsidRPr="00770DB5">
        <w:rPr>
          <w:rFonts w:asciiTheme="majorHAnsi" w:hAnsiTheme="majorHAnsi" w:cstheme="majorHAnsi"/>
          <w:sz w:val="22"/>
          <w:szCs w:val="22"/>
          <w:lang w:val="es-CO"/>
        </w:rPr>
        <w:t xml:space="preserve">se cargó al expediente auto mediante el cual se aplaza la diligencia del 22 de octubre, para que en su lugar esta se desarrolle el próximo </w:t>
      </w:r>
      <w:r w:rsidRPr="00770DB5">
        <w:rPr>
          <w:rFonts w:asciiTheme="majorHAnsi" w:hAnsiTheme="majorHAnsi" w:cstheme="majorHAnsi"/>
          <w:b/>
          <w:i/>
          <w:sz w:val="22"/>
          <w:szCs w:val="22"/>
          <w:highlight w:val="yellow"/>
          <w:u w:val="single"/>
          <w:lang w:val="es-CO"/>
        </w:rPr>
        <w:t>martes 29 d</w:t>
      </w:r>
      <w:bookmarkStart w:id="0" w:name="_GoBack"/>
      <w:bookmarkEnd w:id="0"/>
      <w:r w:rsidRPr="00770DB5">
        <w:rPr>
          <w:rFonts w:asciiTheme="majorHAnsi" w:hAnsiTheme="majorHAnsi" w:cstheme="majorHAnsi"/>
          <w:b/>
          <w:i/>
          <w:sz w:val="22"/>
          <w:szCs w:val="22"/>
          <w:highlight w:val="yellow"/>
          <w:u w:val="single"/>
          <w:lang w:val="es-CO"/>
        </w:rPr>
        <w:t>e octubre de 2024 a las 8:30 a.m.</w:t>
      </w:r>
      <w:r w:rsidRPr="00770DB5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</w:p>
    <w:sectPr w:rsidR="00770D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14F"/>
    <w:multiLevelType w:val="hybridMultilevel"/>
    <w:tmpl w:val="C4B4DDBC"/>
    <w:lvl w:ilvl="0" w:tplc="A42C9D20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3F"/>
    <w:multiLevelType w:val="hybridMultilevel"/>
    <w:tmpl w:val="F7F406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F0CBC"/>
    <w:multiLevelType w:val="hybridMultilevel"/>
    <w:tmpl w:val="78D27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F1926"/>
    <w:multiLevelType w:val="hybridMultilevel"/>
    <w:tmpl w:val="48DCA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2DD4"/>
    <w:multiLevelType w:val="hybridMultilevel"/>
    <w:tmpl w:val="B00097FC"/>
    <w:lvl w:ilvl="0" w:tplc="234A2684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83C10"/>
    <w:multiLevelType w:val="hybridMultilevel"/>
    <w:tmpl w:val="081C5D1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4B1DD5"/>
    <w:multiLevelType w:val="hybridMultilevel"/>
    <w:tmpl w:val="7670293A"/>
    <w:lvl w:ilvl="0" w:tplc="07163B8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32A270C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03E0D"/>
    <w:multiLevelType w:val="hybridMultilevel"/>
    <w:tmpl w:val="08F292D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11"/>
    <w:rsid w:val="0000088C"/>
    <w:rsid w:val="000053D3"/>
    <w:rsid w:val="0003547D"/>
    <w:rsid w:val="000B53D7"/>
    <w:rsid w:val="000C1F11"/>
    <w:rsid w:val="000E140B"/>
    <w:rsid w:val="00170D15"/>
    <w:rsid w:val="00182C7B"/>
    <w:rsid w:val="001D24B0"/>
    <w:rsid w:val="001E6113"/>
    <w:rsid w:val="00327C66"/>
    <w:rsid w:val="00330F0D"/>
    <w:rsid w:val="003B3122"/>
    <w:rsid w:val="003F39D0"/>
    <w:rsid w:val="00402A8B"/>
    <w:rsid w:val="0041350A"/>
    <w:rsid w:val="004B5CC1"/>
    <w:rsid w:val="004B60AA"/>
    <w:rsid w:val="004D098C"/>
    <w:rsid w:val="00520317"/>
    <w:rsid w:val="005265B1"/>
    <w:rsid w:val="005954AF"/>
    <w:rsid w:val="00595896"/>
    <w:rsid w:val="005C6650"/>
    <w:rsid w:val="005D0F65"/>
    <w:rsid w:val="005D66E8"/>
    <w:rsid w:val="00651635"/>
    <w:rsid w:val="006A34EE"/>
    <w:rsid w:val="006F1507"/>
    <w:rsid w:val="00737423"/>
    <w:rsid w:val="007420EE"/>
    <w:rsid w:val="00770DB5"/>
    <w:rsid w:val="00790938"/>
    <w:rsid w:val="007C0E4D"/>
    <w:rsid w:val="007F6A71"/>
    <w:rsid w:val="007F7DDF"/>
    <w:rsid w:val="00885994"/>
    <w:rsid w:val="008C430C"/>
    <w:rsid w:val="009A1A65"/>
    <w:rsid w:val="009C1C43"/>
    <w:rsid w:val="00A40EBA"/>
    <w:rsid w:val="00A47BEF"/>
    <w:rsid w:val="00A716EB"/>
    <w:rsid w:val="00AC4CEA"/>
    <w:rsid w:val="00B360CC"/>
    <w:rsid w:val="00B401B9"/>
    <w:rsid w:val="00B451F0"/>
    <w:rsid w:val="00B62B91"/>
    <w:rsid w:val="00B73098"/>
    <w:rsid w:val="00C95C37"/>
    <w:rsid w:val="00CC0566"/>
    <w:rsid w:val="00CF1AE5"/>
    <w:rsid w:val="00D73831"/>
    <w:rsid w:val="00DA6B4F"/>
    <w:rsid w:val="00DE1A5C"/>
    <w:rsid w:val="00DF5649"/>
    <w:rsid w:val="00E8523B"/>
    <w:rsid w:val="00EB4671"/>
    <w:rsid w:val="00EE7DEA"/>
    <w:rsid w:val="00F56A59"/>
    <w:rsid w:val="00F67AD6"/>
    <w:rsid w:val="00F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F387"/>
  <w15:chartTrackingRefBased/>
  <w15:docId w15:val="{AB7ADD02-FABA-4FA7-921C-0A19BDC8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F1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F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1F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2497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3</cp:revision>
  <dcterms:created xsi:type="dcterms:W3CDTF">2024-10-21T22:44:00Z</dcterms:created>
  <dcterms:modified xsi:type="dcterms:W3CDTF">2024-10-21T22:45:00Z</dcterms:modified>
</cp:coreProperties>
</file>