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A662" w14:textId="77777777" w:rsidR="00CF6005" w:rsidRPr="00770ED9" w:rsidRDefault="00CF6005" w:rsidP="00770ED9">
      <w:pPr>
        <w:spacing w:after="0" w:line="312" w:lineRule="auto"/>
        <w:jc w:val="both"/>
        <w:rPr>
          <w:rFonts w:ascii="Arial" w:hAnsi="Arial" w:cs="Arial"/>
        </w:rPr>
      </w:pPr>
      <w:r w:rsidRPr="00770ED9">
        <w:rPr>
          <w:rFonts w:ascii="Arial" w:hAnsi="Arial" w:cs="Arial"/>
        </w:rPr>
        <w:t>Estimados área de informes, reciban un cordial saludo,</w:t>
      </w:r>
    </w:p>
    <w:p w14:paraId="284EECA3" w14:textId="77777777" w:rsidR="00942398" w:rsidRDefault="00942398" w:rsidP="00770ED9">
      <w:pPr>
        <w:spacing w:after="0" w:line="312" w:lineRule="auto"/>
        <w:jc w:val="both"/>
        <w:rPr>
          <w:rFonts w:ascii="Arial" w:hAnsi="Arial" w:cs="Arial"/>
        </w:rPr>
      </w:pPr>
    </w:p>
    <w:p w14:paraId="7943930B" w14:textId="7AA1B2A2" w:rsidR="00CF6005" w:rsidRPr="00770ED9" w:rsidRDefault="00CF6005" w:rsidP="00770ED9">
      <w:pPr>
        <w:spacing w:after="0" w:line="312" w:lineRule="auto"/>
        <w:jc w:val="both"/>
        <w:rPr>
          <w:rFonts w:ascii="Arial" w:hAnsi="Arial" w:cs="Arial"/>
        </w:rPr>
      </w:pPr>
      <w:r w:rsidRPr="00770ED9">
        <w:rPr>
          <w:rFonts w:ascii="Arial" w:hAnsi="Arial" w:cs="Arial"/>
        </w:rPr>
        <w:t xml:space="preserve">Por medio del presente me permito compartirles el documento que contiene el recurso de apelación </w:t>
      </w:r>
      <w:r w:rsidR="00203926" w:rsidRPr="00770ED9">
        <w:rPr>
          <w:rFonts w:ascii="Arial" w:hAnsi="Arial" w:cs="Arial"/>
        </w:rPr>
        <w:t xml:space="preserve">frente a la sentencia de primera instancia </w:t>
      </w:r>
      <w:r w:rsidRPr="00770ED9">
        <w:rPr>
          <w:rFonts w:ascii="Arial" w:hAnsi="Arial" w:cs="Arial"/>
        </w:rPr>
        <w:t xml:space="preserve">del caso de la referencia, el cual fue asignado a mí y que radiqué ante el Juzgado </w:t>
      </w:r>
      <w:r w:rsidR="00C21BB9" w:rsidRPr="00770ED9">
        <w:rPr>
          <w:rFonts w:ascii="Arial" w:hAnsi="Arial" w:cs="Arial"/>
        </w:rPr>
        <w:t>Quinto</w:t>
      </w:r>
      <w:r w:rsidRPr="00770ED9">
        <w:rPr>
          <w:rFonts w:ascii="Arial" w:hAnsi="Arial" w:cs="Arial"/>
        </w:rPr>
        <w:t xml:space="preserve"> Administrativo del Circuito de </w:t>
      </w:r>
      <w:r w:rsidR="00C21BB9" w:rsidRPr="00770ED9">
        <w:rPr>
          <w:rFonts w:ascii="Arial" w:hAnsi="Arial" w:cs="Arial"/>
        </w:rPr>
        <w:t>Cali</w:t>
      </w:r>
      <w:r w:rsidRPr="00770ED9">
        <w:rPr>
          <w:rFonts w:ascii="Arial" w:hAnsi="Arial" w:cs="Arial"/>
        </w:rPr>
        <w:t xml:space="preserve"> en el aplicativo SAMAI y compartí a las partes del proceso en representación de la </w:t>
      </w:r>
      <w:r w:rsidR="00C21BB9" w:rsidRPr="00770ED9">
        <w:rPr>
          <w:rFonts w:ascii="Arial" w:hAnsi="Arial" w:cs="Arial"/>
        </w:rPr>
        <w:t>Allianz</w:t>
      </w:r>
      <w:r w:rsidRPr="00770ED9">
        <w:rPr>
          <w:rFonts w:ascii="Arial" w:hAnsi="Arial" w:cs="Arial"/>
        </w:rPr>
        <w:t xml:space="preserve"> Seguros</w:t>
      </w:r>
      <w:r w:rsidR="00C21BB9" w:rsidRPr="00770ED9">
        <w:rPr>
          <w:rFonts w:ascii="Arial" w:hAnsi="Arial" w:cs="Arial"/>
        </w:rPr>
        <w:t xml:space="preserve"> S.A.</w:t>
      </w:r>
      <w:r w:rsidRPr="00770ED9">
        <w:rPr>
          <w:rFonts w:ascii="Arial" w:hAnsi="Arial" w:cs="Arial"/>
        </w:rPr>
        <w:t xml:space="preserve">, el </w:t>
      </w:r>
      <w:r w:rsidR="00D62742" w:rsidRPr="00770ED9">
        <w:rPr>
          <w:rFonts w:ascii="Arial" w:hAnsi="Arial" w:cs="Arial"/>
        </w:rPr>
        <w:t>lunes</w:t>
      </w:r>
      <w:r w:rsidRPr="00770ED9">
        <w:rPr>
          <w:rFonts w:ascii="Arial" w:hAnsi="Arial" w:cs="Arial"/>
        </w:rPr>
        <w:t xml:space="preserve"> </w:t>
      </w:r>
      <w:r w:rsidR="00C21BB9" w:rsidRPr="00770ED9">
        <w:rPr>
          <w:rFonts w:ascii="Arial" w:hAnsi="Arial" w:cs="Arial"/>
        </w:rPr>
        <w:t>jueves</w:t>
      </w:r>
      <w:r w:rsidRPr="00770ED9">
        <w:rPr>
          <w:rFonts w:ascii="Arial" w:hAnsi="Arial" w:cs="Arial"/>
        </w:rPr>
        <w:t xml:space="preserve"> </w:t>
      </w:r>
      <w:r w:rsidR="00C21BB9" w:rsidRPr="00770ED9">
        <w:rPr>
          <w:rFonts w:ascii="Arial" w:hAnsi="Arial" w:cs="Arial"/>
        </w:rPr>
        <w:t xml:space="preserve">06 </w:t>
      </w:r>
      <w:r w:rsidRPr="00770ED9">
        <w:rPr>
          <w:rFonts w:ascii="Arial" w:hAnsi="Arial" w:cs="Arial"/>
        </w:rPr>
        <w:t xml:space="preserve">de </w:t>
      </w:r>
      <w:r w:rsidR="00C21BB9" w:rsidRPr="00770ED9">
        <w:rPr>
          <w:rFonts w:ascii="Arial" w:hAnsi="Arial" w:cs="Arial"/>
        </w:rPr>
        <w:t>febrero</w:t>
      </w:r>
      <w:r w:rsidR="00D62742" w:rsidRPr="00770ED9">
        <w:rPr>
          <w:rFonts w:ascii="Arial" w:hAnsi="Arial" w:cs="Arial"/>
        </w:rPr>
        <w:t xml:space="preserve"> de 202</w:t>
      </w:r>
      <w:r w:rsidR="00C21BB9" w:rsidRPr="00770ED9">
        <w:rPr>
          <w:rFonts w:ascii="Arial" w:hAnsi="Arial" w:cs="Arial"/>
        </w:rPr>
        <w:t>5</w:t>
      </w:r>
      <w:r w:rsidRPr="00770ED9">
        <w:rPr>
          <w:rFonts w:ascii="Arial" w:hAnsi="Arial" w:cs="Arial"/>
        </w:rPr>
        <w:t>,</w:t>
      </w:r>
      <w:r w:rsidR="00B44322" w:rsidRPr="00770ED9">
        <w:rPr>
          <w:rFonts w:ascii="Arial" w:hAnsi="Arial" w:cs="Arial"/>
        </w:rPr>
        <w:t xml:space="preserve"> así como también </w:t>
      </w:r>
      <w:r w:rsidR="00C21BB9" w:rsidRPr="00770ED9">
        <w:rPr>
          <w:rFonts w:ascii="Arial" w:hAnsi="Arial" w:cs="Arial"/>
        </w:rPr>
        <w:t xml:space="preserve">comparto </w:t>
      </w:r>
      <w:r w:rsidR="00B44322" w:rsidRPr="00770ED9">
        <w:rPr>
          <w:rFonts w:ascii="Arial" w:hAnsi="Arial" w:cs="Arial"/>
        </w:rPr>
        <w:t xml:space="preserve">la constancia de envío al despacho y </w:t>
      </w:r>
      <w:r w:rsidR="00C21BB9" w:rsidRPr="00770ED9">
        <w:rPr>
          <w:rFonts w:ascii="Arial" w:hAnsi="Arial" w:cs="Arial"/>
        </w:rPr>
        <w:t xml:space="preserve">a </w:t>
      </w:r>
      <w:r w:rsidR="00B44322" w:rsidRPr="00770ED9">
        <w:rPr>
          <w:rFonts w:ascii="Arial" w:hAnsi="Arial" w:cs="Arial"/>
        </w:rPr>
        <w:t xml:space="preserve">las partes </w:t>
      </w:r>
      <w:r w:rsidR="00C21BB9" w:rsidRPr="00770ED9">
        <w:rPr>
          <w:rFonts w:ascii="Arial" w:hAnsi="Arial" w:cs="Arial"/>
        </w:rPr>
        <w:t>junto a</w:t>
      </w:r>
      <w:r w:rsidR="00B44322" w:rsidRPr="00770ED9">
        <w:rPr>
          <w:rFonts w:ascii="Arial" w:hAnsi="Arial" w:cs="Arial"/>
        </w:rPr>
        <w:t xml:space="preserve"> la </w:t>
      </w:r>
      <w:r w:rsidR="00C21BB9" w:rsidRPr="00770ED9">
        <w:rPr>
          <w:rFonts w:ascii="Arial" w:hAnsi="Arial" w:cs="Arial"/>
        </w:rPr>
        <w:t xml:space="preserve">de </w:t>
      </w:r>
      <w:r w:rsidR="00B44322" w:rsidRPr="00770ED9">
        <w:rPr>
          <w:rFonts w:ascii="Arial" w:hAnsi="Arial" w:cs="Arial"/>
        </w:rPr>
        <w:t>radicación respectiva en la plataforma SAMAI,</w:t>
      </w:r>
      <w:r w:rsidRPr="00770ED9">
        <w:rPr>
          <w:rFonts w:ascii="Arial" w:hAnsi="Arial" w:cs="Arial"/>
        </w:rPr>
        <w:t xml:space="preserve"> respecto del asunto que se detalla a continuación:</w:t>
      </w:r>
    </w:p>
    <w:p w14:paraId="168B9EC8" w14:textId="77777777" w:rsidR="00D62742" w:rsidRPr="00770ED9" w:rsidRDefault="00D62742" w:rsidP="00770ED9">
      <w:pPr>
        <w:spacing w:after="0" w:line="312" w:lineRule="auto"/>
        <w:jc w:val="both"/>
        <w:rPr>
          <w:rFonts w:ascii="Arial" w:hAnsi="Arial" w:cs="Arial"/>
        </w:rPr>
      </w:pPr>
    </w:p>
    <w:p w14:paraId="689A796E" w14:textId="1C568502" w:rsidR="000A0DDF" w:rsidRPr="00770ED9" w:rsidRDefault="000A0DDF" w:rsidP="00770ED9">
      <w:pPr>
        <w:spacing w:after="0" w:line="312" w:lineRule="auto"/>
        <w:jc w:val="both"/>
        <w:rPr>
          <w:rFonts w:ascii="Arial" w:hAnsi="Arial" w:cs="Arial"/>
          <w:b/>
          <w:bCs/>
        </w:rPr>
      </w:pPr>
      <w:r w:rsidRPr="00770ED9">
        <w:rPr>
          <w:rFonts w:ascii="Arial" w:hAnsi="Arial" w:cs="Arial"/>
          <w:b/>
          <w:bCs/>
        </w:rPr>
        <w:t xml:space="preserve">PROCESO: </w:t>
      </w:r>
      <w:r w:rsidRPr="00770ED9">
        <w:rPr>
          <w:rFonts w:ascii="Arial" w:hAnsi="Arial" w:cs="Arial"/>
        </w:rPr>
        <w:t>REPARACIÓN DIRECTA</w:t>
      </w:r>
    </w:p>
    <w:p w14:paraId="09314F60" w14:textId="1BDCBB91" w:rsidR="000A0DDF" w:rsidRPr="00770ED9" w:rsidRDefault="000A0DDF" w:rsidP="00770ED9">
      <w:pPr>
        <w:spacing w:after="0" w:line="312" w:lineRule="auto"/>
        <w:jc w:val="both"/>
        <w:rPr>
          <w:rFonts w:ascii="Arial" w:hAnsi="Arial" w:cs="Arial"/>
          <w:b/>
          <w:bCs/>
        </w:rPr>
      </w:pPr>
      <w:r w:rsidRPr="00770ED9">
        <w:rPr>
          <w:rFonts w:ascii="Arial" w:hAnsi="Arial" w:cs="Arial"/>
          <w:b/>
          <w:bCs/>
        </w:rPr>
        <w:t xml:space="preserve">RADICACIÓN: </w:t>
      </w:r>
      <w:r w:rsidR="00E2616A" w:rsidRPr="00770ED9">
        <w:rPr>
          <w:rFonts w:ascii="Arial" w:hAnsi="Arial" w:cs="Arial"/>
        </w:rPr>
        <w:t>760013333005-2021-00124-00</w:t>
      </w:r>
    </w:p>
    <w:p w14:paraId="43BEC441" w14:textId="632534C3" w:rsidR="000A0DDF" w:rsidRPr="00770ED9" w:rsidRDefault="000A0DDF" w:rsidP="00770ED9">
      <w:pPr>
        <w:spacing w:after="0" w:line="312" w:lineRule="auto"/>
        <w:jc w:val="both"/>
        <w:rPr>
          <w:rFonts w:ascii="Arial" w:hAnsi="Arial" w:cs="Arial"/>
          <w:b/>
          <w:bCs/>
        </w:rPr>
      </w:pPr>
      <w:r w:rsidRPr="00770ED9">
        <w:rPr>
          <w:rFonts w:ascii="Arial" w:hAnsi="Arial" w:cs="Arial"/>
          <w:b/>
          <w:bCs/>
        </w:rPr>
        <w:t xml:space="preserve">DEMANDANTES: </w:t>
      </w:r>
      <w:r w:rsidR="00E2616A" w:rsidRPr="00770ED9">
        <w:rPr>
          <w:rFonts w:ascii="Arial" w:hAnsi="Arial" w:cs="Arial"/>
        </w:rPr>
        <w:t>LUZMILA YOMARA CHANG BERMÚDEZ Y OTROS</w:t>
      </w:r>
    </w:p>
    <w:p w14:paraId="087BDC2A" w14:textId="3963C136" w:rsidR="000A0DDF" w:rsidRPr="00770ED9" w:rsidRDefault="000A0DDF" w:rsidP="00770ED9">
      <w:pPr>
        <w:spacing w:after="0" w:line="312" w:lineRule="auto"/>
        <w:jc w:val="both"/>
        <w:rPr>
          <w:rFonts w:ascii="Arial" w:hAnsi="Arial" w:cs="Arial"/>
        </w:rPr>
      </w:pPr>
      <w:r w:rsidRPr="00770ED9">
        <w:rPr>
          <w:rFonts w:ascii="Arial" w:hAnsi="Arial" w:cs="Arial"/>
          <w:b/>
          <w:bCs/>
        </w:rPr>
        <w:t xml:space="preserve">DEMANDADOS: </w:t>
      </w:r>
      <w:r w:rsidR="00E2616A" w:rsidRPr="00770ED9">
        <w:rPr>
          <w:rFonts w:ascii="Arial" w:hAnsi="Arial" w:cs="Arial"/>
        </w:rPr>
        <w:t>EMPRESAS MUNICIPALES DE CALI E.I.C.E. E.S.P. -EMCALI</w:t>
      </w:r>
    </w:p>
    <w:p w14:paraId="77CFBA7D" w14:textId="79F541ED" w:rsidR="00D62742" w:rsidRPr="00770ED9" w:rsidRDefault="000A0DDF" w:rsidP="00770ED9">
      <w:pPr>
        <w:spacing w:after="0" w:line="312" w:lineRule="auto"/>
        <w:jc w:val="both"/>
        <w:rPr>
          <w:rFonts w:ascii="Arial" w:hAnsi="Arial" w:cs="Arial"/>
          <w:b/>
          <w:bCs/>
        </w:rPr>
      </w:pPr>
      <w:r w:rsidRPr="00770ED9">
        <w:rPr>
          <w:rFonts w:ascii="Arial" w:hAnsi="Arial" w:cs="Arial"/>
          <w:b/>
          <w:bCs/>
        </w:rPr>
        <w:t xml:space="preserve">LLAMADA EN GARANTÍA: </w:t>
      </w:r>
      <w:r w:rsidR="00E2616A" w:rsidRPr="00770ED9">
        <w:rPr>
          <w:rFonts w:ascii="Arial" w:hAnsi="Arial" w:cs="Arial"/>
        </w:rPr>
        <w:t>ALLIANZ SEGUROS S.A</w:t>
      </w:r>
      <w:r w:rsidR="00770ED9">
        <w:rPr>
          <w:rFonts w:ascii="Arial" w:hAnsi="Arial" w:cs="Arial"/>
        </w:rPr>
        <w:t>.</w:t>
      </w:r>
    </w:p>
    <w:p w14:paraId="5EE5DA35" w14:textId="77777777" w:rsidR="00CF6005" w:rsidRPr="00770ED9" w:rsidRDefault="00CF6005" w:rsidP="00770ED9">
      <w:pPr>
        <w:spacing w:after="0" w:line="312" w:lineRule="auto"/>
        <w:jc w:val="both"/>
        <w:rPr>
          <w:rFonts w:ascii="Arial" w:hAnsi="Arial" w:cs="Arial"/>
          <w:b/>
          <w:bCs/>
        </w:rPr>
      </w:pPr>
    </w:p>
    <w:p w14:paraId="6B72CF6A" w14:textId="29140AD7" w:rsidR="002B4506" w:rsidRPr="00770ED9" w:rsidRDefault="00797B2F" w:rsidP="00770ED9">
      <w:pPr>
        <w:spacing w:after="0" w:line="312" w:lineRule="auto"/>
        <w:jc w:val="both"/>
        <w:rPr>
          <w:rFonts w:ascii="Arial" w:hAnsi="Arial" w:cs="Arial"/>
        </w:rPr>
      </w:pPr>
      <w:r w:rsidRPr="00770ED9">
        <w:rPr>
          <w:rFonts w:ascii="Arial" w:hAnsi="Arial" w:cs="Arial"/>
        </w:rPr>
        <w:t>En relación con el mérito de prosperidad del recurso,</w:t>
      </w:r>
      <w:r w:rsidR="006F6B65" w:rsidRPr="00770ED9">
        <w:rPr>
          <w:rFonts w:ascii="Arial" w:hAnsi="Arial" w:cs="Arial"/>
        </w:rPr>
        <w:t xml:space="preserve"> se</w:t>
      </w:r>
      <w:r w:rsidRPr="00770ED9">
        <w:rPr>
          <w:rFonts w:ascii="Arial" w:hAnsi="Arial" w:cs="Arial"/>
        </w:rPr>
        <w:t xml:space="preserve"> consider</w:t>
      </w:r>
      <w:r w:rsidR="006F6B65" w:rsidRPr="00770ED9">
        <w:rPr>
          <w:rFonts w:ascii="Arial" w:hAnsi="Arial" w:cs="Arial"/>
        </w:rPr>
        <w:t>a</w:t>
      </w:r>
      <w:r w:rsidRPr="00770ED9">
        <w:rPr>
          <w:rFonts w:ascii="Arial" w:hAnsi="Arial" w:cs="Arial"/>
        </w:rPr>
        <w:t xml:space="preserve"> que es </w:t>
      </w:r>
      <w:r w:rsidR="00AF7983" w:rsidRPr="00770ED9">
        <w:rPr>
          <w:rFonts w:ascii="Arial" w:hAnsi="Arial" w:cs="Arial"/>
        </w:rPr>
        <w:t>baja la probabilidad</w:t>
      </w:r>
      <w:r w:rsidRPr="00770ED9">
        <w:rPr>
          <w:rFonts w:ascii="Arial" w:hAnsi="Arial" w:cs="Arial"/>
        </w:rPr>
        <w:t xml:space="preserve"> </w:t>
      </w:r>
      <w:r w:rsidR="00AF7983" w:rsidRPr="00770ED9">
        <w:rPr>
          <w:rFonts w:ascii="Arial" w:hAnsi="Arial" w:cs="Arial"/>
        </w:rPr>
        <w:t xml:space="preserve">de </w:t>
      </w:r>
      <w:r w:rsidRPr="00770ED9">
        <w:rPr>
          <w:rFonts w:ascii="Arial" w:hAnsi="Arial" w:cs="Arial"/>
        </w:rPr>
        <w:t xml:space="preserve">que el </w:t>
      </w:r>
      <w:r w:rsidRPr="00770ED9">
        <w:rPr>
          <w:rFonts w:ascii="Arial" w:hAnsi="Arial" w:cs="Arial"/>
          <w:i/>
          <w:iCs/>
        </w:rPr>
        <w:t xml:space="preserve">ad </w:t>
      </w:r>
      <w:proofErr w:type="spellStart"/>
      <w:r w:rsidRPr="00770ED9">
        <w:rPr>
          <w:rFonts w:ascii="Arial" w:hAnsi="Arial" w:cs="Arial"/>
          <w:i/>
          <w:iCs/>
        </w:rPr>
        <w:t>quem</w:t>
      </w:r>
      <w:proofErr w:type="spellEnd"/>
      <w:r w:rsidRPr="00770ED9">
        <w:rPr>
          <w:rFonts w:ascii="Arial" w:hAnsi="Arial" w:cs="Arial"/>
        </w:rPr>
        <w:t xml:space="preserve"> acceda </w:t>
      </w:r>
      <w:r w:rsidR="00BE57BC" w:rsidRPr="00770ED9">
        <w:rPr>
          <w:rFonts w:ascii="Arial" w:hAnsi="Arial" w:cs="Arial"/>
        </w:rPr>
        <w:t>a las peticiones pues</w:t>
      </w:r>
      <w:r w:rsidR="00F176E6" w:rsidRPr="00770ED9">
        <w:rPr>
          <w:rFonts w:ascii="Arial" w:hAnsi="Arial" w:cs="Arial"/>
        </w:rPr>
        <w:t>,</w:t>
      </w:r>
      <w:r w:rsidR="00BE57BC" w:rsidRPr="00770ED9">
        <w:rPr>
          <w:rFonts w:ascii="Arial" w:hAnsi="Arial" w:cs="Arial"/>
        </w:rPr>
        <w:t xml:space="preserve"> aunque se presentan </w:t>
      </w:r>
      <w:r w:rsidR="00AE7F03" w:rsidRPr="00770ED9">
        <w:rPr>
          <w:rFonts w:ascii="Arial" w:hAnsi="Arial" w:cs="Arial"/>
        </w:rPr>
        <w:t>argumentos sólidos frente la decisión de primera instancia</w:t>
      </w:r>
      <w:r w:rsidR="003C3A20" w:rsidRPr="00770ED9">
        <w:rPr>
          <w:rFonts w:ascii="Arial" w:hAnsi="Arial" w:cs="Arial"/>
        </w:rPr>
        <w:t>,</w:t>
      </w:r>
      <w:r w:rsidR="007B4DFE" w:rsidRPr="00770ED9">
        <w:rPr>
          <w:rFonts w:ascii="Arial" w:hAnsi="Arial" w:cs="Arial"/>
        </w:rPr>
        <w:t xml:space="preserve"> los yerros en que incurrió </w:t>
      </w:r>
      <w:r w:rsidR="003C3A20" w:rsidRPr="00770ED9">
        <w:rPr>
          <w:rFonts w:ascii="Arial" w:hAnsi="Arial" w:cs="Arial"/>
        </w:rPr>
        <w:t xml:space="preserve">el despacho </w:t>
      </w:r>
      <w:r w:rsidR="007B4DFE" w:rsidRPr="00770ED9">
        <w:rPr>
          <w:rFonts w:ascii="Arial" w:hAnsi="Arial" w:cs="Arial"/>
        </w:rPr>
        <w:t>al momento de valorar pruebas y las omisiones respecto de los precedentes jurisprudenciales en casos análogos</w:t>
      </w:r>
      <w:r w:rsidR="003C3A20" w:rsidRPr="00770ED9">
        <w:rPr>
          <w:rFonts w:ascii="Arial" w:hAnsi="Arial" w:cs="Arial"/>
        </w:rPr>
        <w:t xml:space="preserve"> que no aplicó</w:t>
      </w:r>
      <w:r w:rsidR="00AE7F03" w:rsidRPr="00770ED9">
        <w:rPr>
          <w:rFonts w:ascii="Arial" w:hAnsi="Arial" w:cs="Arial"/>
        </w:rPr>
        <w:t xml:space="preserve">, lo cierto es que </w:t>
      </w:r>
      <w:r w:rsidR="007B4DFE" w:rsidRPr="00770ED9">
        <w:rPr>
          <w:rFonts w:ascii="Arial" w:hAnsi="Arial" w:cs="Arial"/>
        </w:rPr>
        <w:t xml:space="preserve">la decisión de segunda instancia depende exclusivamente de </w:t>
      </w:r>
      <w:r w:rsidR="003C3A20" w:rsidRPr="00770ED9">
        <w:rPr>
          <w:rFonts w:ascii="Arial" w:hAnsi="Arial" w:cs="Arial"/>
        </w:rPr>
        <w:t>que se dé una</w:t>
      </w:r>
      <w:r w:rsidR="007B4DFE" w:rsidRPr="00770ED9">
        <w:rPr>
          <w:rFonts w:ascii="Arial" w:hAnsi="Arial" w:cs="Arial"/>
        </w:rPr>
        <w:t xml:space="preserve"> </w:t>
      </w:r>
      <w:r w:rsidR="0087718F" w:rsidRPr="00770ED9">
        <w:rPr>
          <w:rFonts w:ascii="Arial" w:hAnsi="Arial" w:cs="Arial"/>
        </w:rPr>
        <w:t xml:space="preserve">interpretación jurídica </w:t>
      </w:r>
      <w:r w:rsidR="003C3A20" w:rsidRPr="00770ED9">
        <w:rPr>
          <w:rFonts w:ascii="Arial" w:hAnsi="Arial" w:cs="Arial"/>
        </w:rPr>
        <w:t xml:space="preserve">diferente a la del </w:t>
      </w:r>
      <w:r w:rsidR="003C3A20" w:rsidRPr="00770ED9">
        <w:rPr>
          <w:rFonts w:ascii="Arial" w:hAnsi="Arial" w:cs="Arial"/>
          <w:i/>
          <w:iCs/>
        </w:rPr>
        <w:t xml:space="preserve">a quo </w:t>
      </w:r>
      <w:r w:rsidR="003C3A20" w:rsidRPr="00770ED9">
        <w:rPr>
          <w:rFonts w:ascii="Arial" w:hAnsi="Arial" w:cs="Arial"/>
        </w:rPr>
        <w:t xml:space="preserve">y ello </w:t>
      </w:r>
      <w:r w:rsidR="002B4506" w:rsidRPr="00770ED9">
        <w:rPr>
          <w:rFonts w:ascii="Arial" w:hAnsi="Arial" w:cs="Arial"/>
        </w:rPr>
        <w:t>se considera</w:t>
      </w:r>
      <w:r w:rsidR="003C3A20" w:rsidRPr="00770ED9">
        <w:rPr>
          <w:rFonts w:ascii="Arial" w:hAnsi="Arial" w:cs="Arial"/>
        </w:rPr>
        <w:t xml:space="preserve"> improbable dad</w:t>
      </w:r>
      <w:r w:rsidR="002B4506" w:rsidRPr="00770ED9">
        <w:rPr>
          <w:rFonts w:ascii="Arial" w:hAnsi="Arial" w:cs="Arial"/>
        </w:rPr>
        <w:t>o a que, aunque EMCALI reparó el muro destruido por la comunidad y el testimonio del vigilante Edwin Molina da cuenta de la reparación inmediata, para la fecha de los hechos</w:t>
      </w:r>
      <w:r w:rsidR="00A24600" w:rsidRPr="00770ED9">
        <w:rPr>
          <w:rFonts w:ascii="Arial" w:hAnsi="Arial" w:cs="Arial"/>
        </w:rPr>
        <w:t>,</w:t>
      </w:r>
      <w:r w:rsidR="002B4506" w:rsidRPr="00770ED9">
        <w:rPr>
          <w:rFonts w:ascii="Arial" w:hAnsi="Arial" w:cs="Arial"/>
        </w:rPr>
        <w:t xml:space="preserve"> los huecos tenían unas dimensiones muy grandes, por lo cual la entidad debió adoptar otras medidas de fondo para recuperar la infraestructura; en ese mismo sentido no </w:t>
      </w:r>
      <w:r w:rsidR="00A24600" w:rsidRPr="00770ED9">
        <w:rPr>
          <w:rFonts w:ascii="Arial" w:hAnsi="Arial" w:cs="Arial"/>
        </w:rPr>
        <w:t xml:space="preserve">fue </w:t>
      </w:r>
      <w:r w:rsidR="002B4506" w:rsidRPr="00770ED9">
        <w:rPr>
          <w:rFonts w:ascii="Arial" w:hAnsi="Arial" w:cs="Arial"/>
        </w:rPr>
        <w:t xml:space="preserve">posible demostrar que para la </w:t>
      </w:r>
      <w:r w:rsidR="00A24600" w:rsidRPr="00770ED9">
        <w:rPr>
          <w:rFonts w:ascii="Arial" w:hAnsi="Arial" w:cs="Arial"/>
        </w:rPr>
        <w:t>época</w:t>
      </w:r>
      <w:r w:rsidR="002B4506" w:rsidRPr="00770ED9">
        <w:rPr>
          <w:rFonts w:ascii="Arial" w:hAnsi="Arial" w:cs="Arial"/>
        </w:rPr>
        <w:t xml:space="preserve"> de los hechos la entidad hubiese requerido ayuda permanente de la Policía Nacional para evitar el ingreso de la comunidad, situación relevante dado que la vigilancia solo suministraba 2 personas para el predio y estos únicamente  llamaban a la fuerza policial cuando la amenaza era inminente</w:t>
      </w:r>
      <w:r w:rsidR="00A24600" w:rsidRPr="00770ED9">
        <w:rPr>
          <w:rFonts w:ascii="Arial" w:hAnsi="Arial" w:cs="Arial"/>
        </w:rPr>
        <w:t>;</w:t>
      </w:r>
      <w:r w:rsidR="002B4506" w:rsidRPr="00770ED9">
        <w:rPr>
          <w:rFonts w:ascii="Arial" w:hAnsi="Arial" w:cs="Arial"/>
        </w:rPr>
        <w:t xml:space="preserve"> y finalmente se debe tener en cuenta que el menor fallecido contaba con 11 años, motivo por el cual no es posible exigírsele mayor cuidado y conciencia frente al riesgo al que se expuso, a diferencia de los casos de las recientes sentencias de la Sección Tercera del Consejo de Estado (radicados: 2009-00918, 2011-01372 y 2012-00938), en las cuales se eximió de responsabilidad dado que los involucrados eran menores adultos; situaciones que en efecto contribuyeron al desenlace fatal para el menor.</w:t>
      </w:r>
    </w:p>
    <w:p w14:paraId="4F9F937C" w14:textId="77777777" w:rsidR="002B4506" w:rsidRPr="00770ED9" w:rsidRDefault="002B4506" w:rsidP="00770ED9">
      <w:pPr>
        <w:spacing w:after="0" w:line="312" w:lineRule="auto"/>
        <w:jc w:val="both"/>
        <w:rPr>
          <w:rFonts w:ascii="Arial" w:hAnsi="Arial" w:cs="Arial"/>
        </w:rPr>
      </w:pPr>
    </w:p>
    <w:p w14:paraId="34FF34AC" w14:textId="275BFD93" w:rsidR="00797B2F" w:rsidRPr="00770ED9" w:rsidRDefault="00F176E6" w:rsidP="00770ED9">
      <w:pPr>
        <w:spacing w:after="0" w:line="312" w:lineRule="auto"/>
        <w:jc w:val="both"/>
        <w:rPr>
          <w:rFonts w:ascii="Arial" w:hAnsi="Arial" w:cs="Arial"/>
        </w:rPr>
      </w:pPr>
      <w:r w:rsidRPr="00770ED9">
        <w:rPr>
          <w:rFonts w:ascii="Arial" w:hAnsi="Arial" w:cs="Arial"/>
        </w:rPr>
        <w:t>En tal sentido me permito presentar la siguiente:</w:t>
      </w:r>
    </w:p>
    <w:p w14:paraId="40AB5C43" w14:textId="77777777" w:rsidR="00770ED9" w:rsidRPr="00770ED9" w:rsidRDefault="00770ED9" w:rsidP="00770ED9">
      <w:pPr>
        <w:spacing w:after="0" w:line="312" w:lineRule="auto"/>
        <w:jc w:val="both"/>
        <w:rPr>
          <w:rFonts w:ascii="Arial" w:hAnsi="Arial" w:cs="Arial"/>
          <w:b/>
          <w:bCs/>
        </w:rPr>
      </w:pPr>
    </w:p>
    <w:p w14:paraId="717B39BF" w14:textId="7557B443" w:rsidR="005857B3" w:rsidRPr="00770ED9" w:rsidRDefault="00F461F2" w:rsidP="00770ED9">
      <w:pPr>
        <w:spacing w:after="0" w:line="312" w:lineRule="auto"/>
        <w:jc w:val="both"/>
        <w:rPr>
          <w:rFonts w:ascii="Arial" w:hAnsi="Arial" w:cs="Arial"/>
        </w:rPr>
      </w:pPr>
      <w:r w:rsidRPr="00770ED9">
        <w:rPr>
          <w:rFonts w:ascii="Arial" w:hAnsi="Arial" w:cs="Arial"/>
          <w:b/>
          <w:bCs/>
        </w:rPr>
        <w:lastRenderedPageBreak/>
        <w:t>CALIFICACIÓN OBJETIVA:</w:t>
      </w:r>
      <w:r w:rsidR="0038553D" w:rsidRPr="00770ED9">
        <w:rPr>
          <w:rFonts w:ascii="Arial" w:hAnsi="Arial" w:cs="Arial"/>
          <w:b/>
          <w:bCs/>
        </w:rPr>
        <w:t xml:space="preserve"> </w:t>
      </w:r>
      <w:r w:rsidR="003C3A20" w:rsidRPr="00770ED9">
        <w:rPr>
          <w:rFonts w:ascii="Arial" w:hAnsi="Arial" w:cs="Arial"/>
        </w:rPr>
        <w:t xml:space="preserve">ACTUALIZADA DESPUÉS DE SENTENCIA DE </w:t>
      </w:r>
      <w:r w:rsidR="00775939" w:rsidRPr="00770ED9">
        <w:rPr>
          <w:rFonts w:ascii="Arial" w:hAnsi="Arial" w:cs="Arial"/>
        </w:rPr>
        <w:t>PRIME</w:t>
      </w:r>
      <w:r w:rsidR="003C3A20" w:rsidRPr="00770ED9">
        <w:rPr>
          <w:rFonts w:ascii="Arial" w:hAnsi="Arial" w:cs="Arial"/>
        </w:rPr>
        <w:t xml:space="preserve">RA INSTANCIA: La contingencia </w:t>
      </w:r>
      <w:r w:rsidR="00E25A29" w:rsidRPr="00770ED9">
        <w:rPr>
          <w:rFonts w:ascii="Arial" w:hAnsi="Arial" w:cs="Arial"/>
        </w:rPr>
        <w:t>pasa a ser PROBABLE</w:t>
      </w:r>
      <w:r w:rsidR="003C3A20" w:rsidRPr="00770ED9">
        <w:rPr>
          <w:rFonts w:ascii="Arial" w:hAnsi="Arial" w:cs="Arial"/>
        </w:rPr>
        <w:t xml:space="preserve">, pues, a pesar de </w:t>
      </w:r>
      <w:r w:rsidR="007E5E65" w:rsidRPr="00770ED9">
        <w:rPr>
          <w:rFonts w:ascii="Arial" w:hAnsi="Arial" w:cs="Arial"/>
        </w:rPr>
        <w:t xml:space="preserve">los argumentos expuestos en la apelación, lo cierto es </w:t>
      </w:r>
      <w:r w:rsidR="003C3A20" w:rsidRPr="00770ED9">
        <w:rPr>
          <w:rFonts w:ascii="Arial" w:hAnsi="Arial" w:cs="Arial"/>
        </w:rPr>
        <w:t xml:space="preserve">que la decisión de primera instancia </w:t>
      </w:r>
      <w:r w:rsidR="007E5E65" w:rsidRPr="00770ED9">
        <w:rPr>
          <w:rFonts w:ascii="Arial" w:hAnsi="Arial" w:cs="Arial"/>
        </w:rPr>
        <w:t xml:space="preserve">se basó en interpretar que la entidad ya tenía conocimiento de los hechos de tiempo atrás y no adelantó ninguna acción tendiente a </w:t>
      </w:r>
      <w:r w:rsidR="006D1D69" w:rsidRPr="00770ED9">
        <w:rPr>
          <w:rFonts w:ascii="Arial" w:hAnsi="Arial" w:cs="Arial"/>
        </w:rPr>
        <w:t>impedir que la comunidad hiciera uso indebido de las instalaciones en donde se encontraba el embalse</w:t>
      </w:r>
      <w:r w:rsidR="00733681" w:rsidRPr="00770ED9">
        <w:rPr>
          <w:rFonts w:ascii="Arial" w:hAnsi="Arial" w:cs="Arial"/>
        </w:rPr>
        <w:t xml:space="preserve"> a pesar del riesgo </w:t>
      </w:r>
      <w:r w:rsidR="002B63F3" w:rsidRPr="00770ED9">
        <w:rPr>
          <w:rFonts w:ascii="Arial" w:hAnsi="Arial" w:cs="Arial"/>
        </w:rPr>
        <w:t xml:space="preserve">que representaba </w:t>
      </w:r>
      <w:r w:rsidR="00113EE3" w:rsidRPr="00770ED9">
        <w:rPr>
          <w:rFonts w:ascii="Arial" w:hAnsi="Arial" w:cs="Arial"/>
        </w:rPr>
        <w:t>para la vida y la salud</w:t>
      </w:r>
      <w:r w:rsidR="006D1D69" w:rsidRPr="00770ED9">
        <w:rPr>
          <w:rFonts w:ascii="Arial" w:hAnsi="Arial" w:cs="Arial"/>
        </w:rPr>
        <w:t xml:space="preserve">, situación </w:t>
      </w:r>
      <w:r w:rsidR="00CA3975" w:rsidRPr="00770ED9">
        <w:rPr>
          <w:rFonts w:ascii="Arial" w:hAnsi="Arial" w:cs="Arial"/>
        </w:rPr>
        <w:t xml:space="preserve">que </w:t>
      </w:r>
      <w:r w:rsidR="006D1D69" w:rsidRPr="00770ED9">
        <w:rPr>
          <w:rFonts w:ascii="Arial" w:hAnsi="Arial" w:cs="Arial"/>
        </w:rPr>
        <w:t xml:space="preserve">se </w:t>
      </w:r>
      <w:r w:rsidR="00B66302" w:rsidRPr="00770ED9">
        <w:rPr>
          <w:rFonts w:ascii="Arial" w:hAnsi="Arial" w:cs="Arial"/>
        </w:rPr>
        <w:t xml:space="preserve">ventiló en un medio de comunicación nacional días antes de los hechos y ello facilitó al despacho fallar en contra de Emcali, además </w:t>
      </w:r>
      <w:r w:rsidR="005857B3" w:rsidRPr="00770ED9">
        <w:rPr>
          <w:rFonts w:ascii="Arial" w:hAnsi="Arial" w:cs="Arial"/>
        </w:rPr>
        <w:t xml:space="preserve">de las </w:t>
      </w:r>
      <w:r w:rsidR="003C3A20" w:rsidRPr="00770ED9">
        <w:rPr>
          <w:rFonts w:ascii="Arial" w:hAnsi="Arial" w:cs="Arial"/>
        </w:rPr>
        <w:t xml:space="preserve">pruebas documentales, como el informe ejecutivo realizado por el CTI, </w:t>
      </w:r>
      <w:r w:rsidR="005857B3" w:rsidRPr="00770ED9">
        <w:rPr>
          <w:rFonts w:ascii="Arial" w:hAnsi="Arial" w:cs="Arial"/>
        </w:rPr>
        <w:t xml:space="preserve">las cuales </w:t>
      </w:r>
      <w:r w:rsidR="003C3A20" w:rsidRPr="00770ED9">
        <w:rPr>
          <w:rFonts w:ascii="Arial" w:hAnsi="Arial" w:cs="Arial"/>
        </w:rPr>
        <w:t>dan cuenta que el muro de ladrillos que cercaba el predio</w:t>
      </w:r>
      <w:r w:rsidR="00CA3975" w:rsidRPr="00770ED9">
        <w:rPr>
          <w:rFonts w:ascii="Arial" w:hAnsi="Arial" w:cs="Arial"/>
        </w:rPr>
        <w:t>,</w:t>
      </w:r>
      <w:r w:rsidR="003C3A20" w:rsidRPr="00770ED9">
        <w:rPr>
          <w:rFonts w:ascii="Arial" w:hAnsi="Arial" w:cs="Arial"/>
        </w:rPr>
        <w:t xml:space="preserve"> tenía agujeros realizados por la misma comunidad que no habían sido reparados y tampoco custodiados por el personal de seguridad. Todo lo anterior, sin perjuicio de la contingencia del proceso. </w:t>
      </w:r>
    </w:p>
    <w:p w14:paraId="0B8F7B0D" w14:textId="77777777" w:rsidR="00A66737" w:rsidRDefault="00A66737" w:rsidP="00770ED9">
      <w:pPr>
        <w:spacing w:after="0" w:line="312" w:lineRule="auto"/>
        <w:jc w:val="both"/>
        <w:rPr>
          <w:rFonts w:ascii="Arial" w:hAnsi="Arial" w:cs="Arial"/>
        </w:rPr>
      </w:pPr>
    </w:p>
    <w:p w14:paraId="1B1F9F65" w14:textId="727B9EFE" w:rsidR="00CA3975" w:rsidRPr="00770ED9" w:rsidRDefault="005857B3" w:rsidP="00770ED9">
      <w:pPr>
        <w:spacing w:after="0" w:line="312" w:lineRule="auto"/>
        <w:jc w:val="both"/>
        <w:rPr>
          <w:rFonts w:ascii="Arial" w:hAnsi="Arial" w:cs="Arial"/>
        </w:rPr>
      </w:pPr>
      <w:r w:rsidRPr="00770ED9">
        <w:rPr>
          <w:rFonts w:ascii="Arial" w:hAnsi="Arial" w:cs="Arial"/>
        </w:rPr>
        <w:t xml:space="preserve">Con relación a </w:t>
      </w:r>
      <w:r w:rsidR="003C3A20" w:rsidRPr="00770ED9">
        <w:rPr>
          <w:rFonts w:ascii="Arial" w:hAnsi="Arial" w:cs="Arial"/>
        </w:rPr>
        <w:t>La póliza de Seguro de Responsabilidad Civil Extracontractual No. 022557836/0, vigente desde el 21</w:t>
      </w:r>
      <w:r w:rsidR="000B7BDA" w:rsidRPr="00770ED9">
        <w:rPr>
          <w:rFonts w:ascii="Arial" w:hAnsi="Arial" w:cs="Arial"/>
        </w:rPr>
        <w:t xml:space="preserve"> de octubre de </w:t>
      </w:r>
      <w:r w:rsidR="003C3A20" w:rsidRPr="00770ED9">
        <w:rPr>
          <w:rFonts w:ascii="Arial" w:hAnsi="Arial" w:cs="Arial"/>
        </w:rPr>
        <w:t>2019 al 20</w:t>
      </w:r>
      <w:r w:rsidR="000B7BDA" w:rsidRPr="00770ED9">
        <w:rPr>
          <w:rFonts w:ascii="Arial" w:hAnsi="Arial" w:cs="Arial"/>
        </w:rPr>
        <w:t xml:space="preserve"> de septiembre de </w:t>
      </w:r>
      <w:r w:rsidR="003C3A20" w:rsidRPr="00770ED9">
        <w:rPr>
          <w:rFonts w:ascii="Arial" w:hAnsi="Arial" w:cs="Arial"/>
        </w:rPr>
        <w:t>2020, cubre materialmente el evento dañoso bajo el amparo de PLO; así mismo lo cubre temporalmente ya que la póliza opera por la modalidad “</w:t>
      </w:r>
      <w:proofErr w:type="spellStart"/>
      <w:r w:rsidR="003C3A20" w:rsidRPr="00770ED9">
        <w:rPr>
          <w:rFonts w:ascii="Arial" w:hAnsi="Arial" w:cs="Arial"/>
        </w:rPr>
        <w:t>sunset</w:t>
      </w:r>
      <w:proofErr w:type="spellEnd"/>
      <w:r w:rsidR="003C3A20" w:rsidRPr="00770ED9">
        <w:rPr>
          <w:rFonts w:ascii="Arial" w:hAnsi="Arial" w:cs="Arial"/>
        </w:rPr>
        <w:t xml:space="preserve">” cubriendo los hechos causados ​​durante la vigencia de la póliza y cuyo reclamo sea realizado durante la vigencia o dentro de los cinco (05) años siguientes a su terminación. Así las </w:t>
      </w:r>
      <w:r w:rsidR="000B7BDA" w:rsidRPr="00770ED9">
        <w:rPr>
          <w:rFonts w:ascii="Arial" w:hAnsi="Arial" w:cs="Arial"/>
        </w:rPr>
        <w:t>cosas,</w:t>
      </w:r>
      <w:r w:rsidR="003C3A20" w:rsidRPr="00770ED9">
        <w:rPr>
          <w:rFonts w:ascii="Arial" w:hAnsi="Arial" w:cs="Arial"/>
        </w:rPr>
        <w:t xml:space="preserve"> dado que los hechos ocurrieron el 07 de enero de 2020, en la vigencia de la póliza, y fueron reclamados el 03 de marzo de 2021, dentro del lapso establecido posterior a la terminación de la vigencia de la póliza, se cumplen las dos condiciones para la cobertura temporal. Se itera que el hecho dañoso ocurrió en un predio del asegurado, por lo que también se cumple con la cobertura material bajo el amparo de PLO. </w:t>
      </w:r>
    </w:p>
    <w:p w14:paraId="61BDDFFE" w14:textId="77777777" w:rsidR="00A66737" w:rsidRDefault="00A66737" w:rsidP="00770ED9">
      <w:pPr>
        <w:spacing w:after="0" w:line="312" w:lineRule="auto"/>
        <w:jc w:val="both"/>
        <w:rPr>
          <w:rFonts w:ascii="Arial" w:hAnsi="Arial" w:cs="Arial"/>
        </w:rPr>
      </w:pPr>
    </w:p>
    <w:p w14:paraId="20A38EFE" w14:textId="4ECA1E41" w:rsidR="000B7BDA" w:rsidRPr="00770ED9" w:rsidRDefault="003C3A20" w:rsidP="00770ED9">
      <w:pPr>
        <w:spacing w:after="0" w:line="312" w:lineRule="auto"/>
        <w:jc w:val="both"/>
        <w:rPr>
          <w:rFonts w:ascii="Arial" w:hAnsi="Arial" w:cs="Arial"/>
          <w:b/>
          <w:bCs/>
        </w:rPr>
      </w:pPr>
      <w:r w:rsidRPr="00770ED9">
        <w:rPr>
          <w:rFonts w:ascii="Arial" w:hAnsi="Arial" w:cs="Arial"/>
        </w:rPr>
        <w:t xml:space="preserve">Por otro lado, de cara a la responsabilidad del asegurado, EMCALI EICEESP, </w:t>
      </w:r>
      <w:r w:rsidR="000B7BDA" w:rsidRPr="00770ED9">
        <w:rPr>
          <w:rFonts w:ascii="Arial" w:hAnsi="Arial" w:cs="Arial"/>
        </w:rPr>
        <w:t>se debe</w:t>
      </w:r>
      <w:r w:rsidRPr="00770ED9">
        <w:rPr>
          <w:rFonts w:ascii="Arial" w:hAnsi="Arial" w:cs="Arial"/>
        </w:rPr>
        <w:t xml:space="preserve"> señalar que aunque </w:t>
      </w:r>
      <w:r w:rsidR="000B7BDA" w:rsidRPr="00770ED9">
        <w:rPr>
          <w:rFonts w:ascii="Arial" w:hAnsi="Arial" w:cs="Arial"/>
        </w:rPr>
        <w:t xml:space="preserve">en las etapas procesales oportunas se alegó con argumentos sólidos que </w:t>
      </w:r>
      <w:r w:rsidRPr="00770ED9">
        <w:rPr>
          <w:rFonts w:ascii="Arial" w:hAnsi="Arial" w:cs="Arial"/>
        </w:rPr>
        <w:t xml:space="preserve">la causa adecuada del daño fue </w:t>
      </w:r>
      <w:r w:rsidR="00DB7098" w:rsidRPr="00770ED9">
        <w:rPr>
          <w:rFonts w:ascii="Arial" w:hAnsi="Arial" w:cs="Arial"/>
        </w:rPr>
        <w:t xml:space="preserve">la culpa </w:t>
      </w:r>
      <w:r w:rsidRPr="00770ED9">
        <w:rPr>
          <w:rFonts w:ascii="Arial" w:hAnsi="Arial" w:cs="Arial"/>
        </w:rPr>
        <w:t>exclusiv</w:t>
      </w:r>
      <w:r w:rsidR="00DB7098" w:rsidRPr="00770ED9">
        <w:rPr>
          <w:rFonts w:ascii="Arial" w:hAnsi="Arial" w:cs="Arial"/>
        </w:rPr>
        <w:t>a</w:t>
      </w:r>
      <w:r w:rsidRPr="00770ED9">
        <w:rPr>
          <w:rFonts w:ascii="Arial" w:hAnsi="Arial" w:cs="Arial"/>
        </w:rPr>
        <w:t xml:space="preserve"> y determinante de la víctima, </w:t>
      </w:r>
      <w:r w:rsidR="000B7BDA" w:rsidRPr="00770ED9">
        <w:rPr>
          <w:rFonts w:ascii="Arial" w:hAnsi="Arial" w:cs="Arial"/>
        </w:rPr>
        <w:t xml:space="preserve">lo cierto es que </w:t>
      </w:r>
      <w:r w:rsidRPr="00770ED9">
        <w:rPr>
          <w:rFonts w:ascii="Arial" w:hAnsi="Arial" w:cs="Arial"/>
        </w:rPr>
        <w:t xml:space="preserve">para que este </w:t>
      </w:r>
      <w:r w:rsidR="00DB7098" w:rsidRPr="00770ED9">
        <w:rPr>
          <w:rFonts w:ascii="Arial" w:hAnsi="Arial" w:cs="Arial"/>
        </w:rPr>
        <w:t xml:space="preserve">se </w:t>
      </w:r>
      <w:r w:rsidRPr="00770ED9">
        <w:rPr>
          <w:rFonts w:ascii="Arial" w:hAnsi="Arial" w:cs="Arial"/>
        </w:rPr>
        <w:t xml:space="preserve">exonere de responsabilidad es necesario que el hecho sea imprevisible, irresistible y exterior (ajeno); no obstante, en el caso bajo estudio </w:t>
      </w:r>
      <w:r w:rsidR="000B7BDA" w:rsidRPr="00770ED9">
        <w:rPr>
          <w:rFonts w:ascii="Arial" w:hAnsi="Arial" w:cs="Arial"/>
        </w:rPr>
        <w:t xml:space="preserve">el despacho en su decisión de primera instancia consideró que </w:t>
      </w:r>
      <w:r w:rsidRPr="00770ED9">
        <w:rPr>
          <w:rFonts w:ascii="Arial" w:hAnsi="Arial" w:cs="Arial"/>
        </w:rPr>
        <w:t>el hecho no fue imprevisible, pues la entidad tenía conocimiento de que terceros sin autorización, incluso menores de edad, destinaban dicho predio como sitio para nadar, sin estar destinado para ello</w:t>
      </w:r>
      <w:r w:rsidR="00A24600" w:rsidRPr="00770ED9">
        <w:rPr>
          <w:rFonts w:ascii="Arial" w:hAnsi="Arial" w:cs="Arial"/>
        </w:rPr>
        <w:t>, lo cual hace interpretar una inacción de la entidad frente a las reparaciones de los muros de seguridad, de igual manera se atendió la falta de requerimientos a las autoridades para solucionar la situación sumado todo ello al hecho de que la edad de la víctima impid</w:t>
      </w:r>
      <w:r w:rsidR="008716A0" w:rsidRPr="00770ED9">
        <w:rPr>
          <w:rFonts w:ascii="Arial" w:hAnsi="Arial" w:cs="Arial"/>
        </w:rPr>
        <w:t>ió</w:t>
      </w:r>
      <w:r w:rsidR="00A24600" w:rsidRPr="00770ED9">
        <w:rPr>
          <w:rFonts w:ascii="Arial" w:hAnsi="Arial" w:cs="Arial"/>
        </w:rPr>
        <w:t xml:space="preserve"> realizar un juicio de valor sobre cuidado y conciencia de sus actuaciones</w:t>
      </w:r>
      <w:r w:rsidR="008716A0" w:rsidRPr="00770ED9">
        <w:rPr>
          <w:rFonts w:ascii="Arial" w:hAnsi="Arial" w:cs="Arial"/>
        </w:rPr>
        <w:t>.</w:t>
      </w:r>
      <w:r w:rsidR="00DA384E">
        <w:rPr>
          <w:rFonts w:ascii="Arial" w:hAnsi="Arial" w:cs="Arial"/>
        </w:rPr>
        <w:t xml:space="preserve"> Finalmente se debe mencionar que </w:t>
      </w:r>
      <w:r w:rsidR="00DA384E" w:rsidRPr="00DA384E">
        <w:rPr>
          <w:rFonts w:ascii="Arial" w:hAnsi="Arial" w:cs="Arial"/>
        </w:rPr>
        <w:t xml:space="preserve">eventualmente el despacho podría modificar la condena y declarar la concausalidad </w:t>
      </w:r>
      <w:r w:rsidR="00DA384E" w:rsidRPr="00DA384E">
        <w:rPr>
          <w:rFonts w:ascii="Arial" w:hAnsi="Arial" w:cs="Arial"/>
        </w:rPr>
        <w:lastRenderedPageBreak/>
        <w:t>por la participación del hecho de un tercero, la madre del menor, aunque en un porcentaje inferior. </w:t>
      </w:r>
    </w:p>
    <w:p w14:paraId="46D35770" w14:textId="77777777" w:rsidR="00DA384E" w:rsidRDefault="00DA384E" w:rsidP="00770ED9">
      <w:pPr>
        <w:spacing w:after="0" w:line="312" w:lineRule="auto"/>
        <w:jc w:val="both"/>
        <w:rPr>
          <w:rFonts w:ascii="Arial" w:hAnsi="Arial" w:cs="Arial"/>
          <w:b/>
          <w:bCs/>
        </w:rPr>
      </w:pPr>
    </w:p>
    <w:p w14:paraId="139CFE99" w14:textId="3AF7931B" w:rsidR="00F461F2" w:rsidRPr="00770ED9" w:rsidRDefault="00F461F2" w:rsidP="00770ED9">
      <w:pPr>
        <w:spacing w:after="0" w:line="312" w:lineRule="auto"/>
        <w:jc w:val="both"/>
        <w:rPr>
          <w:rFonts w:ascii="Arial" w:hAnsi="Arial" w:cs="Arial"/>
        </w:rPr>
      </w:pPr>
      <w:r w:rsidRPr="00770ED9">
        <w:rPr>
          <w:rFonts w:ascii="Arial" w:hAnsi="Arial" w:cs="Arial"/>
          <w:b/>
          <w:bCs/>
        </w:rPr>
        <w:t>LIQUIDACIÓN OBJETIVA</w:t>
      </w:r>
      <w:r w:rsidRPr="00770ED9">
        <w:rPr>
          <w:rFonts w:ascii="Arial" w:hAnsi="Arial" w:cs="Arial"/>
        </w:rPr>
        <w:t xml:space="preserve">: </w:t>
      </w:r>
      <w:r w:rsidR="000E3101" w:rsidRPr="00770ED9">
        <w:rPr>
          <w:rFonts w:ascii="Arial" w:hAnsi="Arial" w:cs="Arial"/>
          <w:b/>
          <w:bCs/>
        </w:rPr>
        <w:t xml:space="preserve">$358.722.000 </w:t>
      </w:r>
      <w:r w:rsidRPr="00770ED9">
        <w:rPr>
          <w:rFonts w:ascii="Arial" w:hAnsi="Arial" w:cs="Arial"/>
        </w:rPr>
        <w:t xml:space="preserve">correspondientes al </w:t>
      </w:r>
      <w:r w:rsidR="000E3101" w:rsidRPr="00770ED9">
        <w:rPr>
          <w:rFonts w:ascii="Arial" w:hAnsi="Arial" w:cs="Arial"/>
        </w:rPr>
        <w:t>8</w:t>
      </w:r>
      <w:r w:rsidR="00D57E2C" w:rsidRPr="00770ED9">
        <w:rPr>
          <w:rFonts w:ascii="Arial" w:hAnsi="Arial" w:cs="Arial"/>
        </w:rPr>
        <w:t>0</w:t>
      </w:r>
      <w:r w:rsidRPr="00770ED9">
        <w:rPr>
          <w:rFonts w:ascii="Arial" w:hAnsi="Arial" w:cs="Arial"/>
        </w:rPr>
        <w:t xml:space="preserve">% del coaseguro asumido por </w:t>
      </w:r>
      <w:r w:rsidR="000E3101" w:rsidRPr="00770ED9">
        <w:rPr>
          <w:rFonts w:ascii="Arial" w:hAnsi="Arial" w:cs="Arial"/>
        </w:rPr>
        <w:t>Allianz</w:t>
      </w:r>
      <w:r w:rsidRPr="00770ED9">
        <w:rPr>
          <w:rFonts w:ascii="Arial" w:hAnsi="Arial" w:cs="Arial"/>
        </w:rPr>
        <w:t xml:space="preserve"> en el caso,</w:t>
      </w:r>
      <w:r w:rsidRPr="00770ED9">
        <w:rPr>
          <w:rFonts w:ascii="Arial" w:hAnsi="Arial" w:cs="Arial"/>
          <w:b/>
          <w:bCs/>
        </w:rPr>
        <w:t xml:space="preserve"> </w:t>
      </w:r>
      <w:r w:rsidRPr="00770ED9">
        <w:rPr>
          <w:rFonts w:ascii="Arial" w:hAnsi="Arial" w:cs="Arial"/>
        </w:rPr>
        <w:t>respecto de la liquidación objetiva de pretensiones que se presenta a continuación.</w:t>
      </w:r>
    </w:p>
    <w:p w14:paraId="711FC3B0" w14:textId="77777777" w:rsidR="00A36A23" w:rsidRDefault="00A36A23" w:rsidP="00770ED9">
      <w:pPr>
        <w:spacing w:after="0" w:line="312" w:lineRule="auto"/>
        <w:jc w:val="both"/>
        <w:rPr>
          <w:rFonts w:ascii="Arial" w:hAnsi="Arial" w:cs="Arial"/>
        </w:rPr>
      </w:pPr>
    </w:p>
    <w:p w14:paraId="08DFF260" w14:textId="2173C380" w:rsidR="00F461F2" w:rsidRPr="00770ED9" w:rsidRDefault="00F461F2" w:rsidP="00770ED9">
      <w:pPr>
        <w:spacing w:after="0" w:line="312" w:lineRule="auto"/>
        <w:jc w:val="both"/>
        <w:rPr>
          <w:rFonts w:ascii="Arial" w:hAnsi="Arial" w:cs="Arial"/>
        </w:rPr>
      </w:pPr>
      <w:r w:rsidRPr="00770ED9">
        <w:rPr>
          <w:rFonts w:ascii="Arial" w:hAnsi="Arial" w:cs="Arial"/>
        </w:rPr>
        <w:t xml:space="preserve">A ese valor se llegó de la siguiente manera: </w:t>
      </w:r>
    </w:p>
    <w:p w14:paraId="28758869" w14:textId="12792A68" w:rsidR="000B7BDA" w:rsidRPr="00770ED9" w:rsidRDefault="00F461F2" w:rsidP="00770ED9">
      <w:pPr>
        <w:spacing w:after="0" w:line="312" w:lineRule="auto"/>
        <w:jc w:val="both"/>
        <w:rPr>
          <w:rFonts w:ascii="Arial" w:hAnsi="Arial" w:cs="Arial"/>
          <w:b/>
          <w:bCs/>
        </w:rPr>
      </w:pPr>
      <w:r w:rsidRPr="00770ED9">
        <w:rPr>
          <w:rFonts w:ascii="Arial" w:hAnsi="Arial" w:cs="Arial"/>
          <w:b/>
          <w:bCs/>
        </w:rPr>
        <w:t>Frente al daño moral</w:t>
      </w:r>
      <w:r w:rsidRPr="00770ED9">
        <w:rPr>
          <w:rFonts w:ascii="Arial" w:hAnsi="Arial" w:cs="Arial"/>
        </w:rPr>
        <w:t>: se reconoc</w:t>
      </w:r>
      <w:r w:rsidR="00D06FD2" w:rsidRPr="00770ED9">
        <w:rPr>
          <w:rFonts w:ascii="Arial" w:hAnsi="Arial" w:cs="Arial"/>
        </w:rPr>
        <w:t>ió</w:t>
      </w:r>
      <w:r w:rsidRPr="00770ED9">
        <w:rPr>
          <w:rFonts w:ascii="Arial" w:hAnsi="Arial" w:cs="Arial"/>
        </w:rPr>
        <w:t xml:space="preserve"> a </w:t>
      </w:r>
      <w:r w:rsidR="000B7BDA" w:rsidRPr="00770ED9">
        <w:rPr>
          <w:rFonts w:ascii="Arial" w:hAnsi="Arial" w:cs="Arial"/>
        </w:rPr>
        <w:t xml:space="preserve">Luzmila Yomara Chang Bermúdez (Madre) 100 SMLMV, Victoria Chang Bermúdez (Hermana) 50 SMLMV, Samuel Chang Bermúdez (Hermano) 50 SMLMV, Mariana Chang Bermúdez (Hermana) 50 SMLMV, Jesús Esteban Mideros Chang (Hermano) 50 SMLMV y María Camila Mideros Chang (Hermana) 50 SMLMV. </w:t>
      </w:r>
      <w:r w:rsidR="000B7BDA" w:rsidRPr="00770ED9">
        <w:rPr>
          <w:rFonts w:ascii="Arial" w:hAnsi="Arial" w:cs="Arial"/>
          <w:b/>
          <w:bCs/>
        </w:rPr>
        <w:t>Total: 350 SMMLV</w:t>
      </w:r>
    </w:p>
    <w:p w14:paraId="0E91C797" w14:textId="77777777" w:rsidR="000B7BDA" w:rsidRPr="00770ED9" w:rsidRDefault="000B7BDA" w:rsidP="00770ED9">
      <w:pPr>
        <w:spacing w:after="0" w:line="312" w:lineRule="auto"/>
        <w:jc w:val="both"/>
        <w:rPr>
          <w:rFonts w:ascii="Arial" w:hAnsi="Arial" w:cs="Arial"/>
        </w:rPr>
      </w:pPr>
    </w:p>
    <w:p w14:paraId="0171EA6F" w14:textId="35BD6C05" w:rsidR="00135EE5" w:rsidRPr="00770ED9" w:rsidRDefault="0011438C" w:rsidP="00770ED9">
      <w:pPr>
        <w:spacing w:after="0" w:line="312" w:lineRule="auto"/>
        <w:jc w:val="both"/>
        <w:rPr>
          <w:rFonts w:ascii="Arial" w:hAnsi="Arial" w:cs="Arial"/>
          <w:b/>
          <w:bCs/>
        </w:rPr>
      </w:pPr>
      <w:r w:rsidRPr="00770ED9">
        <w:rPr>
          <w:rFonts w:ascii="Arial" w:hAnsi="Arial" w:cs="Arial"/>
        </w:rPr>
        <w:t>Total,</w:t>
      </w:r>
      <w:r w:rsidR="00F461F2" w:rsidRPr="00770ED9">
        <w:rPr>
          <w:rFonts w:ascii="Arial" w:hAnsi="Arial" w:cs="Arial"/>
        </w:rPr>
        <w:t xml:space="preserve"> reconocido</w:t>
      </w:r>
      <w:r w:rsidR="00401B94" w:rsidRPr="00770ED9">
        <w:rPr>
          <w:rFonts w:ascii="Arial" w:hAnsi="Arial" w:cs="Arial"/>
        </w:rPr>
        <w:t xml:space="preserve"> en pesos</w:t>
      </w:r>
      <w:r w:rsidR="00F461F2" w:rsidRPr="00770ED9">
        <w:rPr>
          <w:rFonts w:ascii="Arial" w:hAnsi="Arial" w:cs="Arial"/>
          <w:vertAlign w:val="superscript"/>
        </w:rPr>
        <w:footnoteReference w:id="1"/>
      </w:r>
      <w:r w:rsidR="00F461F2" w:rsidRPr="00770ED9">
        <w:rPr>
          <w:rFonts w:ascii="Arial" w:hAnsi="Arial" w:cs="Arial"/>
        </w:rPr>
        <w:t>: $</w:t>
      </w:r>
      <w:r w:rsidR="00DB3BF7" w:rsidRPr="00770ED9">
        <w:rPr>
          <w:rFonts w:ascii="Arial" w:hAnsi="Arial" w:cs="Arial"/>
        </w:rPr>
        <w:t>498.225.000</w:t>
      </w:r>
      <w:r w:rsidR="00966BF1" w:rsidRPr="00770ED9">
        <w:rPr>
          <w:rFonts w:ascii="Arial" w:hAnsi="Arial" w:cs="Arial"/>
        </w:rPr>
        <w:t>. De este valor se resta el</w:t>
      </w:r>
      <w:r w:rsidR="00A86620" w:rsidRPr="00770ED9">
        <w:rPr>
          <w:rFonts w:ascii="Arial" w:hAnsi="Arial" w:cs="Arial"/>
        </w:rPr>
        <w:t xml:space="preserve"> deducible (10%</w:t>
      </w:r>
      <w:r w:rsidR="000E3101" w:rsidRPr="00770ED9">
        <w:rPr>
          <w:rFonts w:ascii="Arial" w:hAnsi="Arial" w:cs="Arial"/>
        </w:rPr>
        <w:t xml:space="preserve"> del valor de la pérdida</w:t>
      </w:r>
      <w:r w:rsidR="00A86620" w:rsidRPr="00770ED9">
        <w:rPr>
          <w:rFonts w:ascii="Arial" w:hAnsi="Arial" w:cs="Arial"/>
        </w:rPr>
        <w:t xml:space="preserve">) </w:t>
      </w:r>
      <w:r w:rsidR="000E3101" w:rsidRPr="00770ED9">
        <w:rPr>
          <w:rFonts w:ascii="Arial" w:hAnsi="Arial" w:cs="Arial"/>
        </w:rPr>
        <w:t>lo</w:t>
      </w:r>
      <w:r w:rsidR="00396A74" w:rsidRPr="00770ED9">
        <w:rPr>
          <w:rFonts w:ascii="Arial" w:hAnsi="Arial" w:cs="Arial"/>
        </w:rPr>
        <w:t xml:space="preserve"> que equivale a $</w:t>
      </w:r>
      <w:r w:rsidR="000E3101" w:rsidRPr="00770ED9">
        <w:rPr>
          <w:rFonts w:ascii="Arial" w:hAnsi="Arial" w:cs="Arial"/>
        </w:rPr>
        <w:t>49</w:t>
      </w:r>
      <w:r w:rsidR="00396A74" w:rsidRPr="00770ED9">
        <w:rPr>
          <w:rFonts w:ascii="Arial" w:hAnsi="Arial" w:cs="Arial"/>
        </w:rPr>
        <w:t>.</w:t>
      </w:r>
      <w:r w:rsidR="000E3101" w:rsidRPr="00770ED9">
        <w:rPr>
          <w:rFonts w:ascii="Arial" w:hAnsi="Arial" w:cs="Arial"/>
        </w:rPr>
        <w:t>822</w:t>
      </w:r>
      <w:r w:rsidR="00396A74" w:rsidRPr="00770ED9">
        <w:rPr>
          <w:rFonts w:ascii="Arial" w:hAnsi="Arial" w:cs="Arial"/>
        </w:rPr>
        <w:t>.</w:t>
      </w:r>
      <w:r w:rsidR="000E3101" w:rsidRPr="00770ED9">
        <w:rPr>
          <w:rFonts w:ascii="Arial" w:hAnsi="Arial" w:cs="Arial"/>
        </w:rPr>
        <w:t>5</w:t>
      </w:r>
      <w:r w:rsidR="00396A74" w:rsidRPr="00770ED9">
        <w:rPr>
          <w:rFonts w:ascii="Arial" w:hAnsi="Arial" w:cs="Arial"/>
        </w:rPr>
        <w:t>00</w:t>
      </w:r>
      <w:r w:rsidR="00966BF1" w:rsidRPr="00770ED9">
        <w:rPr>
          <w:rFonts w:ascii="Arial" w:hAnsi="Arial" w:cs="Arial"/>
        </w:rPr>
        <w:t xml:space="preserve">, </w:t>
      </w:r>
      <w:r w:rsidR="000E3101" w:rsidRPr="00770ED9">
        <w:rPr>
          <w:rFonts w:ascii="Arial" w:hAnsi="Arial" w:cs="Arial"/>
        </w:rPr>
        <w:t>lo que arroja un resultado de</w:t>
      </w:r>
      <w:r w:rsidR="00966BF1" w:rsidRPr="00770ED9">
        <w:rPr>
          <w:rFonts w:ascii="Arial" w:hAnsi="Arial" w:cs="Arial"/>
        </w:rPr>
        <w:t>: $</w:t>
      </w:r>
      <w:r w:rsidR="000E3101" w:rsidRPr="00770ED9">
        <w:rPr>
          <w:rFonts w:ascii="Arial" w:hAnsi="Arial" w:cs="Arial"/>
        </w:rPr>
        <w:t>448.402.500</w:t>
      </w:r>
      <w:r w:rsidR="00966BF1" w:rsidRPr="00770ED9">
        <w:rPr>
          <w:rFonts w:ascii="Arial" w:hAnsi="Arial" w:cs="Arial"/>
          <w:b/>
          <w:bCs/>
        </w:rPr>
        <w:t xml:space="preserve">. </w:t>
      </w:r>
      <w:r w:rsidR="00F461F2" w:rsidRPr="00770ED9">
        <w:rPr>
          <w:rFonts w:ascii="Arial" w:hAnsi="Arial" w:cs="Arial"/>
        </w:rPr>
        <w:t xml:space="preserve"> </w:t>
      </w:r>
      <w:r w:rsidR="00966BF1" w:rsidRPr="00770ED9">
        <w:rPr>
          <w:rFonts w:ascii="Arial" w:hAnsi="Arial" w:cs="Arial"/>
        </w:rPr>
        <w:t xml:space="preserve">De este </w:t>
      </w:r>
      <w:r w:rsidR="000E3101" w:rsidRPr="00770ED9">
        <w:rPr>
          <w:rFonts w:ascii="Arial" w:hAnsi="Arial" w:cs="Arial"/>
        </w:rPr>
        <w:t xml:space="preserve">último </w:t>
      </w:r>
      <w:r w:rsidR="00966BF1" w:rsidRPr="00770ED9">
        <w:rPr>
          <w:rFonts w:ascii="Arial" w:hAnsi="Arial" w:cs="Arial"/>
        </w:rPr>
        <w:t>valor se extrae el p</w:t>
      </w:r>
      <w:r w:rsidR="00A86620" w:rsidRPr="00770ED9">
        <w:rPr>
          <w:rFonts w:ascii="Arial" w:hAnsi="Arial" w:cs="Arial"/>
        </w:rPr>
        <w:t>orcentaje</w:t>
      </w:r>
      <w:r w:rsidR="00F461F2" w:rsidRPr="00770ED9">
        <w:rPr>
          <w:rFonts w:ascii="Arial" w:hAnsi="Arial" w:cs="Arial"/>
        </w:rPr>
        <w:t xml:space="preserve"> </w:t>
      </w:r>
      <w:r w:rsidR="00401B94" w:rsidRPr="00770ED9">
        <w:rPr>
          <w:rFonts w:ascii="Arial" w:hAnsi="Arial" w:cs="Arial"/>
        </w:rPr>
        <w:t>asumi</w:t>
      </w:r>
      <w:r w:rsidR="00F461F2" w:rsidRPr="00770ED9">
        <w:rPr>
          <w:rFonts w:ascii="Arial" w:hAnsi="Arial" w:cs="Arial"/>
        </w:rPr>
        <w:t>d</w:t>
      </w:r>
      <w:r w:rsidR="00A86620" w:rsidRPr="00770ED9">
        <w:rPr>
          <w:rFonts w:ascii="Arial" w:hAnsi="Arial" w:cs="Arial"/>
        </w:rPr>
        <w:t>o</w:t>
      </w:r>
      <w:r w:rsidR="00F461F2" w:rsidRPr="00770ED9">
        <w:rPr>
          <w:rFonts w:ascii="Arial" w:hAnsi="Arial" w:cs="Arial"/>
        </w:rPr>
        <w:t xml:space="preserve"> por </w:t>
      </w:r>
      <w:r w:rsidR="000E3101" w:rsidRPr="00770ED9">
        <w:rPr>
          <w:rFonts w:ascii="Arial" w:hAnsi="Arial" w:cs="Arial"/>
        </w:rPr>
        <w:t>Allianz en coaseguro</w:t>
      </w:r>
      <w:r w:rsidR="00F461F2" w:rsidRPr="00770ED9">
        <w:rPr>
          <w:rFonts w:ascii="Arial" w:hAnsi="Arial" w:cs="Arial"/>
        </w:rPr>
        <w:t>: (</w:t>
      </w:r>
      <w:r w:rsidR="000E3101" w:rsidRPr="00770ED9">
        <w:rPr>
          <w:rFonts w:ascii="Arial" w:hAnsi="Arial" w:cs="Arial"/>
        </w:rPr>
        <w:t>8</w:t>
      </w:r>
      <w:r w:rsidR="00A86620" w:rsidRPr="00770ED9">
        <w:rPr>
          <w:rFonts w:ascii="Arial" w:hAnsi="Arial" w:cs="Arial"/>
        </w:rPr>
        <w:t>0</w:t>
      </w:r>
      <w:r w:rsidR="00F461F2" w:rsidRPr="00770ED9">
        <w:rPr>
          <w:rFonts w:ascii="Arial" w:hAnsi="Arial" w:cs="Arial"/>
        </w:rPr>
        <w:t>%) =</w:t>
      </w:r>
      <w:r w:rsidR="00F461F2" w:rsidRPr="00770ED9">
        <w:rPr>
          <w:rFonts w:ascii="Arial" w:hAnsi="Arial" w:cs="Arial"/>
          <w:b/>
          <w:bCs/>
        </w:rPr>
        <w:t xml:space="preserve"> $</w:t>
      </w:r>
      <w:r w:rsidR="000E3101" w:rsidRPr="00770ED9">
        <w:rPr>
          <w:rFonts w:ascii="Arial" w:hAnsi="Arial" w:cs="Arial"/>
          <w:b/>
          <w:bCs/>
        </w:rPr>
        <w:t>358</w:t>
      </w:r>
      <w:r w:rsidR="00F461F2" w:rsidRPr="00770ED9">
        <w:rPr>
          <w:rFonts w:ascii="Arial" w:hAnsi="Arial" w:cs="Arial"/>
          <w:b/>
          <w:bCs/>
        </w:rPr>
        <w:t>.</w:t>
      </w:r>
      <w:r w:rsidR="000E3101" w:rsidRPr="00770ED9">
        <w:rPr>
          <w:rFonts w:ascii="Arial" w:hAnsi="Arial" w:cs="Arial"/>
          <w:b/>
          <w:bCs/>
        </w:rPr>
        <w:t>722</w:t>
      </w:r>
      <w:r w:rsidR="00F461F2" w:rsidRPr="00770ED9">
        <w:rPr>
          <w:rFonts w:ascii="Arial" w:hAnsi="Arial" w:cs="Arial"/>
          <w:b/>
          <w:bCs/>
        </w:rPr>
        <w:t>.000</w:t>
      </w:r>
      <w:r w:rsidR="00401B94" w:rsidRPr="00770ED9">
        <w:rPr>
          <w:rFonts w:ascii="Arial" w:hAnsi="Arial" w:cs="Arial"/>
          <w:b/>
          <w:bCs/>
        </w:rPr>
        <w:t>.</w:t>
      </w:r>
    </w:p>
    <w:p w14:paraId="57C2D57E" w14:textId="77777777" w:rsidR="00C21BB9" w:rsidRPr="00770ED9" w:rsidRDefault="00C21BB9" w:rsidP="00770ED9">
      <w:pPr>
        <w:spacing w:after="0" w:line="312" w:lineRule="auto"/>
        <w:jc w:val="both"/>
        <w:rPr>
          <w:rFonts w:ascii="Arial" w:hAnsi="Arial" w:cs="Arial"/>
          <w:b/>
          <w:bCs/>
        </w:rPr>
      </w:pPr>
    </w:p>
    <w:p w14:paraId="54C74ECB" w14:textId="77777777" w:rsidR="00C21BB9" w:rsidRPr="00770ED9" w:rsidRDefault="00C21BB9" w:rsidP="00770ED9">
      <w:pPr>
        <w:spacing w:after="0" w:line="312" w:lineRule="auto"/>
        <w:jc w:val="both"/>
        <w:rPr>
          <w:rFonts w:ascii="Arial" w:hAnsi="Arial" w:cs="Arial"/>
          <w:b/>
          <w:bCs/>
        </w:rPr>
      </w:pPr>
    </w:p>
    <w:p w14:paraId="4F4802DA" w14:textId="77777777" w:rsidR="00C21BB9" w:rsidRPr="00770ED9" w:rsidRDefault="00C21BB9" w:rsidP="00770ED9">
      <w:pPr>
        <w:spacing w:after="0" w:line="312" w:lineRule="auto"/>
        <w:jc w:val="both"/>
        <w:rPr>
          <w:rFonts w:ascii="Arial" w:hAnsi="Arial" w:cs="Arial"/>
          <w:b/>
          <w:bCs/>
        </w:rPr>
      </w:pPr>
    </w:p>
    <w:p w14:paraId="222E1B65" w14:textId="77777777" w:rsidR="00C21BB9" w:rsidRPr="00770ED9" w:rsidRDefault="00C21BB9" w:rsidP="00770ED9">
      <w:pPr>
        <w:spacing w:after="0" w:line="312" w:lineRule="auto"/>
        <w:jc w:val="both"/>
        <w:rPr>
          <w:rFonts w:ascii="Arial" w:hAnsi="Arial" w:cs="Arial"/>
          <w:b/>
          <w:bCs/>
        </w:rPr>
      </w:pPr>
    </w:p>
    <w:sectPr w:rsidR="00C21BB9" w:rsidRPr="00770E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4C41" w14:textId="77777777" w:rsidR="00123483" w:rsidRDefault="00123483" w:rsidP="00E94632">
      <w:pPr>
        <w:spacing w:after="0" w:line="240" w:lineRule="auto"/>
      </w:pPr>
      <w:r>
        <w:separator/>
      </w:r>
    </w:p>
  </w:endnote>
  <w:endnote w:type="continuationSeparator" w:id="0">
    <w:p w14:paraId="7FCC13F4" w14:textId="77777777" w:rsidR="00123483" w:rsidRDefault="00123483"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00EB" w14:textId="77777777" w:rsidR="00123483" w:rsidRDefault="00123483" w:rsidP="00E94632">
      <w:pPr>
        <w:spacing w:after="0" w:line="240" w:lineRule="auto"/>
      </w:pPr>
      <w:r>
        <w:separator/>
      </w:r>
    </w:p>
  </w:footnote>
  <w:footnote w:type="continuationSeparator" w:id="0">
    <w:p w14:paraId="25C6D0EA" w14:textId="77777777" w:rsidR="00123483" w:rsidRDefault="00123483" w:rsidP="00E94632">
      <w:pPr>
        <w:spacing w:after="0" w:line="240" w:lineRule="auto"/>
      </w:pPr>
      <w:r>
        <w:continuationSeparator/>
      </w:r>
    </w:p>
  </w:footnote>
  <w:footnote w:id="1">
    <w:p w14:paraId="5356AD1C" w14:textId="00E87A03" w:rsidR="00F461F2" w:rsidRDefault="00F461F2" w:rsidP="00F461F2">
      <w:pPr>
        <w:pStyle w:val="Textonotapie"/>
      </w:pPr>
      <w:r>
        <w:rPr>
          <w:rStyle w:val="Refdenotaalpie"/>
        </w:rPr>
        <w:footnoteRef/>
      </w:r>
      <w:r>
        <w:t xml:space="preserve"> Se liquidó con SMMLV de 202</w:t>
      </w:r>
      <w:r w:rsidR="000B7BDA">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606D2"/>
    <w:rsid w:val="000965DB"/>
    <w:rsid w:val="000A0DDF"/>
    <w:rsid w:val="000B7BDA"/>
    <w:rsid w:val="000E3101"/>
    <w:rsid w:val="00113EE3"/>
    <w:rsid w:val="0011438C"/>
    <w:rsid w:val="00123483"/>
    <w:rsid w:val="00135EE5"/>
    <w:rsid w:val="001801C8"/>
    <w:rsid w:val="00186AF7"/>
    <w:rsid w:val="001B1362"/>
    <w:rsid w:val="001B7C2F"/>
    <w:rsid w:val="001C74F7"/>
    <w:rsid w:val="00203926"/>
    <w:rsid w:val="00244333"/>
    <w:rsid w:val="00256138"/>
    <w:rsid w:val="0026608F"/>
    <w:rsid w:val="002911B7"/>
    <w:rsid w:val="002B4506"/>
    <w:rsid w:val="002B63F3"/>
    <w:rsid w:val="00333F61"/>
    <w:rsid w:val="00336C63"/>
    <w:rsid w:val="003537D3"/>
    <w:rsid w:val="0038553D"/>
    <w:rsid w:val="0039161F"/>
    <w:rsid w:val="00396A74"/>
    <w:rsid w:val="003C3A20"/>
    <w:rsid w:val="00401B94"/>
    <w:rsid w:val="00486104"/>
    <w:rsid w:val="005857B3"/>
    <w:rsid w:val="005F41BD"/>
    <w:rsid w:val="006A14A5"/>
    <w:rsid w:val="006A1A9B"/>
    <w:rsid w:val="006D1D69"/>
    <w:rsid w:val="006F6B65"/>
    <w:rsid w:val="00712B90"/>
    <w:rsid w:val="00733681"/>
    <w:rsid w:val="007457C4"/>
    <w:rsid w:val="00770ED9"/>
    <w:rsid w:val="00775939"/>
    <w:rsid w:val="0078618E"/>
    <w:rsid w:val="00797B2F"/>
    <w:rsid w:val="007B4DFE"/>
    <w:rsid w:val="007E5E65"/>
    <w:rsid w:val="00832BAC"/>
    <w:rsid w:val="0083350E"/>
    <w:rsid w:val="008716A0"/>
    <w:rsid w:val="0087718F"/>
    <w:rsid w:val="008B175A"/>
    <w:rsid w:val="008C022E"/>
    <w:rsid w:val="008C2C8F"/>
    <w:rsid w:val="008E68B6"/>
    <w:rsid w:val="0092048E"/>
    <w:rsid w:val="00931A85"/>
    <w:rsid w:val="00942398"/>
    <w:rsid w:val="00966BF1"/>
    <w:rsid w:val="009B065A"/>
    <w:rsid w:val="00A24600"/>
    <w:rsid w:val="00A36A23"/>
    <w:rsid w:val="00A453E5"/>
    <w:rsid w:val="00A55675"/>
    <w:rsid w:val="00A66737"/>
    <w:rsid w:val="00A86620"/>
    <w:rsid w:val="00AE7F03"/>
    <w:rsid w:val="00AF7884"/>
    <w:rsid w:val="00AF7983"/>
    <w:rsid w:val="00B44322"/>
    <w:rsid w:val="00B66302"/>
    <w:rsid w:val="00BE57BC"/>
    <w:rsid w:val="00C21BB9"/>
    <w:rsid w:val="00C36A67"/>
    <w:rsid w:val="00C42CDF"/>
    <w:rsid w:val="00C907FA"/>
    <w:rsid w:val="00CA2BA4"/>
    <w:rsid w:val="00CA3975"/>
    <w:rsid w:val="00CA4C69"/>
    <w:rsid w:val="00CB7E82"/>
    <w:rsid w:val="00CF5DF6"/>
    <w:rsid w:val="00CF6005"/>
    <w:rsid w:val="00D06FD2"/>
    <w:rsid w:val="00D16ED6"/>
    <w:rsid w:val="00D57E2C"/>
    <w:rsid w:val="00D62742"/>
    <w:rsid w:val="00DA384E"/>
    <w:rsid w:val="00DB3BF7"/>
    <w:rsid w:val="00DB7098"/>
    <w:rsid w:val="00E25A29"/>
    <w:rsid w:val="00E25AE4"/>
    <w:rsid w:val="00E2616A"/>
    <w:rsid w:val="00E921CA"/>
    <w:rsid w:val="00E94632"/>
    <w:rsid w:val="00EB05A4"/>
    <w:rsid w:val="00EB4DAD"/>
    <w:rsid w:val="00ED1F2E"/>
    <w:rsid w:val="00F176E6"/>
    <w:rsid w:val="00F25989"/>
    <w:rsid w:val="00F40CF3"/>
    <w:rsid w:val="00F461F2"/>
    <w:rsid w:val="00FA1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1030</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38</cp:revision>
  <dcterms:created xsi:type="dcterms:W3CDTF">2024-11-21T23:31:00Z</dcterms:created>
  <dcterms:modified xsi:type="dcterms:W3CDTF">2025-02-10T22:05:00Z</dcterms:modified>
</cp:coreProperties>
</file>