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F44" w14:textId="77777777" w:rsidR="00060693" w:rsidRDefault="00060693" w:rsidP="00060693">
      <w:pPr>
        <w:autoSpaceDE w:val="0"/>
        <w:autoSpaceDN w:val="0"/>
        <w:adjustRightInd w:val="0"/>
        <w:spacing w:after="0" w:line="240" w:lineRule="auto"/>
        <w:rPr>
          <w:rFonts w:ascii="LucidaBright,Italic" w:hAnsi="LucidaBright,Italic" w:cs="LucidaBright,Italic"/>
          <w:i/>
          <w:iCs/>
          <w:color w:val="000000"/>
          <w:kern w:val="0"/>
          <w:sz w:val="20"/>
          <w:szCs w:val="20"/>
          <w:lang w:val="es-CO"/>
        </w:rPr>
      </w:pPr>
      <w:proofErr w:type="spellStart"/>
      <w:r>
        <w:rPr>
          <w:rFonts w:ascii="LucidaBright,Italic" w:hAnsi="LucidaBright,Italic" w:cs="LucidaBright,Italic"/>
          <w:i/>
          <w:iCs/>
          <w:color w:val="000000"/>
          <w:kern w:val="0"/>
          <w:sz w:val="20"/>
          <w:szCs w:val="20"/>
          <w:lang w:val="es-CO"/>
        </w:rPr>
        <w:t>Exp</w:t>
      </w:r>
      <w:proofErr w:type="spellEnd"/>
      <w:r>
        <w:rPr>
          <w:rFonts w:ascii="LucidaBright,Italic" w:hAnsi="LucidaBright,Italic" w:cs="LucidaBright,Italic"/>
          <w:i/>
          <w:iCs/>
          <w:color w:val="000000"/>
          <w:kern w:val="0"/>
          <w:sz w:val="20"/>
          <w:szCs w:val="20"/>
          <w:lang w:val="es-CO"/>
        </w:rPr>
        <w:t>. No. 000 2023 00191 01</w:t>
      </w:r>
    </w:p>
    <w:p w14:paraId="357F206C" w14:textId="77777777" w:rsidR="000422B2" w:rsidRDefault="000422B2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18C36B1" w14:textId="2F6E4CA5" w:rsidR="00060693" w:rsidRDefault="00060693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BOGOTÁ, D. C.</w:t>
      </w:r>
    </w:p>
    <w:p w14:paraId="6B1AE69C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SALA LABORAL</w:t>
      </w:r>
    </w:p>
    <w:p w14:paraId="47975269" w14:textId="77777777" w:rsidR="000422B2" w:rsidRDefault="000422B2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20DE55D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Magistrada Ponente:</w:t>
      </w:r>
    </w:p>
    <w:p w14:paraId="6A24C978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LUZ MARINA IBÁÑEZ HERNÁNDEZ</w:t>
      </w:r>
    </w:p>
    <w:p w14:paraId="4DA1BD01" w14:textId="77777777" w:rsidR="000422B2" w:rsidRDefault="000422B2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051F2A4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Bogotá D. C., veintidós (22) de marzo de dos mil veinticuatro (2024).</w:t>
      </w:r>
    </w:p>
    <w:p w14:paraId="7CCCED51" w14:textId="77777777" w:rsidR="000422B2" w:rsidRDefault="000422B2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C1D6405" w14:textId="77777777" w:rsidR="000422B2" w:rsidRDefault="000422B2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2D6333B" w14:textId="75DF35C3" w:rsidR="00060693" w:rsidRDefault="00060693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Número de Proceso: </w:t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11001220500020230019101</w:t>
      </w:r>
    </w:p>
    <w:p w14:paraId="6E781401" w14:textId="10538B64" w:rsidR="00060693" w:rsidRDefault="00060693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Demandante: </w:t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Famisanar E.P.S. Ltda.</w:t>
      </w:r>
    </w:p>
    <w:p w14:paraId="0FA465B3" w14:textId="453FA609" w:rsidR="00060693" w:rsidRDefault="00060693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Demandado: </w:t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Ministerio de Protección Social – Adres,</w:t>
      </w:r>
    </w:p>
    <w:p w14:paraId="30DE4DD5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Fiducoldex S.A., Fiduprevisora S.A., Asesoría de</w:t>
      </w:r>
    </w:p>
    <w:p w14:paraId="5B5CBAFF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Sistematización de Datos Sociedad Anónima</w:t>
      </w:r>
    </w:p>
    <w:p w14:paraId="0F7EA194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S.A., Carvajal Tecnología y Servicios S.A.S, </w:t>
      </w:r>
      <w:proofErr w:type="spellStart"/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Servis</w:t>
      </w:r>
      <w:proofErr w:type="spellEnd"/>
    </w:p>
    <w:p w14:paraId="0809758C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Outsourcing Informático Sociedad por Acciones</w:t>
      </w:r>
    </w:p>
    <w:p w14:paraId="6DEF39F9" w14:textId="77777777" w:rsidR="00060693" w:rsidRDefault="00060693" w:rsidP="000422B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Simplificada – </w:t>
      </w:r>
      <w:proofErr w:type="spellStart"/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Servis</w:t>
      </w:r>
      <w:proofErr w:type="spellEnd"/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S.A.S.</w:t>
      </w:r>
    </w:p>
    <w:p w14:paraId="0D8FF58E" w14:textId="35D1720D" w:rsidR="00060693" w:rsidRDefault="00060693" w:rsidP="00060693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Llamados en garantía: </w:t>
      </w:r>
      <w:r w:rsidR="000422B2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Chubb Seguros de Colombia S.A.</w:t>
      </w:r>
    </w:p>
    <w:p w14:paraId="0E3F73D7" w14:textId="77777777" w:rsidR="000422B2" w:rsidRDefault="000422B2" w:rsidP="0006069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887E163" w14:textId="77777777" w:rsidR="000422B2" w:rsidRDefault="000422B2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1675711" w14:textId="7623B63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Sería del caso proceder a admitir el recurso de apelación interpuesto por la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demandante y la Administradora de los Recursos del Sistema General de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Seguridad Social - Adres, con respecto a la sentencia proferida el 21 de julio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2022, por la Superintendencia Delegada para la Función Jurisdiccional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de Conciliación, dentro del proceso sumario de la referencia, de no ser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porque advierte la Sala que se trata de un asunto cuyo conocimiento no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corresponde a la Jurisdicción Ordinaria en su especialidad laboral y de la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seguridad social, sino a la Justicia de lo Contencioso Administrativo.</w:t>
      </w:r>
    </w:p>
    <w:p w14:paraId="072CFA89" w14:textId="77777777" w:rsidR="00CE52FF" w:rsidRDefault="00CE52FF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484062F" w14:textId="390EC875" w:rsidR="00060693" w:rsidRDefault="00060693" w:rsidP="00446C5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I. A N T E C E D E N T E S</w:t>
      </w:r>
    </w:p>
    <w:p w14:paraId="44735D0A" w14:textId="77777777" w:rsidR="00CE52FF" w:rsidRDefault="00CE52FF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9545488" w14:textId="536F28C6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 30 de diciembre de 2015 </w:t>
      </w:r>
      <w:r>
        <w:rPr>
          <w:rFonts w:ascii="BookmanOldStyle" w:hAnsi="BookmanOldStyle" w:cs="BookmanOldStyle"/>
          <w:color w:val="000000"/>
          <w:kern w:val="0"/>
          <w:lang w:val="es-CO"/>
        </w:rPr>
        <w:t>(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f.°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1, documento 1-2015-16400, archivo</w:t>
      </w:r>
      <w:r w:rsidR="00CE52FF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01Demandayanexos)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Famisanar E.P.S. S.A., presentó demanda contra la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Nación -Ministerio de Salud y de la Protección Social hoy –ADRES- con el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fin de que se declare la responsabilidad de aquella, con ocasión del rechazo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1948 recobros, por valor de $1.253.258.311,00 y, como consecuencia, se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condene a la demandada, al reconocimiento y pago de los recobros citados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servicios no contemplados en el Plan Obligatorio de Salud; intereses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moratorios y corrientes, gastos administrativos, indexación. Asimismo, de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manera subsidiaria a título de enriquecimiento sin justa causa el pago de</w:t>
      </w:r>
      <w:r w:rsidR="00CE52FF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las cuentas de recobro, indexación y gastos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60, documento 1-2015-16400-</w:t>
      </w:r>
      <w:r w:rsidR="00CE52F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, archivo 1 DEMANDA ANEXOS; CD expediente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</w:t>
      </w:r>
    </w:p>
    <w:p w14:paraId="33099D2C" w14:textId="77777777" w:rsidR="00CE52FF" w:rsidRDefault="00CE52FF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65811C8" w14:textId="035DB008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asunto se radicó ante la Superintendencia Nacional de Salud, organismo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a través de auto de 29 de marzo de 2016 admitió la demanda y ordenó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su notificación a las demandadas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Ministerio de Protección Social – Adres,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Fiducoldex S.A., Fiduprevisora S.A., Asesoría de Sistematización de Datos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Sociedad Anónima S.A., Carvajal Tecnología y Servicios S.A.S. y a la Agencia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Nacional de Defensa Jurídica del Estado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2, documento Auto Admisorio-,</w:t>
      </w:r>
      <w:r w:rsidR="00446C5D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archivo 3 AUTO ADMISORIO; CD expediente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), de lo que da cuenta las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comunicaciones correspondientes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5 a 26, documento Auto Admisorio-, archivo</w:t>
      </w:r>
      <w:r w:rsidR="00446C5D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3 AUTO ADMISORIO; CD expediente)</w:t>
      </w:r>
    </w:p>
    <w:p w14:paraId="1E94A1BC" w14:textId="77777777" w:rsidR="00446C5D" w:rsidRDefault="00446C5D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3B398A0" w14:textId="2935D6A6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Sobre el asunto se pronunció el Consorcio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Sayp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2011 integrado por la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Fiduciaria la Previsor S.A – Fiduprevisora S.A. y Fiducoldex S.A, la cual se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opuso a la totalidad de pretensiones y en cuanto a los hechos manifestó no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constarles. Propuso como excepciones las que denominó falta de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legitimación en la causa por pasiva, inexistencia de la obligación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indemnizatoria y del daño antijurídico, ausencia del nexo causal frente a la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imputación del daño antijurídico del estado; “el consorcio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Sayp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2011 no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reemplaza ni responde solidariamente al consorcio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fidufosyga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2005”;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imposibilidad jurídica; caducidad de la acción; falta de jurisdicción y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competencia y la innominada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32, documento 1-2016-136774, archivo 5</w:t>
      </w:r>
      <w:r w:rsidR="00446C5D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Respuesta consorcio 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Sayp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; CD expediente).</w:t>
      </w:r>
    </w:p>
    <w:p w14:paraId="53DA09CE" w14:textId="77777777" w:rsidR="00446C5D" w:rsidRDefault="00446C5D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43C042B" w14:textId="7D574674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su parte, la Nación Ministerio de Salud y Protección Social, se opuso 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las pretensiones principales y subsidiarias, y en cuanto a los hechos, adujo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no le constaban, además de referir cuáles eran las competencias y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responsabilidad de dicha entidad en materia de recobros por servicios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asistenciales en salud. Señaló como excepciones las de culpa exclusiva de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quien alega el daño; inexistencia de la obligación; ausencia de la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responsabilidad de la solicitada y prescripción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25, documento 1-2016-</w:t>
      </w:r>
      <w:r w:rsidR="00446C5D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180462 archivo 7 Respuesta Minsalud; CD expediente).</w:t>
      </w:r>
      <w:r w:rsidR="00446C5D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</w:p>
    <w:p w14:paraId="090EDB4A" w14:textId="77777777" w:rsidR="00446C5D" w:rsidRDefault="00446C5D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4FE66CFD" w14:textId="1FF281C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Asesoría de Sistematización de Datos Sociedad Anónima S.A., Carvajal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Tecnología y Servicios S.A.S,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Servis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Outsourcing Informático Sociedad por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Acciones Simplificada –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Servis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S.A.S como integrantes de la Unión Temporal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y Unión Temporal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2014, atacaron las pretensiones contenidas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el libelo introductor y manifestaron no constarles los hechos de la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demanda, como fundamento hicieron un recuento de sus funciones y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detallaron los recobros auditados por dicho consorcio y el estado de los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mismos. Como excepciones alegaron la de falta de legitimación en la causa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pasiva frente a nueve (9) recobros; falta de Jurisdicción y Competencia de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Superintendencia Nacional de Salud; pago por el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de alguno de los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valores reclamados a través de la unidad de pago por capitación;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responsabilidad patrimonial del Estado; culpa exclusiva de la víctima- EPS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demandante: no configuración del enriquecimiento sin justa causa;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inexistencia del rompimiento del equilibrio frente a las cargas públicas;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cumplimiento estricto de obligaciones de orden legal y contractual;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inexistencia de culpa en cabeza de la Unión Temporal Nuevo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y de la</w:t>
      </w:r>
    </w:p>
    <w:p w14:paraId="71FFA842" w14:textId="2A014E9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Unión Temporal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2014; improcedencia de reconocimiento de interés de</w:t>
      </w:r>
      <w:r w:rsidR="00446C5D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mora u otras sanciones pecuniarias; prescripción del derecho y genérica.</w:t>
      </w:r>
    </w:p>
    <w:p w14:paraId="4EA907CA" w14:textId="77777777" w:rsidR="00446C5D" w:rsidRDefault="00446C5D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BF615C7" w14:textId="7FD1470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Finalmente, llamó en garantía a Ace Seguros hoy Chubb Seguros de Colombia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S.A.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86, documento 1-2016-137507 archivo 8 Respuesta UT Nuevo 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; CD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expediente).</w:t>
      </w:r>
    </w:p>
    <w:p w14:paraId="6386C776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25F7D17B" w14:textId="77777777" w:rsidR="006727B6" w:rsidRDefault="006727B6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C0E7E5F" w14:textId="77777777" w:rsidR="006727B6" w:rsidRDefault="006727B6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DB0A73A" w14:textId="6312E08B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Por su parte, la demandante presentó desistimiento frente a 232 recobros 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f.°s</w:t>
      </w:r>
      <w:proofErr w:type="spellEnd"/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1 a 6, documento 1-2016-184531 archivo 6 Desistimiento de Famisanar; CD expediente),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 cual fue aceptado a través de providencia de 28 de diciembre de 2016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</w:t>
      </w:r>
      <w:proofErr w:type="spellEnd"/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1 a 6 archivo 9 auto desistimiento; CD expediente).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</w:p>
    <w:p w14:paraId="41F385E9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79012494" w14:textId="77777777" w:rsidR="00F82365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auto de 3 de mayo de 2017 se aceptó el desistimiento respecto de siete (7)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recobros y se admitió el llamamiento en garantía de Chubb Seguros de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Colombia S.A.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3 archivo 12 auto admite llamamiento en garantía; CD expediente).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</w:p>
    <w:p w14:paraId="575B1BE8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6F606C4" w14:textId="6E76D46C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Chubb Seguros de Colombia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S.A.se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opuso a las pretensiones de la demanda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del llamamiento, y señaló no constarle los hechos de la demanda, mientras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frente al llamamiento solo el relativo a la contratación de la póliza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1221942 de seguro de responsabilidad civil para servicios misceláneos. Como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excepciones indicó las de falta de legitimación en la causa por pasiva respecto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 9 recobros auditados por el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fidufosyga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; el contrato es ley para las partes;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nadie puede aprovecharse su propia culpa para pretender un derecho: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ausencia del enriquecimiento sin justa causa de la unión temporal; principio</w:t>
      </w:r>
    </w:p>
    <w:p w14:paraId="7FBC2F72" w14:textId="151C8754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legalidad y cumplimiento de los deberes contractuales, prescripción, falta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competencia, genérica e innominada; y frente al llamamiento, la de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inexistencia de responsabilidad a cargo de Chubb, alcance del amparo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contractual otorgado; marco de los amparos y alcance de la obligación del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asegurador; el contrato de seguro tiene un carácter meramente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indemnizatorio; límite máximo y temporal de la póliza 1221942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55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archivo 13 respuesta llamamiento en garantía; CD expediente).</w:t>
      </w:r>
    </w:p>
    <w:p w14:paraId="13E9DC2D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323E1C9E" w14:textId="77777777" w:rsidR="00F82365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Finalmente, luego del debate probatorio, la primera instancia culminó con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sentencia del 21 de julio de 2022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</w:t>
      </w:r>
      <w:proofErr w:type="spellStart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f.°</w:t>
      </w:r>
      <w:proofErr w:type="spellEnd"/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1 a 62 archivo 24 sentencia; CD expediente),</w:t>
      </w:r>
      <w:r w:rsidR="00F82365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la que se dispuso</w:t>
      </w:r>
      <w:r w:rsidR="00F823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11514550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4B83B24" w14:textId="57822AF0" w:rsidR="00FD49C7" w:rsidRDefault="00E97C6E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 w:rsidRPr="00E97C6E">
        <w:rPr>
          <w:rFonts w:ascii="BookmanOldStyle" w:hAnsi="BookmanOldStyle" w:cs="BookmanOldStyle"/>
          <w:noProof/>
          <w:color w:val="000000"/>
          <w:kern w:val="0"/>
          <w:sz w:val="24"/>
          <w:szCs w:val="24"/>
          <w:lang w:val="es-CO"/>
        </w:rPr>
        <w:lastRenderedPageBreak/>
        <w:drawing>
          <wp:inline distT="0" distB="0" distL="0" distR="0" wp14:anchorId="6CDB43DD" wp14:editId="7684F0D1">
            <wp:extent cx="5612130" cy="5892800"/>
            <wp:effectExtent l="0" t="0" r="7620" b="0"/>
            <wp:docPr id="996927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C7" w:rsidRPr="00FD49C7">
        <w:rPr>
          <w:rFonts w:ascii="BookmanOldStyle" w:hAnsi="BookmanOldStyle" w:cs="BookmanOldStyle"/>
          <w:noProof/>
          <w:color w:val="000000"/>
          <w:kern w:val="0"/>
          <w:sz w:val="24"/>
          <w:szCs w:val="24"/>
          <w:lang w:val="es-CO"/>
        </w:rPr>
        <w:lastRenderedPageBreak/>
        <w:drawing>
          <wp:inline distT="0" distB="0" distL="0" distR="0" wp14:anchorId="281E4483" wp14:editId="01417E41">
            <wp:extent cx="5612130" cy="6167755"/>
            <wp:effectExtent l="0" t="0" r="7620" b="4445"/>
            <wp:docPr id="7700859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E5C9" w14:textId="77777777" w:rsidR="000D55F8" w:rsidRDefault="000D55F8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0C3B9B4" w14:textId="109164B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dicha audiencia, la demandante y la accionada ADRES interpusieron</w:t>
      </w:r>
      <w:r w:rsidR="006727B6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recurso de apelación, que el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a quo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concedió en el efecto suspensivo.</w:t>
      </w:r>
    </w:p>
    <w:p w14:paraId="347D5454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FBFC2A2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FB83497" w14:textId="4718DC14" w:rsidR="00060693" w:rsidRDefault="00060693" w:rsidP="00F8236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II. C O N S I D E R A C I O N E S</w:t>
      </w:r>
    </w:p>
    <w:p w14:paraId="36FC97AF" w14:textId="77777777" w:rsidR="00F82365" w:rsidRDefault="00F823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BA9609D" w14:textId="109ED91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Así, lo primero sea indicar que el conflicto que debería resolver la Sala se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circunscribe en definir si la EPS Sanitas tiene derecho o no al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reconocimiento de los valores solicitados como por la devolución o glosas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una entidad pública efectuó ante las solicitudes de recobro del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organismo privado en la prestación de servicios asistenciales en salud a sus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usuarios,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que según la activa estaban por fuera del PBS y que fueron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ordenados por fallos de tutela, y en otros eventos, por el CTC.</w:t>
      </w:r>
      <w:r w:rsidR="00031A2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1A934F05" w14:textId="77777777" w:rsidR="00031A2C" w:rsidRDefault="00031A2C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0629651" w14:textId="2FCB787A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respecto, cumple señalar, que conforme al numeral 4º del artículo 2º del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CPT y SS, modificado por el artículo 622 de la Ley 1564 de 2012, la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jurisdicción ordinaria en su especialidad laboral y de seguridad social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conoce de “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las controversias relativas a la prestación de los servicios de la</w:t>
      </w:r>
      <w:r w:rsidR="00262F0A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seguridad social que se susciten entre los afiliados, beneficiarios o usuarios,</w:t>
      </w:r>
      <w:r w:rsidR="00262F0A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los empleadores y las entidades administradoras o prestadoras, salvo los de</w:t>
      </w:r>
      <w:r w:rsidR="00262F0A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responsabilidad médica y los relacionados con contratos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”.</w:t>
      </w:r>
    </w:p>
    <w:p w14:paraId="5812C7BC" w14:textId="77777777" w:rsidR="00262F0A" w:rsidRDefault="00262F0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AB09902" w14:textId="65288A7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Sobre el particular, tal como lo ha venido explicando la jurisprudencia de la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Corte Constitucional (sentencias C-111 de 2000 y C-1027 de 2002), con la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expedición de la Ley 100 de 1993 y sus decretos reglamentarios que crearon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una serie de instituciones, regímenes, procedimientos y políticas de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prestación del servicio público de la seguridad social con el propósito de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unificar la dispersión de regulaciones, ampliar la cobertura y extender los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beneficios económicos y asistenciales, surgió la necesidad de especializar en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un funcionario judicial el conocimiento de las controversias que se originan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estas instituciones y la aplicación del régimen jurídico sobre el cual se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edificó dicho sistema.</w:t>
      </w:r>
    </w:p>
    <w:p w14:paraId="4DBB63AD" w14:textId="77777777" w:rsidR="00262F0A" w:rsidRDefault="00262F0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8366B87" w14:textId="4EBAD17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ahí, surge una cláusula general de competencia que implica que la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jurisdicción ordinaria en su especialidad laboral y de la seguridad social,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tiene la competencia preferente para conocer las controversias que versen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sobre asuntos de derecho laboral o referentes al sistema de seguridad social;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tal suerte que, si se quiere asignar la competencia en otro funcionario de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jurisdicción ordinaria, se requiere de la verificación de elementos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especiales o excepcionales que sustraigan del conocimiento general, con el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fin de no ver afectada la intención del legislador de particularizar e integrar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un sistema mediante el cual debe prestarse el servicio público obligatorio de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seguridad social bajo el principio de unidad que rige el régimen jurídico</w:t>
      </w:r>
      <w:r w:rsidR="00262F0A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la gobierna.</w:t>
      </w:r>
    </w:p>
    <w:p w14:paraId="592E8C46" w14:textId="77777777" w:rsidR="00262F0A" w:rsidRDefault="00262F0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8849B28" w14:textId="5F6FDC46" w:rsidR="00060693" w:rsidRDefault="00060693" w:rsidP="006441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Precisado lo anterior, cumple recordar que el legislador confirió a la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Superintendencia Nacional de Salud funciones jurisdiccionales para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conocer y fallar en derecho, conforme a las facultades propias de un juez,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los asuntos de seguridad social en salud que inicialmente se enlistaron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el artículo 41 de la Ley 1122 de 2007, los cuales fueron ampliados en el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canon 126 de la Ley 1438 de 2011, que en su literal f), previó los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“conflictos</w:t>
      </w:r>
    </w:p>
    <w:p w14:paraId="288694D1" w14:textId="5F34EE57" w:rsidR="00060693" w:rsidRDefault="00060693" w:rsidP="006441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derivados de las devoluciones o glosas a las facturas entre entidades del</w:t>
      </w:r>
      <w:r w:rsidR="001B452B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Sistema General de Seguridad Social en Salud”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y que, posteriormente, 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través de las modificaciones introducidas por el artículo 6° de la Ley 1949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2019, insistió en que dicho órgano seguía conociendo de las aludidas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devoluciones o glosas.</w:t>
      </w:r>
    </w:p>
    <w:p w14:paraId="35E5E943" w14:textId="77777777" w:rsidR="001B452B" w:rsidRDefault="001B452B" w:rsidP="0064418D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4610C62" w14:textId="401DE97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lo que se colige, tanto la Superintendencia Nacional de Salud como el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Juez Laboral eran los competentes para definir este tipo de asuntos; no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obstante, desde el 2018, concretamente, la Sala Plena de la Corte Suprema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Justicia, al conocer conflictos de competencia suscitados entre juzgados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laborales y civiles del circuito de diferentes distritos judiciales, por el tema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 recobros por servicios prestados de salud, actualizados o con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intereses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moratorios contra la Nación-Ministerio de Salud y Protección Social, es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decir, contra un ente público, consideró que los rechazos o devoluciones de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facturas se resolvían a través de actos administrativos emitidos por la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entidad pública accionada y, en tal sentido, el cuestionamiento a sus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conclusiones se debe dar a través de los mecanismos propios del CPACA.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6F6CB304" w14:textId="77777777" w:rsidR="001B452B" w:rsidRDefault="001B452B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8D2C00F" w14:textId="390D8FAA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Así, en providencia CSJ APL1531 del 12 de abril de 2018, la alta</w:t>
      </w:r>
      <w:r w:rsidR="001B452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Corporación sostuvo:</w:t>
      </w:r>
    </w:p>
    <w:p w14:paraId="4FAA1D45" w14:textId="77777777" w:rsidR="001B452B" w:rsidRDefault="001B452B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5758079A" w14:textId="3F5F798C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Se trata de determinar cuál es la autoridad competente para conocer de una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controversia derivada de solicitud de recobro al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por parte de una EPS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que habría pagado a sus instituciones prestadoras de servicios de salud –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IPS-, sumas de dinero correspondientes a prestación de servicios de salud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no incluidos en el Plan obligatorio de Salud (NO POS), la cual se habría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cumplido efectivamente a los usuarios de la EPS en acatamiento de órdenes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de tutela. En razón de las glosas efectuadas por el administrador del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>,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las facturas recobradas no fueron aceptadas ni pagadas a la respectiva EPS.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</w:p>
    <w:p w14:paraId="01FB00C8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6D47A6D7" w14:textId="32C07FDA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Fracasado el trámite administrativo de recobro, se acudió a la jurisdicción 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fin de que se declare que el Estado, a través del Ministerio de Salud y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Protección Social, con cargo al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>, está obligado a pagar a la EPS tales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valores, junto con los intereses y demás emolumentos que correspondan. En</w:t>
      </w:r>
    </w:p>
    <w:p w14:paraId="77A27EB3" w14:textId="38161C3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la demanda se afirmó expresamente como causa del petitum que la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reclamante radicó solicitudes de recobro ante el consorcio administrador del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, sin obtener aprobación u orden de pago,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«en su lugar, el consorcio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administrador del FOSYGA las glosó».</w:t>
      </w:r>
    </w:p>
    <w:p w14:paraId="781BF8C5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0BCD90A" w14:textId="79859D6F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Tal circunstancia obliga a considerar que el examen de competencia del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presente asunto corresponde a la jurisdicción de lo contencioso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administrativo.</w:t>
      </w:r>
    </w:p>
    <w:p w14:paraId="0904F6EF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0624AF23" w14:textId="2C4B7966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El Fondo de Solidaridad y Garantía del Sistema General de Seguridad Social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en Salud -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>-, de conformidad con el artículo 218 de la Ley 100 de 1993,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en concordancia con el artículo 1 del Decreto 1283 de 1996, es una cuenta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adscrita al Ministerio de Salud y de la Protección Social manejada por</w:t>
      </w:r>
    </w:p>
    <w:p w14:paraId="14826F18" w14:textId="334C9C1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encargo fiduciario, sin personería jurídica, ni planta de personal propia,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cuyos recursos se destinan a la inversión social en salud.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</w:p>
    <w:p w14:paraId="38131ACE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2776DE74" w14:textId="70C4A2E2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Teniendo en cuenta lo anterior, la decisión de «glosar, devolver o rechazar»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las solicitudes de recobro por servicios, medicamentos o tratamientos no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incluidos en el Plan Obligatorio de Salud –NO POS-, en la medida que 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la asume en nombre y representación del Estado, constituye acto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administrativo, particular y concreto, cuya controversia ha de zanjarse en 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marco de la competencia general de la jurisdicción de lo contencioso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administrativa prevista en el artículo 104 de la Ley 1437 de 2011.</w:t>
      </w:r>
    </w:p>
    <w:p w14:paraId="037AE0D0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522735DD" w14:textId="14D140A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Refuerza el argumento precedente lo dispuesto en el artículo 41 de la Ley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1122 de 2007 y en el artículo11 de la Ley 1608 de 2013. De conformidad con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tales preceptos, la Superintendencia de Salud puede conocer, a prevención,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como juez administrativo, de los litigios atinentes a los recobros referidos; en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este evento es aplicable el medio de control de reparación directa; frente 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este último se enfatiza sobre el cumplimiento del presupuesto de la acción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atinente a que no haya operado el fenómeno de la caducidad (art. 164 del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CPACA). Las normas en comento expresamente prescriben lo siguiente:</w:t>
      </w:r>
    </w:p>
    <w:p w14:paraId="4DC20465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AEC1DEA" w14:textId="41C5E5FB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</w:pP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lastRenderedPageBreak/>
        <w:t>Art. 41 Ley 1122 de 2007. Función jurisdiccional de la</w:t>
      </w:r>
      <w:r w:rsidR="00854AAA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 xml:space="preserve">Superintendencia Nacional de Salud.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Con el fin de garantizar la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efectiva prestación del derecho a la salud de los usuarios del Sistema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General de Seguridad Social en Salud y en ejercicio del artículo 116 de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la Constitución Política, la Superintendencia Nacional de Salud podrá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conocer y fallar en derecho, con carácter definitivo y con las facultades</w:t>
      </w:r>
      <w:r w:rsidR="00854AAA"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propias de un juez, en los siguientes asuntos:</w:t>
      </w:r>
    </w:p>
    <w:p w14:paraId="1114BBA9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</w:pPr>
    </w:p>
    <w:p w14:paraId="0F447E44" w14:textId="601497E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lang w:val="es-CO"/>
        </w:rPr>
        <w:t>(…)</w:t>
      </w:r>
    </w:p>
    <w:p w14:paraId="59B3D81F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LucidaBright,Italic" w:hAnsi="LucidaBright,Italic" w:cs="LucidaBright,Italic"/>
          <w:i/>
          <w:iCs/>
          <w:color w:val="000000"/>
          <w:kern w:val="0"/>
          <w:sz w:val="20"/>
          <w:szCs w:val="20"/>
          <w:lang w:val="es-CO"/>
        </w:rPr>
      </w:pPr>
    </w:p>
    <w:p w14:paraId="488CF8D8" w14:textId="4982574A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>f) Conflictos derivados de las devoluciones o glosas a las</w:t>
      </w:r>
      <w:r w:rsidR="00854AAA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>facturas entre entidades del Sistema General de Seguridad</w:t>
      </w:r>
      <w:r w:rsidR="00854AAA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>Social en Salud</w:t>
      </w:r>
      <w:r w:rsidR="00854AAA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Art. 11 de la Ley 1608 de 2013. </w:t>
      </w:r>
      <w:r>
        <w:rPr>
          <w:rFonts w:ascii="BookmanOldStyle" w:hAnsi="BookmanOldStyle" w:cs="BookmanOldStyle"/>
          <w:color w:val="000000"/>
          <w:kern w:val="0"/>
          <w:lang w:val="es-CO"/>
        </w:rPr>
        <w:t>Las EPS del Régimen Subsidiado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que adeuden a las Entidades Territoriales recursos derivados de la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liquidación de contratos del régimen subsidiado de salud, deberán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reintegrarlos a la Entidad Territorial en un plazo máximo de 60 días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calendario siguientes a la vigencia de la presente Ley. De no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reintegrarse en este término se podrán practicar descuentos de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giros que a cualquier título realice el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>.</w:t>
      </w:r>
    </w:p>
    <w:p w14:paraId="5900E16A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7ED00AA4" w14:textId="2B2C79F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Los prestadores de servicios de salud y los distintos pagadores del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Sistema General de Seguridad Social en Salud, tendrán la obligación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efectuar depuraciones permanentes a la información de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Estados Financieros, de tal forma que se vean reflejados, los pagos y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anticipos al recibo de los mismos.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</w:p>
    <w:p w14:paraId="04F81004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15D11616" w14:textId="3A2A1C4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Cuando la red de un mismo departamento reporte mora superior a 90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días en los pagos de las EPS, se podrá autorizar giro directo a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prestadores adicional al autorizado por la EPS. Para la aplicación de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esta norma el Gobierno Nacional reglamentará el procedimiento.</w:t>
      </w:r>
    </w:p>
    <w:p w14:paraId="11B5E308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024A26DF" w14:textId="257F2D1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En el caso de los recobros y reclamaciones que se realizan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al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cuya glosa de carácter administrativo hubiese sido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notificada con anterioridad a la expedición de la presente Ley, y sobre</w:t>
      </w:r>
    </w:p>
    <w:p w14:paraId="47DEC967" w14:textId="276FCAD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los cuales no haya operado el término de caducidad de la acción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contenciosa administrativa correspondiente, solo se exigirán para su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reconocimiento y pago los requisitos esenciales que demuestren la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existencia de la respectiva obligación. Las entidades recobrantes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deberán autorizar el giro directo del valor total que se llegue a aprobar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 favor de las Instituciones Prestadoras de Salud habilitadas. 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Ministerio de Salud y Protección Social podrá permitir que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documentos de soporte de los cobros o reclamaciones ante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el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Fosyga</w:t>
      </w:r>
      <w:proofErr w:type="spell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sean presentados a través de imágenes digitalizadas o de la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tecnología que para tal efecto defina dicha entidad.</w:t>
      </w:r>
    </w:p>
    <w:p w14:paraId="4FF51543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08C2F1C9" w14:textId="5E79C810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Este último inciso fue reglamentado por el Decreto 347 de 2013, en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siguientes términos:</w:t>
      </w:r>
    </w:p>
    <w:p w14:paraId="3D642DC7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9C272D4" w14:textId="083D940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(…).</w:t>
      </w:r>
    </w:p>
    <w:p w14:paraId="095CCDA6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1C9683B4" w14:textId="11CBB91C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Artículo 7°. Procedencia del reconocimiento y pago de los</w:t>
      </w:r>
      <w:r w:rsidR="00854AAA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recobros y reclamaciones con glosa de carácter</w:t>
      </w:r>
      <w:r w:rsidR="00854AAA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administrativo. </w:t>
      </w:r>
      <w:r>
        <w:rPr>
          <w:rFonts w:ascii="BookmanOldStyle" w:hAnsi="BookmanOldStyle" w:cs="BookmanOldStyle"/>
          <w:color w:val="000000"/>
          <w:kern w:val="0"/>
          <w:lang w:val="es-CO"/>
        </w:rPr>
        <w:t>Los recobros o reclamaciones de que trata el inciso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cuarto del artículo </w:t>
      </w:r>
      <w:r>
        <w:rPr>
          <w:rFonts w:ascii="BookmanOldStyle" w:hAnsi="BookmanOldStyle" w:cs="BookmanOldStyle"/>
          <w:color w:val="0000FF"/>
          <w:kern w:val="0"/>
          <w:lang w:val="es-CO"/>
        </w:rPr>
        <w:t xml:space="preserve">11 </w:t>
      </w:r>
      <w:r>
        <w:rPr>
          <w:rFonts w:ascii="BookmanOldStyle" w:hAnsi="BookmanOldStyle" w:cs="BookmanOldStyle"/>
          <w:color w:val="000000"/>
          <w:kern w:val="0"/>
          <w:lang w:val="es-CO"/>
        </w:rPr>
        <w:t>de la Ley 1608 de 2013, en concordancia con 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presente decreto, sobre los cuales procederá el reconocimiento y pago,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serán aquellos:</w:t>
      </w:r>
    </w:p>
    <w:p w14:paraId="59DBA375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2C08D60B" w14:textId="13489450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1. Que cumplan con los elementos esenciales a que refiere el presente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decreto y se acrediten según lo dispuesto en el artículo anterior.</w:t>
      </w:r>
    </w:p>
    <w:p w14:paraId="4CAFB1A7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FA8775C" w14:textId="12F419A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lastRenderedPageBreak/>
        <w:t>2. Respecto de los cuales las entidades recobrantes o reclamantes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hayan sido notificadas de la imposición de la glosa antes de la entrada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en vigencia de la Ley </w:t>
      </w:r>
      <w:r>
        <w:rPr>
          <w:rFonts w:ascii="BookmanOldStyle" w:hAnsi="BookmanOldStyle" w:cs="BookmanOldStyle"/>
          <w:color w:val="0000FF"/>
          <w:kern w:val="0"/>
          <w:lang w:val="es-CO"/>
        </w:rPr>
        <w:t xml:space="preserve">1608 </w:t>
      </w:r>
      <w:r>
        <w:rPr>
          <w:rFonts w:ascii="BookmanOldStyle" w:hAnsi="BookmanOldStyle" w:cs="BookmanOldStyle"/>
          <w:color w:val="000000"/>
          <w:kern w:val="0"/>
          <w:lang w:val="es-CO"/>
        </w:rPr>
        <w:t>de 2013, esto es, del 2 de enero de 2013.</w:t>
      </w:r>
    </w:p>
    <w:p w14:paraId="387DE49D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0A347000" w14:textId="0696C152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3. Respecto de los cuales no haya operado el término de caducidad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prevista para la acción de reparación directa en el artículo 164 del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Código de Procedimiento Administrativo y de lo Contencioso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Administrativo.</w:t>
      </w:r>
    </w:p>
    <w:p w14:paraId="1DF89262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1C223ACF" w14:textId="7F9093BC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4. Tratándose de recobros, que estos no hayan sido glosados por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considerar que la tecnología en salud se encontraba incluida en 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Plan Obligatorio de Salud (POS), como causal única.</w:t>
      </w:r>
    </w:p>
    <w:p w14:paraId="27E0E4A9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67627C8D" w14:textId="5DEA9CD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Artículo 8°. Términos y formatos para la presentación de las</w:t>
      </w:r>
      <w:r w:rsidR="00854AAA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solicitudes de recobro y/o reclamación objeto de esta medida. </w:t>
      </w:r>
      <w:r>
        <w:rPr>
          <w:rFonts w:ascii="BookmanOldStyle" w:hAnsi="BookmanOldStyle" w:cs="BookmanOldStyle"/>
          <w:color w:val="000000"/>
          <w:kern w:val="0"/>
          <w:lang w:val="es-CO"/>
        </w:rPr>
        <w:t>El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Ministerio de Salud y Protección Social definirá los criterios de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evaluación de los elementos esenciales, los períodos de radicación que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las entidades recobrantes o reclamantes deberán atender, los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formatos que deberán diligenciar, así como los términos en que se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surtirá el trámite de reconocimiento y pago de los recobros y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reclamaciones de que trata el inciso </w:t>
      </w:r>
      <w:r>
        <w:rPr>
          <w:rFonts w:ascii="BookmanOldStyle" w:hAnsi="BookmanOldStyle" w:cs="BookmanOldStyle"/>
          <w:color w:val="0000FF"/>
          <w:kern w:val="0"/>
          <w:lang w:val="es-CO"/>
        </w:rPr>
        <w:t xml:space="preserve">cuarto </w:t>
      </w:r>
      <w:r>
        <w:rPr>
          <w:rFonts w:ascii="BookmanOldStyle" w:hAnsi="BookmanOldStyle" w:cs="BookmanOldStyle"/>
          <w:color w:val="000000"/>
          <w:kern w:val="0"/>
          <w:lang w:val="es-CO"/>
        </w:rPr>
        <w:t>del artículo 11 de la Ley</w:t>
      </w:r>
      <w:r w:rsidR="00854AAA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1608 de 2013</w:t>
      </w:r>
    </w:p>
    <w:p w14:paraId="6D74650B" w14:textId="77777777" w:rsidR="00854AAA" w:rsidRDefault="00854AAA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6AA7DE88" w14:textId="22B9469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Artículo 164 Ley 1437 de 2011. Oportunidad para presentar la</w:t>
      </w:r>
      <w:r w:rsidR="00D977C5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demanda. </w:t>
      </w:r>
      <w:r>
        <w:rPr>
          <w:rFonts w:ascii="BookmanOldStyle" w:hAnsi="BookmanOldStyle" w:cs="BookmanOldStyle"/>
          <w:color w:val="000000"/>
          <w:kern w:val="0"/>
          <w:lang w:val="es-CO"/>
        </w:rPr>
        <w:t>La demanda deberá ser presentada:</w:t>
      </w:r>
    </w:p>
    <w:p w14:paraId="13DC7AB0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510E60A" w14:textId="7FDE7286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(…)</w:t>
      </w:r>
    </w:p>
    <w:p w14:paraId="2CDABC50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455F748" w14:textId="0C5B7D18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2. En los siguientes términos, so pena de que opere la caducidad:</w:t>
      </w:r>
    </w:p>
    <w:p w14:paraId="1BC206BF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344053A7" w14:textId="453448D8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i) Cuando se pretenda la reparación directa, la demanda deberá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presentarse dentro del término de dos (2) años, contados a partir del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día siguiente al de la ocurrencia de la acción u omisión causante del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daño, o de cuando el demandante tuvo o debió tener conocimiento del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mismo si fue en fecha posterior y siempre que pruebe la imposibilidad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haberlo conocido en la fecha de su ocurrencia.</w:t>
      </w:r>
    </w:p>
    <w:p w14:paraId="0453FAF6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5003652D" w14:textId="56497F5F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Sin embargo, el término para formular la pretensión de reparación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directa derivada del delito de desaparición forzada, se contará a partir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la fecha en que aparezca la víctima o en su defecto desde la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ejecutoria del fallo definitivo adoptado en el proceso penal, sin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perjuicio de que la demanda con tal pretensión pueda intentarse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desde el momento en que ocurrieron los hechos que dieron lugar a la</w:t>
      </w:r>
      <w:r w:rsidR="00D977C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desaparición”.</w:t>
      </w:r>
    </w:p>
    <w:p w14:paraId="3E0BB397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6B0C0B0" w14:textId="6F1F4E0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Dicha tesis fue acogida, posteriormente, por la Corte Constitucional, al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asumir el conocimiento para dirimir los conflictos de competencia entre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jurisdicciones, de conformidad con lo previsto en el numeral 11 del artículo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241 de la Constitución Política, modificado por el artículo 14 del A.L. 02 de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2015, al concluir, definitivamente, que los asuntos relacionados con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recobros judiciales al Estado por prestaciones de servicios médicos,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incluidos o no en el Plan de Beneficios de Salud –PBS- llámese facturas o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pago de perjuicios o reparaciones de daños, le corresponde a la jurisdicción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lo contencioso administrativo.</w:t>
      </w:r>
    </w:p>
    <w:p w14:paraId="385DBF1F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472DB56" w14:textId="04CC5531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 xml:space="preserve">Así lo sostuvo esa Corporación, en providencia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n°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 771 de 2021, retomando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las nociones vertidas en el auto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n°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 389 de la misma fecha. En la primera</w:t>
      </w:r>
      <w:r w:rsidR="00D977C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providencia, advirtió lo siguiente:</w:t>
      </w:r>
    </w:p>
    <w:p w14:paraId="74371CB7" w14:textId="77777777" w:rsidR="00D977C5" w:rsidRDefault="00D977C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5B404C7" w14:textId="72B5E4B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 xml:space="preserve">“Mediante el </w:t>
      </w:r>
      <w:r>
        <w:rPr>
          <w:rFonts w:ascii="BookmanOldStyle,Bold" w:hAnsi="BookmanOldStyle,Bold" w:cs="BookmanOldStyle,Bold"/>
          <w:b/>
          <w:bCs/>
          <w:color w:val="2D2D2D"/>
          <w:kern w:val="0"/>
          <w:lang w:val="es-CO"/>
        </w:rPr>
        <w:t>Auto 389 de 2021</w:t>
      </w:r>
      <w:r>
        <w:rPr>
          <w:rFonts w:ascii="BookmanOldStyle" w:hAnsi="BookmanOldStyle" w:cs="BookmanOldStyle"/>
          <w:color w:val="2D2D2D"/>
          <w:kern w:val="0"/>
          <w:lang w:val="es-CO"/>
        </w:rPr>
        <w:t>, la Sala Plena estableció que la competencia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judicial para conocer los asuntos relacionados con el pago de recobros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judiciales al Estado por prestaciones no incluidas en el POS (hoy PBS) y por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las devoluciones o glosas a las facturas entre entidades del SGSSS recae en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los jueces de lo contencioso administrativo, en virtud de lo dispuesto en el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inciso primero del artículo 104 de la Ley 1437 de 2011.</w:t>
      </w:r>
    </w:p>
    <w:p w14:paraId="569C046C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</w:p>
    <w:p w14:paraId="67801222" w14:textId="1F2A2B52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2D2D2D"/>
          <w:kern w:val="0"/>
          <w:lang w:val="es-CO"/>
        </w:rPr>
        <w:t xml:space="preserve">6. </w:t>
      </w:r>
      <w:r>
        <w:rPr>
          <w:rFonts w:ascii="BookmanOldStyle" w:hAnsi="BookmanOldStyle" w:cs="BookmanOldStyle"/>
          <w:color w:val="000000"/>
          <w:kern w:val="0"/>
          <w:lang w:val="es-CO"/>
        </w:rPr>
        <w:t>Entendió la Corte que los recobros, por una parte, no son un asunto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la seguridad social en la medida en que el proceso judicial de recobro no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es una controversia directamente relacionada con la prestación de servicios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seguridad social. En cambio, se trata de controversias judiciales entre</w:t>
      </w:r>
    </w:p>
    <w:p w14:paraId="1104F9B9" w14:textId="4D7654C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D0D0D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administradoras relativas a un servicio que ya se prestó, razón por la cual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no les es aplicable el num</w:t>
      </w:r>
      <w:r>
        <w:rPr>
          <w:rFonts w:ascii="BookmanOldStyle" w:hAnsi="BookmanOldStyle" w:cs="BookmanOldStyle"/>
          <w:color w:val="0D0D0D"/>
          <w:kern w:val="0"/>
          <w:lang w:val="es-CO"/>
        </w:rPr>
        <w:t>eral 4º del artículo 2 del CPTSS, modificado por el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artículo 622 del CGP. Por otra parte, (i) el trámite de recobro es más que una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simple presentación de facturas al cobro, en la medida en que constituye un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verdadero procedimiento administrativo; (</w:t>
      </w:r>
      <w:proofErr w:type="spellStart"/>
      <w:r>
        <w:rPr>
          <w:rFonts w:ascii="BookmanOldStyle" w:hAnsi="BookmanOldStyle" w:cs="BookmanOldStyle"/>
          <w:color w:val="0D0D0D"/>
          <w:kern w:val="0"/>
          <w:lang w:val="es-CO"/>
        </w:rPr>
        <w:t>ii</w:t>
      </w:r>
      <w:proofErr w:type="spellEnd"/>
      <w:r>
        <w:rPr>
          <w:rFonts w:ascii="BookmanOldStyle" w:hAnsi="BookmanOldStyle" w:cs="BookmanOldStyle"/>
          <w:color w:val="0D0D0D"/>
          <w:kern w:val="0"/>
          <w:lang w:val="es-CO"/>
        </w:rPr>
        <w:t>) dicho procedimiento concluye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con la expedición de un acto administrativo que consolida o niega la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existencia de la obligación; y, (</w:t>
      </w:r>
      <w:proofErr w:type="spellStart"/>
      <w:r>
        <w:rPr>
          <w:rFonts w:ascii="BookmanOldStyle" w:hAnsi="BookmanOldStyle" w:cs="BookmanOldStyle"/>
          <w:color w:val="0D0D0D"/>
          <w:kern w:val="0"/>
          <w:lang w:val="es-CO"/>
        </w:rPr>
        <w:t>iii</w:t>
      </w:r>
      <w:proofErr w:type="spellEnd"/>
      <w:r>
        <w:rPr>
          <w:rFonts w:ascii="BookmanOldStyle" w:hAnsi="BookmanOldStyle" w:cs="BookmanOldStyle"/>
          <w:color w:val="0D0D0D"/>
          <w:kern w:val="0"/>
          <w:lang w:val="es-CO"/>
        </w:rPr>
        <w:t>) en algunos casos, a través de las</w:t>
      </w:r>
      <w:r w:rsidR="00443115">
        <w:rPr>
          <w:rFonts w:ascii="BookmanOldStyle" w:hAnsi="BookmanOldStyle" w:cs="BookmanOldStyle"/>
          <w:color w:val="0D0D0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D0D0D"/>
          <w:kern w:val="0"/>
          <w:lang w:val="es-CO"/>
        </w:rPr>
        <w:t>demandas se pretende el pago de perjuicios y las reparaciones de daños.</w:t>
      </w:r>
    </w:p>
    <w:p w14:paraId="4F927E0C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D0D0D"/>
          <w:kern w:val="0"/>
          <w:lang w:val="es-CO"/>
        </w:rPr>
      </w:pPr>
    </w:p>
    <w:p w14:paraId="6C64166F" w14:textId="483B833A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10. </w:t>
      </w:r>
      <w:r>
        <w:rPr>
          <w:rFonts w:ascii="BookmanOldStyle,Bold" w:hAnsi="BookmanOldStyle,Bold" w:cs="BookmanOldStyle,Bold"/>
          <w:b/>
          <w:bCs/>
          <w:color w:val="2D2D2D"/>
          <w:kern w:val="0"/>
          <w:lang w:val="es-CO"/>
        </w:rPr>
        <w:t xml:space="preserve">Regla de decisión. </w:t>
      </w:r>
      <w:r>
        <w:rPr>
          <w:rFonts w:ascii="BookmanOldStyle" w:hAnsi="BookmanOldStyle" w:cs="BookmanOldStyle"/>
          <w:color w:val="2D2D2D"/>
          <w:kern w:val="0"/>
          <w:lang w:val="es-CO"/>
        </w:rPr>
        <w:t>El conocimiento de los asuntos relacionados con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los recobros de servicios y tecnologías en salud no incluidos en el POS, hoy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PBS, corresponde a los jueces contencioso administrativos, en virtud de lo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dispuesto en el inciso primero del artículo 104 de la Ley 1437 de 2011, por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cuanto a través de estos se cuestiona por parte de una EPS un acto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administrativo proferido por la ADRES.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</w:p>
    <w:p w14:paraId="07827E3C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</w:p>
    <w:p w14:paraId="1FB10309" w14:textId="2E209AE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Este tipo de controversias no corresponde a las previstas en el numeral 4º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del artículo 2 del Código Procesal del Trabajo y de la Seguridad Social, en la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medida en que no se relacionan, en estricto sentido, con la prestación de los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servicios de la seguridad social. En cambio, se trata de litigios presentados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exclusivamente entre entidades administradoras y relativos a la financiación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de servicios ya prestados, que no implican a afiliados, beneficiarios 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usuarios ni a empleadores”.</w:t>
      </w:r>
    </w:p>
    <w:p w14:paraId="69210572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4CE2A1D" w14:textId="343179F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Tal criterio fue reiterado en auto reciente CC A242-2024, donde se precisó:</w:t>
      </w:r>
    </w:p>
    <w:p w14:paraId="0DC08745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4FC8D8FF" w14:textId="3C291F0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El conocimiento de los asuntos relacionados con los recobros de servicios y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tecnologías en salud no incluidos en el POS, hoy PBS, corresponde a los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jueces de lo contencioso administrativo, en virtud de lo dispuesto en el inciso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primero del artículo 104 de la Ley 1437 de 2011, por cuanto a través de</w:t>
      </w:r>
    </w:p>
    <w:p w14:paraId="2792CEB3" w14:textId="4517276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proofErr w:type="gramStart"/>
      <w:r>
        <w:rPr>
          <w:rFonts w:ascii="BookmanOldStyle" w:hAnsi="BookmanOldStyle" w:cs="BookmanOldStyle"/>
          <w:color w:val="000000"/>
          <w:kern w:val="0"/>
          <w:lang w:val="es-CO"/>
        </w:rPr>
        <w:t>estos se cuestiona</w:t>
      </w:r>
      <w:proofErr w:type="gramEnd"/>
      <w:r>
        <w:rPr>
          <w:rFonts w:ascii="BookmanOldStyle" w:hAnsi="BookmanOldStyle" w:cs="BookmanOldStyle"/>
          <w:color w:val="000000"/>
          <w:kern w:val="0"/>
          <w:lang w:val="es-CO"/>
        </w:rPr>
        <w:t xml:space="preserve"> por parte de una EPS un acto administrativo proferido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por la ADRES. Este tipo de controversias no corresponde a las previstas en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el numeral 4º del artículo 2 del Código Procesal del Trabajo y de la Seguridad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Social, en la medida en que no se relacionan, en estricto sentido, con la</w:t>
      </w:r>
    </w:p>
    <w:p w14:paraId="021E0473" w14:textId="743217B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prestación de los servicios de la seguridad social. En cambio, se trata de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litigios presentados exclusivamente entre entidades administradoras y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relativos a la financiación de servicios ya prestados, que no implican a</w:t>
      </w:r>
      <w:r w:rsidR="00443115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afiliados, beneficiarios o usuarios ni a empleadores.</w:t>
      </w:r>
    </w:p>
    <w:p w14:paraId="4B7768B8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243D517" w14:textId="5985DB8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consideración a lo anterior y, atendiendo que, en el asunto, Famisanar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EPS Sanitas SA, pretende el reconocimiento y pago de unas sumas de dinero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que fueron asumidas por ella,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y que están relacionadas con los gastos en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ésta incurrió por razón de la cobertura de servicios asistenciales no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incorporadas en el PBS y, en consecuencia, no financiadas en las unidades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pago por capitación –UPC- que fueron requeridas por algunos usuarios,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esto es, un litigio presentado exclusivamente entre entidades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administradoras y relativos a la financiación de servicios ya prestados, que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 implican a afiliados, beneficiarios o usuarios ni a empleadores, se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concluye que la presente controversia debe ser conocida por la jurisdicción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administrativa.</w:t>
      </w:r>
    </w:p>
    <w:p w14:paraId="6276F550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C322035" w14:textId="11670FF3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Ahora bien, conforme se estableció, si bien dentro del ordinal f) del artículo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41 de la Ley 1122 de 2007, se atribuyó a la Superintendencia de Salud el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conocimiento de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«Conflictos derivados de las devoluciones o glosas»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en el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parágrafo 1. ° de la norma en cita se determinó el trámite de las apelaciones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contra las decisiones de tal ente al Tribunal Superior del Distrito Judicial -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Sala Laboral del domicilio del recurrente, también lo es que tal designación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pierde aplicación en tratándose de los procesos correspondientes a recobros,</w:t>
      </w:r>
    </w:p>
    <w:p w14:paraId="2B4477DE" w14:textId="1D49D51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como quiera que su rechazo 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onegativa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estuvo precedida por un acto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administrativo. En ese sentido, se pronunció la Corte Constitucional en auto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CC A3033-2023, donde al resolver un conflicto suscitado entre el Tribunal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Administrativo de Cundinamarca y esta Sala frente a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aprehendimiento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de la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impugnación presentada respecto de decisión emitida por tal autoridad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preciso:</w:t>
      </w:r>
    </w:p>
    <w:p w14:paraId="397AEA5D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</w:p>
    <w:p w14:paraId="3D0EADC5" w14:textId="3D0DF84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15. A partir de la aplicación de las reglas del Auto 389 de 2021 y lo previsto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en el artículo 104.1 del CPACA, la Sala concluye que la jurisdicción de lo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contencioso administrativo es la competente para conocer de la demanda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instaurada por Famisanar EPS en contra en contra de la Administradora de</w:t>
      </w:r>
    </w:p>
    <w:p w14:paraId="69466586" w14:textId="0A3E363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los Recursos del Sistema General de Seguridad Social, FIDUCOLDEX,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 xml:space="preserve">FIDUPREVISORA, Asesoría en Sistematización de Datos S.A., </w:t>
      </w:r>
      <w:proofErr w:type="spellStart"/>
      <w:r>
        <w:rPr>
          <w:rFonts w:ascii="BookmanOldStyle" w:hAnsi="BookmanOldStyle" w:cs="BookmanOldStyle"/>
          <w:color w:val="2D2D2D"/>
          <w:kern w:val="0"/>
          <w:lang w:val="es-CO"/>
        </w:rPr>
        <w:t>Servis</w:t>
      </w:r>
      <w:proofErr w:type="spellEnd"/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 xml:space="preserve">outsourcing Informático S.A., y </w:t>
      </w:r>
      <w:proofErr w:type="spellStart"/>
      <w:r>
        <w:rPr>
          <w:rFonts w:ascii="BookmanOldStyle" w:hAnsi="BookmanOldStyle" w:cs="BookmanOldStyle"/>
          <w:color w:val="2D2D2D"/>
          <w:kern w:val="0"/>
          <w:lang w:val="es-CO"/>
        </w:rPr>
        <w:t>Assenda</w:t>
      </w:r>
      <w:proofErr w:type="spellEnd"/>
      <w:r>
        <w:rPr>
          <w:rFonts w:ascii="BookmanOldStyle" w:hAnsi="BookmanOldStyle" w:cs="BookmanOldStyle"/>
          <w:color w:val="2D2D2D"/>
          <w:kern w:val="0"/>
          <w:lang w:val="es-CO"/>
        </w:rPr>
        <w:t xml:space="preserve"> S.A., ya que se pretende el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reconocimiento y pago de prestaciones no incluidas en el POS, hoy PBS, las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cuales fueron solicitadas y negadas a través del procedimiento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administrativo de recobro.</w:t>
      </w:r>
    </w:p>
    <w:p w14:paraId="64E26052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</w:p>
    <w:p w14:paraId="56619A5E" w14:textId="414E774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16. Lo anterior, sin desconocer lo dispuesto en la Ley 1122 de 2007 artículo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41, modificado por el artículo 6 de la Ley 1949 de 2019 que prevé, de forma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expresa, que la Sala Laboral de los Tribunales Superiores del Distrito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Judicial conoce de los recursos de apelación interpuestos contra las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sentencias de la Superintendencia Nacional de Salud, normatividad que en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este caso no resulta aplicable, dado que la pretensión de la demanda se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dirige al reconocimiento y pago de prestaciones no incluidas en el POS, hoy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PBS, las cuales fueron solicitadas y negadas a través del procedimiento</w:t>
      </w:r>
    </w:p>
    <w:p w14:paraId="6FBE3EAB" w14:textId="7811A045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administrativo de recobro, frente a lo cual esta corporación como quedó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expuesto le atribuye, en primera instancia, la competencia a la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jurisdicción de lo contencioso administrativo.</w:t>
      </w:r>
    </w:p>
    <w:p w14:paraId="12C89FF0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</w:p>
    <w:p w14:paraId="7EE5CA99" w14:textId="7DBB2774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2D2D2D"/>
          <w:kern w:val="0"/>
          <w:lang w:val="es-CO"/>
        </w:rPr>
      </w:pPr>
      <w:r>
        <w:rPr>
          <w:rFonts w:ascii="BookmanOldStyle" w:hAnsi="BookmanOldStyle" w:cs="BookmanOldStyle"/>
          <w:color w:val="2D2D2D"/>
          <w:kern w:val="0"/>
          <w:lang w:val="es-CO"/>
        </w:rPr>
        <w:t>18. Regla de la decisión. El conocimiento de los asuntos relacionados con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los recobros de servicios y tecnologías en salud no incluidos en el POS, hoy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PBS, corresponde a los jueces de lo contencioso administrativo, en virtud de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lo dispuesto en el inciso 1° del artículo 104 del CPACA, en tanto se cuestiona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por la EPS un acto administrativo proferido por la ADRES, que no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corresponde a las controversias previstas en el numeral 4º del artículo 2 del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CPTSS, en la medida en que no se relacionan, en estricto sentido, con la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prestación de servicios de la seguridad social. Por el contrario, se trata de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un litigio presentado exclusivamente entre entidades administradoras y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relativo a la financiación de servicios ya prestados, que no implica debatir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sobre el reconocimiento de prestaciones ni a favor ni a cargo de usuarios,</w:t>
      </w:r>
      <w:r w:rsidR="00443115">
        <w:rPr>
          <w:rFonts w:ascii="BookmanOldStyle" w:hAnsi="BookmanOldStyle" w:cs="BookmanOldStyle"/>
          <w:color w:val="2D2D2D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lang w:val="es-CO"/>
        </w:rPr>
        <w:t>afiliados, beneficiarios, ni empleadores.</w:t>
      </w:r>
    </w:p>
    <w:p w14:paraId="398A1F38" w14:textId="00FAB276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2D2D2D"/>
          <w:kern w:val="0"/>
          <w:sz w:val="24"/>
          <w:szCs w:val="24"/>
          <w:lang w:val="es-CO"/>
        </w:rPr>
        <w:lastRenderedPageBreak/>
        <w:t>En ese orden de ideas, acudiendo a lo previsto en el artículo 139 del CGP,</w:t>
      </w:r>
      <w:r w:rsidR="00443115">
        <w:rPr>
          <w:rFonts w:ascii="BookmanOldStyle" w:hAnsi="BookmanOldStyle" w:cs="BookmanOldStyle"/>
          <w:color w:val="2D2D2D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2D2D2D"/>
          <w:kern w:val="0"/>
          <w:sz w:val="24"/>
          <w:szCs w:val="24"/>
          <w:lang w:val="es-CO"/>
        </w:rPr>
        <w:t xml:space="preserve">se declarará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falta de jurisdicción y competencia, a su turno se ordenará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remisión del proceso al Tribunal Administrativo de Cundinamarca, para</w:t>
      </w:r>
      <w:r w:rsidR="0044311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asuman el conocimiento respectivo.</w:t>
      </w:r>
    </w:p>
    <w:p w14:paraId="21BE28D3" w14:textId="77777777" w:rsidR="00443115" w:rsidRDefault="0044311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F8B82CC" w14:textId="589A027E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mérito de lo expuesto, el Tribunal Superior del Distrito Judicial de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 C., Sala Segunda de Decisión de la Sala Laboral,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7009203A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625B970" w14:textId="7777777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 E SU E L V E</w:t>
      </w:r>
    </w:p>
    <w:p w14:paraId="3D08E7C3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38DB6A3" w14:textId="47227BBD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PRIMERO. DECLARAR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falta de jurisdicción y competencia, dentro del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recurso de apelación interpuesto por demandante y la Administradora de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los Recursos del Sistema General de Seguridad Social - Adres con respecto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a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sentencia del 21 de julio de 2022 proferida por la Superintendencia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proofErr w:type="gram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Delegada</w:t>
      </w:r>
      <w:proofErr w:type="gram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para la Función Jurisdiccional y de Conciliación.</w:t>
      </w:r>
    </w:p>
    <w:p w14:paraId="2C7B2CC6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1A93412" w14:textId="0D13C658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SEGUNDO. REMITIR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expediente por reparto al Tribunal Administrativo</w:t>
      </w:r>
      <w:r w:rsidR="00320C6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Cundinamarca, para lo de su competencia.</w:t>
      </w:r>
    </w:p>
    <w:p w14:paraId="15B7AFB2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33F776C" w14:textId="5838CA5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Notifíquese y cúmplase.</w:t>
      </w:r>
    </w:p>
    <w:p w14:paraId="762DDB08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4D53EC1" w14:textId="0C716B4B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LUZ MARINA IBAÑEZ HERNANDEZ</w:t>
      </w:r>
    </w:p>
    <w:p w14:paraId="23D547C2" w14:textId="7777777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p w14:paraId="660DD001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82EA88E" w14:textId="4AACE659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</w:p>
    <w:p w14:paraId="41052993" w14:textId="7777777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</w:t>
      </w:r>
    </w:p>
    <w:p w14:paraId="7E18CC02" w14:textId="3AF190E1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Aclara voto</w:t>
      </w:r>
    </w:p>
    <w:p w14:paraId="1E187E71" w14:textId="77777777" w:rsidR="00320C65" w:rsidRDefault="00320C65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857603D" w14:textId="703AE2B7" w:rsidR="00060693" w:rsidRDefault="00060693" w:rsidP="00CE52FF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CLAUDIA ANGÉLICA MARTÍNEZ CASTILLO</w:t>
      </w:r>
    </w:p>
    <w:p w14:paraId="382E3EB8" w14:textId="6B13D335" w:rsidR="00B9243D" w:rsidRDefault="00060693" w:rsidP="00CE52FF">
      <w:pPr>
        <w:jc w:val="both"/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Br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3"/>
    <w:rsid w:val="00031A2C"/>
    <w:rsid w:val="000422B2"/>
    <w:rsid w:val="00060693"/>
    <w:rsid w:val="000D55F8"/>
    <w:rsid w:val="001B452B"/>
    <w:rsid w:val="00262F0A"/>
    <w:rsid w:val="00320C65"/>
    <w:rsid w:val="00443115"/>
    <w:rsid w:val="00446C5D"/>
    <w:rsid w:val="00493611"/>
    <w:rsid w:val="0064418D"/>
    <w:rsid w:val="006727B6"/>
    <w:rsid w:val="00737460"/>
    <w:rsid w:val="00854AAA"/>
    <w:rsid w:val="00B9243D"/>
    <w:rsid w:val="00CE52FF"/>
    <w:rsid w:val="00D977C5"/>
    <w:rsid w:val="00DA03DC"/>
    <w:rsid w:val="00E97C6E"/>
    <w:rsid w:val="00F82365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203B"/>
  <w15:chartTrackingRefBased/>
  <w15:docId w15:val="{C4FF583B-F395-454C-A08B-7370E92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4394</Words>
  <Characters>24169</Characters>
  <Application>Microsoft Office Word</Application>
  <DocSecurity>0</DocSecurity>
  <Lines>201</Lines>
  <Paragraphs>57</Paragraphs>
  <ScaleCrop>false</ScaleCrop>
  <Company/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18</cp:revision>
  <dcterms:created xsi:type="dcterms:W3CDTF">2024-04-03T15:26:00Z</dcterms:created>
  <dcterms:modified xsi:type="dcterms:W3CDTF">2024-04-03T16:01:00Z</dcterms:modified>
</cp:coreProperties>
</file>