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12624" w14:textId="14F69C43" w:rsidR="000A7E53" w:rsidRPr="00F969EE" w:rsidRDefault="0044349E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</w:t>
      </w:r>
      <w:r w:rsidR="000A7E53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 contingencia del proceso descrito anteriormente se califica como </w:t>
      </w:r>
      <w:r w:rsidR="000A7E53" w:rsidRPr="00F969EE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EVENTUAL</w:t>
      </w:r>
      <w:r w:rsidR="000A7E53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por las siguientes razones:</w:t>
      </w:r>
      <w:r w:rsidR="000A7E53" w:rsidRPr="00F969EE">
        <w:rPr>
          <w:rFonts w:ascii="Arial" w:eastAsia="Times New Roman" w:hAnsi="Arial" w:cs="Arial"/>
          <w:color w:val="201F1E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   </w:t>
      </w:r>
    </w:p>
    <w:p w14:paraId="43411E60" w14:textId="77777777" w:rsidR="000A7E53" w:rsidRPr="00F969EE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201F1E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7902611F" w14:textId="21720FB0" w:rsidR="0061241E" w:rsidRDefault="000A7E53" w:rsidP="001F21AB">
      <w:pPr>
        <w:shd w:val="clear" w:color="auto" w:fill="FFFFFF"/>
        <w:spacing w:after="0" w:line="240" w:lineRule="auto"/>
        <w:ind w:right="49"/>
        <w:jc w:val="both"/>
        <w:textAlignment w:val="baseline"/>
        <w:rPr>
          <w:lang w:val="es-MX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a Póliza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 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Seguro de Cumplimiento a Favor de Entidades Estatales 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N°1493761-5.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cuyo asegurado es el 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Departamento del Putumayo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NIT 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800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094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16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44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presta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 temporal, 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toda vez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que la póliza fue pactada bajo la modalidad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ocurrencia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 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cuya vigencia correspondió desde el </w:t>
      </w:r>
      <w:r w:rsidR="009850C9" w:rsidRP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15</w:t>
      </w:r>
      <w:r w:rsidR="009850C9" w:rsidRP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de noviembre de </w:t>
      </w:r>
      <w:r w:rsidR="009850C9" w:rsidRP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2016 al 01</w:t>
      </w:r>
      <w:r w:rsidR="009850C9" w:rsidRP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de </w:t>
      </w:r>
      <w:r w:rsid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abril d</w:t>
      </w:r>
      <w:r w:rsidR="009850C9" w:rsidRP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 </w:t>
      </w:r>
      <w:r w:rsidR="009850C9" w:rsidRPr="0061241E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2020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y los hechos que produjeron el presunto detrimento patrimonial, acaecieron 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el </w:t>
      </w:r>
      <w:r w:rsidRPr="00992AC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2</w:t>
      </w:r>
      <w:r w:rsidR="009850C9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4</w:t>
      </w:r>
      <w:r w:rsidRPr="00992AC6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de septiembre de 201</w:t>
      </w:r>
      <w:r w:rsidR="009850C9">
        <w:rPr>
          <w:rFonts w:ascii="Arial" w:eastAsia="Times New Roman" w:hAnsi="Arial" w:cs="Arial"/>
          <w:b/>
          <w:bCs/>
          <w:color w:val="000000"/>
          <w:kern w:val="0"/>
          <w:u w:val="single"/>
          <w:bdr w:val="none" w:sz="0" w:space="0" w:color="auto" w:frame="1"/>
          <w:shd w:val="clear" w:color="auto" w:fill="FFFFFF"/>
          <w:lang w:eastAsia="es-CO"/>
          <w14:ligatures w14:val="none"/>
        </w:rPr>
        <w:t>9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fecha de finalización del contrato</w:t>
      </w:r>
      <w:r w:rsidR="009850C9" w:rsidRPr="009850C9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N°1314 de 2015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lo que dicho hecho, e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stá inmerso dentro de la póliza en comento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Por otro lado,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la </w:t>
      </w:r>
      <w:r w:rsidR="0061241E"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cobertura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material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está sujeta a lo que se pruebe al interior del proceso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 en tanto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si bien,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la póliza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contempla dentro de sus coberturas, el amparo de delitos contra la administración pública y 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alcances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fiscales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si lo hace respecto al cumplimiento del contrato N°1314 de 2015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Por lo que, 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depende de las investigaciones que realice 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el ente de control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con relación a la entrega de los elementos adquiridos mediante el contrato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en mención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confirmar o desvirtuar el incumplimiento del contrato. Ello, por cuanto s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 podría dem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ostra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r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que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los elementos objeto de discusión, si 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fueron entregados a satisfacción y que fue el uso del tiempo lo que los deterioró, o el choque de uno de los botes lo que dejó sin uso el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motor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 Ap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licando 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en tal sentido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las exclusiones 1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: “</w:t>
      </w:r>
      <w:r w:rsidR="0061241E" w:rsidRPr="0064386F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causa extraña, esto es, la fuerza mayor o el caso fortuito, el hecho de un tercero o la culpa exclusiva de la víctima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” 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,3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:“</w:t>
      </w:r>
      <w:r w:rsidR="0061241E" w:rsidRPr="0064386F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Uso indebido o inadecuado o falta de mantenimiento preventivo al que está obligada la entidad estatal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”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y 4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: “</w:t>
      </w:r>
      <w:r w:rsidR="0061241E" w:rsidRPr="0064386F">
        <w:rPr>
          <w:rFonts w:ascii="Arial" w:eastAsia="Times New Roman" w:hAnsi="Arial" w:cs="Arial"/>
          <w:i/>
          <w:i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El deterioro normal que sufran los bienes entregados con ocasión del contrato garantizado como consecuencia del transcurso del tiempo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”</w:t>
      </w:r>
      <w:r w:rsidR="0061241E" w:rsidRP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de la póliza.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Lo anterior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en atención a lo dispuesto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en </w:t>
      </w:r>
      <w:r w:rsidR="0061241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el artículo</w:t>
      </w:r>
      <w:r w:rsid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131 del Decreto 1510 de 2013.</w:t>
      </w:r>
    </w:p>
    <w:p w14:paraId="3DDE63C4" w14:textId="6B54E2FC" w:rsidR="000A7E53" w:rsidRPr="0061241E" w:rsidRDefault="000A7E53" w:rsidP="000A7E53">
      <w:pPr>
        <w:shd w:val="clear" w:color="auto" w:fill="FFFFFF"/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val="es-MX" w:eastAsia="es-CO"/>
          <w14:ligatures w14:val="none"/>
        </w:rPr>
      </w:pPr>
    </w:p>
    <w:p w14:paraId="631E879C" w14:textId="4BBABC5C" w:rsidR="000A7E53" w:rsidRDefault="000A7E53" w:rsidP="001F21AB">
      <w:pPr>
        <w:spacing w:after="0" w:line="240" w:lineRule="auto"/>
        <w:ind w:right="49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Finalmente, respecto a la responsabilidad del afianzado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dependerá del análisis que realice la Contraloría de los elementos probatorios que obran en el expediente, confirmar o no la presunta materialización de un detrimento patrimonial al Estado, en especial de las actas que demuestran</w:t>
      </w:r>
      <w:r w:rsidR="0064386F" w:rsidRPr="0064386F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que las instituciones educativas que recibieron los elementos adquiridos mediante el contrato de compraventa objeto de reproche, manifestaron que recibieron los elementos a satisfacción, solo dos, indicaron que no recibieron los botes conforme a las especificaciones técnicas, pero no aportaron ninguna presentación de no conformidad, además, otra institución  señaló que los chalecos salvavidas estaban deteriorados  pero por el uso y paso normal del tiempo, la última indicó que uno de los botes no servía porque el motor se dañó tras un choque.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</w:p>
    <w:p w14:paraId="72D638F3" w14:textId="77777777" w:rsidR="001F21AB" w:rsidRPr="00F969EE" w:rsidRDefault="001F21AB" w:rsidP="001F21AB">
      <w:pPr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</w:p>
    <w:p w14:paraId="25454AD5" w14:textId="77777777" w:rsidR="000A7E53" w:rsidRPr="00F969EE" w:rsidRDefault="000A7E53" w:rsidP="000A7E53">
      <w:pPr>
        <w:spacing w:after="0" w:line="240" w:lineRule="auto"/>
        <w:ind w:right="4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Lo anterior, sin perjuicio del carácter contingente dentro del proceso de responsabilidad fiscal. </w:t>
      </w:r>
    </w:p>
    <w:p w14:paraId="6E549B14" w14:textId="77777777" w:rsidR="000A7E53" w:rsidRPr="00F969EE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3ECE35F7" w14:textId="3B472D14" w:rsidR="000A7E53" w:rsidRPr="00F969EE" w:rsidRDefault="000A7E53" w:rsidP="000A7E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bookmarkStart w:id="0" w:name="_Hlk137834647"/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Como liquidación del detrimento patrimonial se llegó a la suma </w:t>
      </w:r>
      <w:r w:rsidR="00D902E7" w:rsidRPr="00D902E7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$238.679.137</w:t>
      </w:r>
      <w:r w:rsidRPr="000D174D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.</w:t>
      </w: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Este valor se calculó de la siguiente manera: </w:t>
      </w:r>
    </w:p>
    <w:p w14:paraId="07F92D8F" w14:textId="77777777" w:rsidR="000A7E53" w:rsidRPr="00F969EE" w:rsidRDefault="000A7E53" w:rsidP="000A7E5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 </w:t>
      </w:r>
    </w:p>
    <w:p w14:paraId="7D557ED8" w14:textId="62A092E6" w:rsidR="000A7E53" w:rsidRPr="00D902E7" w:rsidRDefault="000A7E53" w:rsidP="000A7E5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 w:rsidRPr="00F969EE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Del monto total del detrimento patrimonial, que para el caso es de $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238.679.137</w:t>
      </w: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,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no se aplica deducible dado que no se pactó, </w:t>
      </w:r>
      <w:r w:rsidR="00D902E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sin embargo,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se realiza la respectiva indexación </w:t>
      </w:r>
      <w:r w:rsidR="00D902E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la cual da </w:t>
      </w:r>
      <w:r w:rsidR="001F21AB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una suma total de $</w:t>
      </w:r>
      <w:r w:rsidR="00D902E7" w:rsidRPr="00D902E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>319.830.043,58</w:t>
      </w:r>
      <w:r w:rsidR="00D902E7"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. </w:t>
      </w:r>
    </w:p>
    <w:p w14:paraId="53F011A3" w14:textId="34992E36" w:rsidR="000A7E53" w:rsidRDefault="00D902E7" w:rsidP="000A7E53">
      <w:pP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bdr w:val="none" w:sz="0" w:space="0" w:color="auto" w:frame="1"/>
          <w:shd w:val="clear" w:color="auto" w:fill="FFFFFF"/>
          <w:lang w:eastAsia="es-CO"/>
          <w14:ligatures w14:val="none"/>
        </w:rPr>
        <w:t xml:space="preserve"> </w:t>
      </w:r>
      <w:bookmarkEnd w:id="0"/>
    </w:p>
    <w:sectPr w:rsidR="000A7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53"/>
    <w:rsid w:val="000A11E0"/>
    <w:rsid w:val="000A7E53"/>
    <w:rsid w:val="001F21AB"/>
    <w:rsid w:val="0044349E"/>
    <w:rsid w:val="00482CD7"/>
    <w:rsid w:val="0061241E"/>
    <w:rsid w:val="0064386F"/>
    <w:rsid w:val="009850C9"/>
    <w:rsid w:val="00B100AE"/>
    <w:rsid w:val="00D902E7"/>
    <w:rsid w:val="00D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B2EA"/>
  <w15:chartTrackingRefBased/>
  <w15:docId w15:val="{DB8E2F6D-4658-44DE-B2B5-66A72C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53"/>
  </w:style>
  <w:style w:type="paragraph" w:styleId="Ttulo1">
    <w:name w:val="heading 1"/>
    <w:basedOn w:val="Normal"/>
    <w:next w:val="Normal"/>
    <w:link w:val="Ttulo1Car"/>
    <w:uiPriority w:val="9"/>
    <w:qFormat/>
    <w:rsid w:val="000A7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7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7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7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7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7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7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7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7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7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7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7E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7E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7E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7E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7E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7E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7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7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7E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7E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7E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7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7E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7E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Nicoll Andrea Vela Garcia</dc:creator>
  <cp:keywords/>
  <dc:description/>
  <cp:lastModifiedBy>Nicoll Andrea Vela Garcia</cp:lastModifiedBy>
  <cp:revision>1</cp:revision>
  <dcterms:created xsi:type="dcterms:W3CDTF">2024-04-05T20:11:00Z</dcterms:created>
  <dcterms:modified xsi:type="dcterms:W3CDTF">2024-04-05T22:07:00Z</dcterms:modified>
</cp:coreProperties>
</file>