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3AEF" w14:textId="40ECDD29" w:rsidR="00933CCB" w:rsidRPr="00933CCB" w:rsidRDefault="00933CCB" w:rsidP="00933CCB">
      <w:pPr>
        <w:pStyle w:val="Prrafodelista"/>
        <w:numPr>
          <w:ilvl w:val="0"/>
          <w:numId w:val="5"/>
        </w:numPr>
        <w:tabs>
          <w:tab w:val="left" w:pos="6447"/>
        </w:tabs>
        <w:jc w:val="both"/>
        <w:rPr>
          <w:rFonts w:asciiTheme="majorHAnsi" w:hAnsiTheme="majorHAnsi" w:cstheme="majorHAnsi"/>
          <w:b/>
          <w:bCs/>
          <w:szCs w:val="22"/>
        </w:rPr>
      </w:pPr>
      <w:r w:rsidRPr="00933CCB">
        <w:rPr>
          <w:rFonts w:asciiTheme="majorHAnsi" w:hAnsiTheme="majorHAnsi" w:cstheme="majorHAnsi"/>
          <w:b/>
          <w:bCs/>
          <w:szCs w:val="22"/>
        </w:rPr>
        <w:t>IDENTIFICACIÓN DEL PROCESO.</w:t>
      </w:r>
    </w:p>
    <w:p w14:paraId="2F41A175" w14:textId="25638D0F" w:rsidR="00933CCB" w:rsidRDefault="00933CCB" w:rsidP="00933CCB">
      <w:pPr>
        <w:tabs>
          <w:tab w:val="left" w:pos="6447"/>
        </w:tabs>
        <w:jc w:val="both"/>
        <w:rPr>
          <w:rFonts w:asciiTheme="majorHAnsi" w:hAnsiTheme="majorHAnsi" w:cstheme="majorHAnsi"/>
          <w:b/>
          <w:bCs/>
        </w:rPr>
      </w:pPr>
    </w:p>
    <w:p w14:paraId="52E2A01A" w14:textId="2A989410"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RADICADO: </w:t>
      </w:r>
      <w:r w:rsidRPr="00933CCB">
        <w:rPr>
          <w:rFonts w:asciiTheme="majorHAnsi" w:hAnsiTheme="majorHAnsi" w:cstheme="majorHAnsi"/>
        </w:rPr>
        <w:t>19-001-33-33-008-2017-00013-00</w:t>
      </w:r>
    </w:p>
    <w:p w14:paraId="4EACF9E6" w14:textId="25A22B12" w:rsidR="00933CCB" w:rsidRP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DESPACHO: </w:t>
      </w:r>
      <w:r>
        <w:rPr>
          <w:rFonts w:asciiTheme="majorHAnsi" w:hAnsiTheme="majorHAnsi" w:cstheme="majorHAnsi"/>
        </w:rPr>
        <w:t>JUZGADO OCTAVO ADMINISTRATIVO DE POPAYÁN</w:t>
      </w:r>
    </w:p>
    <w:p w14:paraId="6C5446AE" w14:textId="73007763"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DEMANDANTE: </w:t>
      </w:r>
      <w:r>
        <w:rPr>
          <w:rFonts w:asciiTheme="majorHAnsi" w:hAnsiTheme="majorHAnsi" w:cstheme="majorHAnsi"/>
        </w:rPr>
        <w:t xml:space="preserve">MARILEN MUÑOZ </w:t>
      </w:r>
      <w:proofErr w:type="spellStart"/>
      <w:r>
        <w:rPr>
          <w:rFonts w:asciiTheme="majorHAnsi" w:hAnsiTheme="majorHAnsi" w:cstheme="majorHAnsi"/>
        </w:rPr>
        <w:t>MUÑOZ</w:t>
      </w:r>
      <w:proofErr w:type="spellEnd"/>
      <w:r>
        <w:rPr>
          <w:rFonts w:asciiTheme="majorHAnsi" w:hAnsiTheme="majorHAnsi" w:cstheme="majorHAnsi"/>
        </w:rPr>
        <w:t>.</w:t>
      </w:r>
    </w:p>
    <w:p w14:paraId="0043C65C" w14:textId="5A1742B5"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DEMANDADO</w:t>
      </w:r>
      <w:r w:rsidRPr="00933CCB">
        <w:rPr>
          <w:rFonts w:asciiTheme="majorHAnsi" w:hAnsiTheme="majorHAnsi" w:cstheme="majorHAnsi"/>
        </w:rPr>
        <w:t>: EMPRESA SOCIAL DEL ESTADO E.S.E. SURORIENTE</w:t>
      </w:r>
    </w:p>
    <w:p w14:paraId="03797C0A" w14:textId="4D4C299E"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MEDIO DE CONTROL: </w:t>
      </w:r>
      <w:r>
        <w:rPr>
          <w:rFonts w:asciiTheme="majorHAnsi" w:hAnsiTheme="majorHAnsi" w:cstheme="majorHAnsi"/>
        </w:rPr>
        <w:t>NULIDAD Y RESTABLECIMIENTO DEL DERECHO.</w:t>
      </w:r>
    </w:p>
    <w:p w14:paraId="68C9228D" w14:textId="5E97AECF" w:rsidR="00933CCB" w:rsidRDefault="00933CCB" w:rsidP="00933CCB">
      <w:pPr>
        <w:tabs>
          <w:tab w:val="left" w:pos="6447"/>
        </w:tabs>
        <w:jc w:val="both"/>
        <w:rPr>
          <w:rFonts w:asciiTheme="majorHAnsi" w:hAnsiTheme="majorHAnsi" w:cstheme="majorHAnsi"/>
        </w:rPr>
      </w:pPr>
      <w:r>
        <w:rPr>
          <w:rFonts w:asciiTheme="majorHAnsi" w:hAnsiTheme="majorHAnsi" w:cstheme="majorHAnsi"/>
          <w:b/>
          <w:bCs/>
        </w:rPr>
        <w:t xml:space="preserve">VINCULACIÓN DE LA COMPAÑÍA: </w:t>
      </w:r>
      <w:r>
        <w:rPr>
          <w:rFonts w:asciiTheme="majorHAnsi" w:hAnsiTheme="majorHAnsi" w:cstheme="majorHAnsi"/>
        </w:rPr>
        <w:t>LLAMAMIENTO EN GARANTÍA.</w:t>
      </w:r>
    </w:p>
    <w:p w14:paraId="130A0B40" w14:textId="77777777" w:rsidR="00933CCB" w:rsidRDefault="00933CCB" w:rsidP="00933CCB">
      <w:pPr>
        <w:tabs>
          <w:tab w:val="left" w:pos="6447"/>
        </w:tabs>
        <w:jc w:val="both"/>
        <w:rPr>
          <w:rFonts w:asciiTheme="majorHAnsi" w:hAnsiTheme="majorHAnsi" w:cstheme="majorHAnsi"/>
        </w:rPr>
      </w:pPr>
    </w:p>
    <w:p w14:paraId="56641208" w14:textId="6EAB8E75" w:rsidR="00933CCB" w:rsidRDefault="00933CCB" w:rsidP="00933CCB">
      <w:pPr>
        <w:pStyle w:val="Prrafodelista"/>
        <w:numPr>
          <w:ilvl w:val="0"/>
          <w:numId w:val="5"/>
        </w:numPr>
        <w:tabs>
          <w:tab w:val="left" w:pos="6447"/>
        </w:tabs>
        <w:jc w:val="both"/>
        <w:rPr>
          <w:rFonts w:asciiTheme="majorHAnsi" w:hAnsiTheme="majorHAnsi" w:cstheme="majorHAnsi"/>
          <w:b/>
          <w:bCs/>
        </w:rPr>
      </w:pPr>
      <w:r>
        <w:rPr>
          <w:rFonts w:asciiTheme="majorHAnsi" w:hAnsiTheme="majorHAnsi" w:cstheme="majorHAnsi"/>
          <w:b/>
          <w:bCs/>
        </w:rPr>
        <w:t>ESTADO DEL PROCESO.</w:t>
      </w:r>
    </w:p>
    <w:p w14:paraId="7B6DDDB4" w14:textId="265327C2" w:rsidR="00933CCB" w:rsidRDefault="00933CCB" w:rsidP="00933CCB">
      <w:pPr>
        <w:tabs>
          <w:tab w:val="left" w:pos="6447"/>
        </w:tabs>
        <w:jc w:val="both"/>
        <w:rPr>
          <w:rFonts w:asciiTheme="majorHAnsi" w:hAnsiTheme="majorHAnsi" w:cstheme="majorHAnsi"/>
          <w:b/>
          <w:bCs/>
        </w:rPr>
      </w:pPr>
    </w:p>
    <w:p w14:paraId="0D3C61C7" w14:textId="4E8FFB1A" w:rsidR="00933CCB" w:rsidRPr="00933CCB" w:rsidRDefault="00933CCB" w:rsidP="00933CCB">
      <w:pPr>
        <w:tabs>
          <w:tab w:val="left" w:pos="6447"/>
        </w:tabs>
        <w:jc w:val="both"/>
        <w:rPr>
          <w:rFonts w:asciiTheme="majorHAnsi" w:hAnsiTheme="majorHAnsi" w:cstheme="majorHAnsi"/>
        </w:rPr>
      </w:pPr>
      <w:r>
        <w:rPr>
          <w:rFonts w:asciiTheme="majorHAnsi" w:hAnsiTheme="majorHAnsi" w:cstheme="majorHAnsi"/>
        </w:rPr>
        <w:t>El pasado 30 de noviembre de 2022, el Juzgado Octavo Administrativo de Popayán emitió sentencia desfavorable, accediendo a las pretensiones de la demanda, reconociendo el vínculo laboral entre la demandante y la ESE SURORIENTE; condenando de manera solidaria a la ESE SURORIENTE y al SINDICATO SUSALUD al pago de las prestaciones sociales dejadas de percibir por la demandante durante los periodos de vinculación reconocidos por el despacho.</w:t>
      </w:r>
    </w:p>
    <w:p w14:paraId="3C99E041" w14:textId="77777777" w:rsidR="00933CCB" w:rsidRDefault="00933CCB" w:rsidP="00933CCB">
      <w:pPr>
        <w:pStyle w:val="Prrafodelista"/>
        <w:numPr>
          <w:ilvl w:val="0"/>
          <w:numId w:val="5"/>
        </w:numPr>
        <w:tabs>
          <w:tab w:val="left" w:pos="6447"/>
        </w:tabs>
        <w:jc w:val="both"/>
        <w:rPr>
          <w:rFonts w:asciiTheme="majorHAnsi" w:hAnsiTheme="majorHAnsi" w:cstheme="majorHAnsi"/>
          <w:b/>
          <w:bCs/>
        </w:rPr>
      </w:pPr>
      <w:r>
        <w:rPr>
          <w:rFonts w:asciiTheme="majorHAnsi" w:hAnsiTheme="majorHAnsi" w:cstheme="majorHAnsi"/>
          <w:b/>
          <w:bCs/>
        </w:rPr>
        <w:t>LIQUIDACIÓN DE LA CONDENA.</w:t>
      </w:r>
    </w:p>
    <w:p w14:paraId="039E0918" w14:textId="05F900A1" w:rsidR="00237528" w:rsidRPr="00933CCB" w:rsidRDefault="00237528" w:rsidP="00933CCB">
      <w:pPr>
        <w:pStyle w:val="Prrafodelista"/>
        <w:tabs>
          <w:tab w:val="left" w:pos="6447"/>
        </w:tabs>
        <w:jc w:val="both"/>
        <w:rPr>
          <w:rFonts w:asciiTheme="majorHAnsi" w:hAnsiTheme="majorHAnsi" w:cstheme="majorHAnsi"/>
          <w:b/>
          <w:bCs/>
        </w:rPr>
      </w:pPr>
      <w:r w:rsidRPr="00933CCB">
        <w:rPr>
          <w:rFonts w:asciiTheme="majorHAnsi" w:hAnsiTheme="majorHAnsi" w:cstheme="majorHAnsi"/>
          <w:b/>
          <w:bCs/>
        </w:rPr>
        <w:tab/>
      </w:r>
    </w:p>
    <w:p w14:paraId="5CE3F63F" w14:textId="3457F9F8"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Valor 100%</w:t>
      </w:r>
      <w:r w:rsidRPr="00933CCB">
        <w:rPr>
          <w:rFonts w:asciiTheme="majorHAnsi" w:eastAsia="Calibri" w:hAnsiTheme="majorHAnsi" w:cstheme="majorHAnsi"/>
          <w:b/>
          <w:bCs/>
        </w:rPr>
        <w:t xml:space="preserve"> </w:t>
      </w:r>
      <w:r w:rsidR="00CF73C5" w:rsidRPr="00933CCB">
        <w:rPr>
          <w:rFonts w:asciiTheme="majorHAnsi" w:eastAsia="Calibri" w:hAnsiTheme="majorHAnsi" w:cstheme="majorHAnsi"/>
          <w:b/>
          <w:bCs/>
        </w:rPr>
        <w:t>$4.098.153</w:t>
      </w:r>
    </w:p>
    <w:p w14:paraId="306AAC8C" w14:textId="388A1ABB"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 xml:space="preserve">Deducible: </w:t>
      </w:r>
      <w:r w:rsidR="008C59D7" w:rsidRPr="00933CCB">
        <w:rPr>
          <w:rFonts w:asciiTheme="majorHAnsi" w:eastAsia="Calibri" w:hAnsiTheme="majorHAnsi" w:cstheme="majorHAnsi"/>
        </w:rPr>
        <w:t>No aplica</w:t>
      </w:r>
    </w:p>
    <w:p w14:paraId="076A52A6" w14:textId="586D279E"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 xml:space="preserve">Coaseguro: </w:t>
      </w:r>
      <w:r w:rsidR="008C59D7" w:rsidRPr="00933CCB">
        <w:rPr>
          <w:rFonts w:asciiTheme="majorHAnsi" w:eastAsia="Calibri" w:hAnsiTheme="majorHAnsi" w:cstheme="majorHAnsi"/>
        </w:rPr>
        <w:t>No aplica</w:t>
      </w:r>
    </w:p>
    <w:p w14:paraId="0D95D194" w14:textId="0C4797D0" w:rsidR="00237528" w:rsidRPr="00933CCB" w:rsidRDefault="00237528" w:rsidP="00237528">
      <w:pPr>
        <w:spacing w:line="264" w:lineRule="exact"/>
        <w:ind w:left="59" w:right="-20"/>
        <w:jc w:val="both"/>
        <w:rPr>
          <w:rFonts w:asciiTheme="majorHAnsi" w:eastAsia="Calibri" w:hAnsiTheme="majorHAnsi" w:cstheme="majorHAnsi"/>
          <w:b/>
          <w:bCs/>
          <w:u w:val="single"/>
        </w:rPr>
      </w:pPr>
      <w:proofErr w:type="gramStart"/>
      <w:r w:rsidRPr="00933CCB">
        <w:rPr>
          <w:rFonts w:asciiTheme="majorHAnsi" w:eastAsia="Calibri" w:hAnsiTheme="majorHAnsi" w:cstheme="majorHAnsi"/>
          <w:b/>
          <w:bCs/>
          <w:u w:val="single"/>
        </w:rPr>
        <w:t>Total</w:t>
      </w:r>
      <w:proofErr w:type="gramEnd"/>
      <w:r w:rsidRPr="00933CCB">
        <w:rPr>
          <w:rFonts w:asciiTheme="majorHAnsi" w:eastAsia="Calibri" w:hAnsiTheme="majorHAnsi" w:cstheme="majorHAnsi"/>
          <w:b/>
          <w:bCs/>
          <w:u w:val="single"/>
        </w:rPr>
        <w:t xml:space="preserve"> Exposición de </w:t>
      </w:r>
      <w:r w:rsidR="00E679CC" w:rsidRPr="00933CCB">
        <w:rPr>
          <w:rFonts w:asciiTheme="majorHAnsi" w:eastAsia="Calibri" w:hAnsiTheme="majorHAnsi" w:cstheme="majorHAnsi"/>
          <w:b/>
          <w:bCs/>
          <w:u w:val="single"/>
        </w:rPr>
        <w:t xml:space="preserve">SOLIDARIA </w:t>
      </w:r>
      <w:r w:rsidR="0096148A" w:rsidRPr="00933CCB">
        <w:rPr>
          <w:rFonts w:asciiTheme="majorHAnsi" w:eastAsia="Calibri" w:hAnsiTheme="majorHAnsi" w:cstheme="majorHAnsi"/>
          <w:b/>
          <w:bCs/>
          <w:u w:val="single"/>
        </w:rPr>
        <w:t xml:space="preserve">$ </w:t>
      </w:r>
      <w:r w:rsidR="00CF73C5" w:rsidRPr="00933CCB">
        <w:rPr>
          <w:rFonts w:asciiTheme="majorHAnsi" w:eastAsia="Calibri" w:hAnsiTheme="majorHAnsi" w:cstheme="majorHAnsi"/>
          <w:b/>
          <w:bCs/>
          <w:u w:val="single"/>
        </w:rPr>
        <w:t>4.098.153</w:t>
      </w:r>
    </w:p>
    <w:p w14:paraId="58CE156D" w14:textId="4E1A4298" w:rsidR="00237528" w:rsidRPr="00933CCB" w:rsidRDefault="00237528" w:rsidP="00237528">
      <w:pPr>
        <w:spacing w:line="264" w:lineRule="exact"/>
        <w:ind w:left="59" w:right="-20"/>
        <w:jc w:val="both"/>
        <w:rPr>
          <w:rFonts w:asciiTheme="majorHAnsi" w:eastAsia="Calibri" w:hAnsiTheme="majorHAnsi" w:cstheme="majorHAnsi"/>
        </w:rPr>
      </w:pPr>
      <w:r w:rsidRPr="00933CCB">
        <w:rPr>
          <w:rFonts w:asciiTheme="majorHAnsi" w:eastAsia="Calibri" w:hAnsiTheme="majorHAnsi" w:cstheme="majorHAnsi"/>
        </w:rPr>
        <w:t>Se llega a esta valoración de la siguiente forma</w:t>
      </w:r>
      <w:r w:rsidR="00E679CC" w:rsidRPr="00933CCB">
        <w:rPr>
          <w:rFonts w:asciiTheme="majorHAnsi" w:eastAsia="Calibri" w:hAnsiTheme="majorHAnsi" w:cstheme="majorHAnsi"/>
        </w:rPr>
        <w:t>:</w:t>
      </w:r>
    </w:p>
    <w:p w14:paraId="36C802E5" w14:textId="77777777" w:rsidR="00E679CC" w:rsidRPr="00933CCB" w:rsidRDefault="00E679CC" w:rsidP="00237528">
      <w:pPr>
        <w:spacing w:line="264" w:lineRule="exact"/>
        <w:ind w:left="59" w:right="-20"/>
        <w:jc w:val="both"/>
        <w:rPr>
          <w:rFonts w:asciiTheme="majorHAnsi" w:eastAsia="Calibri" w:hAnsiTheme="majorHAnsi" w:cstheme="majorHAnsi"/>
        </w:rPr>
      </w:pPr>
    </w:p>
    <w:p w14:paraId="246CC8B8" w14:textId="44868693" w:rsidR="00E679CC" w:rsidRPr="00933CCB" w:rsidRDefault="00E679CC" w:rsidP="00E679CC">
      <w:pPr>
        <w:spacing w:line="264" w:lineRule="exact"/>
        <w:ind w:right="-20"/>
        <w:jc w:val="both"/>
        <w:rPr>
          <w:rFonts w:asciiTheme="majorHAnsi" w:eastAsia="Calibri" w:hAnsiTheme="majorHAnsi" w:cstheme="majorHAnsi"/>
        </w:rPr>
      </w:pPr>
      <w:r w:rsidRPr="00933CCB">
        <w:rPr>
          <w:rFonts w:asciiTheme="majorHAnsi" w:eastAsia="Calibri" w:hAnsiTheme="majorHAnsi" w:cstheme="majorHAnsi"/>
        </w:rPr>
        <w:t>La sentencia, condenó al pago de las prestaciones sociales y los aportes de pensión a cargo del empleador para distintos periodos de tiempo</w:t>
      </w:r>
      <w:r w:rsidR="008E3715">
        <w:rPr>
          <w:rFonts w:asciiTheme="majorHAnsi" w:eastAsia="Calibri" w:hAnsiTheme="majorHAnsi" w:cstheme="majorHAnsi"/>
        </w:rPr>
        <w:t>, los cuales son</w:t>
      </w:r>
      <w:r w:rsidR="002070F6">
        <w:rPr>
          <w:rFonts w:asciiTheme="majorHAnsi" w:eastAsia="Calibri" w:hAnsiTheme="majorHAnsi" w:cstheme="majorHAnsi"/>
        </w:rPr>
        <w:t xml:space="preserve">: </w:t>
      </w:r>
      <w:r w:rsidR="002070F6">
        <w:rPr>
          <w:rFonts w:asciiTheme="majorHAnsi" w:eastAsia="Calibri" w:hAnsiTheme="majorHAnsi" w:cstheme="majorHAnsi"/>
          <w:i/>
          <w:iCs/>
        </w:rPr>
        <w:t xml:space="preserve">i) </w:t>
      </w:r>
      <w:r w:rsidR="002070F6">
        <w:rPr>
          <w:rFonts w:asciiTheme="majorHAnsi" w:eastAsia="Calibri" w:hAnsiTheme="majorHAnsi" w:cstheme="majorHAnsi"/>
        </w:rPr>
        <w:t xml:space="preserve">Desde el 1 de febrero de 2015 hasta el 28 de febrero de 2015; </w:t>
      </w:r>
      <w:proofErr w:type="spellStart"/>
      <w:r w:rsidR="002070F6">
        <w:rPr>
          <w:rFonts w:asciiTheme="majorHAnsi" w:eastAsia="Calibri" w:hAnsiTheme="majorHAnsi" w:cstheme="majorHAnsi"/>
          <w:i/>
          <w:iCs/>
        </w:rPr>
        <w:t>ii</w:t>
      </w:r>
      <w:proofErr w:type="spellEnd"/>
      <w:r w:rsidR="002070F6">
        <w:rPr>
          <w:rFonts w:asciiTheme="majorHAnsi" w:eastAsia="Calibri" w:hAnsiTheme="majorHAnsi" w:cstheme="majorHAnsi"/>
          <w:i/>
          <w:iCs/>
        </w:rPr>
        <w:t xml:space="preserve">) </w:t>
      </w:r>
      <w:r w:rsidR="002070F6">
        <w:rPr>
          <w:rFonts w:asciiTheme="majorHAnsi" w:eastAsia="Calibri" w:hAnsiTheme="majorHAnsi" w:cstheme="majorHAnsi"/>
        </w:rPr>
        <w:t xml:space="preserve">Desde el 1 de abril de 2015 hasta el 30 de abril de 2015; </w:t>
      </w:r>
      <w:proofErr w:type="spellStart"/>
      <w:r w:rsidR="002070F6">
        <w:rPr>
          <w:rFonts w:asciiTheme="majorHAnsi" w:eastAsia="Calibri" w:hAnsiTheme="majorHAnsi" w:cstheme="majorHAnsi"/>
          <w:i/>
          <w:iCs/>
        </w:rPr>
        <w:t>iii</w:t>
      </w:r>
      <w:proofErr w:type="spellEnd"/>
      <w:r w:rsidR="002070F6">
        <w:rPr>
          <w:rFonts w:asciiTheme="majorHAnsi" w:eastAsia="Calibri" w:hAnsiTheme="majorHAnsi" w:cstheme="majorHAnsi"/>
          <w:i/>
          <w:iCs/>
        </w:rPr>
        <w:t xml:space="preserve">) </w:t>
      </w:r>
      <w:r w:rsidR="002070F6">
        <w:rPr>
          <w:rFonts w:asciiTheme="majorHAnsi" w:eastAsia="Calibri" w:hAnsiTheme="majorHAnsi" w:cstheme="majorHAnsi"/>
        </w:rPr>
        <w:t xml:space="preserve">Desde el 1 de septiembre de 2015 hasta el 30 de noviembre de 2015; </w:t>
      </w:r>
      <w:r w:rsidR="002070F6">
        <w:rPr>
          <w:rFonts w:asciiTheme="majorHAnsi" w:eastAsia="Calibri" w:hAnsiTheme="majorHAnsi" w:cstheme="majorHAnsi"/>
        </w:rPr>
        <w:tab/>
      </w:r>
      <w:proofErr w:type="spellStart"/>
      <w:r w:rsidR="002070F6">
        <w:rPr>
          <w:rFonts w:asciiTheme="majorHAnsi" w:eastAsia="Calibri" w:hAnsiTheme="majorHAnsi" w:cstheme="majorHAnsi"/>
          <w:i/>
          <w:iCs/>
        </w:rPr>
        <w:t>iv</w:t>
      </w:r>
      <w:proofErr w:type="spellEnd"/>
      <w:r w:rsidR="002070F6">
        <w:rPr>
          <w:rFonts w:asciiTheme="majorHAnsi" w:eastAsia="Calibri" w:hAnsiTheme="majorHAnsi" w:cstheme="majorHAnsi"/>
          <w:i/>
          <w:iCs/>
        </w:rPr>
        <w:t xml:space="preserve">) </w:t>
      </w:r>
      <w:r w:rsidR="002070F6">
        <w:rPr>
          <w:rFonts w:asciiTheme="majorHAnsi" w:eastAsia="Calibri" w:hAnsiTheme="majorHAnsi" w:cstheme="majorHAnsi"/>
        </w:rPr>
        <w:t xml:space="preserve">Desde el 1 de diciembre de 2015 hasta el 31 de diciembre de 2015; </w:t>
      </w:r>
      <w:r w:rsidR="002070F6">
        <w:rPr>
          <w:rFonts w:asciiTheme="majorHAnsi" w:eastAsia="Calibri" w:hAnsiTheme="majorHAnsi" w:cstheme="majorHAnsi"/>
          <w:i/>
          <w:iCs/>
        </w:rPr>
        <w:t xml:space="preserve">v) </w:t>
      </w:r>
      <w:r w:rsidR="002070F6">
        <w:rPr>
          <w:rFonts w:asciiTheme="majorHAnsi" w:eastAsia="Calibri" w:hAnsiTheme="majorHAnsi" w:cstheme="majorHAnsi"/>
        </w:rPr>
        <w:t>Desde el 1 de enero de 2016 hasta el 30 de abril de 2016</w:t>
      </w:r>
      <w:r w:rsidR="008E3715">
        <w:rPr>
          <w:rFonts w:asciiTheme="majorHAnsi" w:eastAsia="Calibri" w:hAnsiTheme="majorHAnsi" w:cstheme="majorHAnsi"/>
        </w:rPr>
        <w:t xml:space="preserve"> </w:t>
      </w:r>
      <w:r w:rsidRPr="00933CCB">
        <w:rPr>
          <w:rFonts w:asciiTheme="majorHAnsi" w:eastAsia="Calibri" w:hAnsiTheme="majorHAnsi" w:cstheme="majorHAnsi"/>
        </w:rPr>
        <w:t>; a continuación, se presenta la liquidación de cada uno de ellos:</w:t>
      </w:r>
    </w:p>
    <w:p w14:paraId="20B18D56" w14:textId="77777777" w:rsidR="00E679CC" w:rsidRPr="00933CCB" w:rsidRDefault="00E679CC" w:rsidP="00E679CC">
      <w:pPr>
        <w:spacing w:line="264" w:lineRule="exact"/>
        <w:ind w:right="-20"/>
        <w:jc w:val="both"/>
        <w:rPr>
          <w:rFonts w:asciiTheme="majorHAnsi" w:eastAsia="Calibri" w:hAnsiTheme="majorHAnsi" w:cstheme="majorHAnsi"/>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4"/>
        <w:gridCol w:w="1239"/>
        <w:gridCol w:w="2126"/>
      </w:tblGrid>
      <w:tr w:rsidR="00E679CC" w:rsidRPr="00933CCB" w14:paraId="3A7CD639" w14:textId="77777777" w:rsidTr="00E679CC">
        <w:trPr>
          <w:trHeight w:val="530"/>
          <w:jc w:val="center"/>
        </w:trPr>
        <w:tc>
          <w:tcPr>
            <w:tcW w:w="5949" w:type="dxa"/>
            <w:gridSpan w:val="3"/>
            <w:shd w:val="clear" w:color="auto" w:fill="auto"/>
            <w:vAlign w:val="bottom"/>
            <w:hideMark/>
          </w:tcPr>
          <w:p w14:paraId="4607F633" w14:textId="77777777" w:rsidR="00E679CC" w:rsidRPr="00933CCB" w:rsidRDefault="00E679CC" w:rsidP="00E679CC">
            <w:pPr>
              <w:spacing w:after="0" w:line="240" w:lineRule="auto"/>
              <w:jc w:val="center"/>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PERIODO COMPRENDIDO ENTRE EL 1 DE FEBRERO DE 2015 Y EL 28 DE FEBRERO DE 2015</w:t>
            </w:r>
          </w:p>
        </w:tc>
      </w:tr>
      <w:tr w:rsidR="00E679CC" w:rsidRPr="00933CCB" w14:paraId="08290D30" w14:textId="77777777" w:rsidTr="00E679CC">
        <w:trPr>
          <w:trHeight w:val="290"/>
          <w:jc w:val="center"/>
        </w:trPr>
        <w:tc>
          <w:tcPr>
            <w:tcW w:w="2584" w:type="dxa"/>
            <w:shd w:val="clear" w:color="auto" w:fill="auto"/>
            <w:noWrap/>
            <w:vAlign w:val="bottom"/>
            <w:hideMark/>
          </w:tcPr>
          <w:p w14:paraId="62331E6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SALARIO</w:t>
            </w:r>
          </w:p>
        </w:tc>
        <w:tc>
          <w:tcPr>
            <w:tcW w:w="1239" w:type="dxa"/>
            <w:shd w:val="clear" w:color="auto" w:fill="auto"/>
            <w:noWrap/>
            <w:vAlign w:val="bottom"/>
            <w:hideMark/>
          </w:tcPr>
          <w:p w14:paraId="5E230DA5"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845.000</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6" w:type="dxa"/>
            <w:shd w:val="clear" w:color="auto" w:fill="auto"/>
            <w:noWrap/>
            <w:vAlign w:val="bottom"/>
            <w:hideMark/>
          </w:tcPr>
          <w:p w14:paraId="01CF48D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28.167 </w:t>
            </w:r>
          </w:p>
        </w:tc>
      </w:tr>
      <w:tr w:rsidR="00E679CC" w:rsidRPr="00933CCB" w14:paraId="72159B43" w14:textId="77777777" w:rsidTr="00E679CC">
        <w:trPr>
          <w:trHeight w:val="290"/>
          <w:jc w:val="center"/>
        </w:trPr>
        <w:tc>
          <w:tcPr>
            <w:tcW w:w="2584" w:type="dxa"/>
            <w:shd w:val="clear" w:color="auto" w:fill="auto"/>
            <w:noWrap/>
            <w:vAlign w:val="bottom"/>
            <w:hideMark/>
          </w:tcPr>
          <w:p w14:paraId="29EB91B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EXTREMOS LABORALES</w:t>
            </w:r>
          </w:p>
        </w:tc>
        <w:tc>
          <w:tcPr>
            <w:tcW w:w="1239" w:type="dxa"/>
            <w:shd w:val="clear" w:color="auto" w:fill="auto"/>
            <w:noWrap/>
            <w:vAlign w:val="bottom"/>
            <w:hideMark/>
          </w:tcPr>
          <w:p w14:paraId="4D4177C1"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1/02/2015</w:t>
            </w:r>
          </w:p>
        </w:tc>
        <w:tc>
          <w:tcPr>
            <w:tcW w:w="2126" w:type="dxa"/>
            <w:shd w:val="clear" w:color="auto" w:fill="auto"/>
            <w:noWrap/>
            <w:vAlign w:val="bottom"/>
            <w:hideMark/>
          </w:tcPr>
          <w:p w14:paraId="639BFBBE"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28/02/2015</w:t>
            </w:r>
          </w:p>
        </w:tc>
      </w:tr>
      <w:tr w:rsidR="00E679CC" w:rsidRPr="00933CCB" w14:paraId="0286DB1C" w14:textId="77777777" w:rsidTr="00E679CC">
        <w:trPr>
          <w:trHeight w:val="290"/>
          <w:jc w:val="center"/>
        </w:trPr>
        <w:tc>
          <w:tcPr>
            <w:tcW w:w="2584" w:type="dxa"/>
            <w:shd w:val="clear" w:color="auto" w:fill="auto"/>
            <w:noWrap/>
            <w:vAlign w:val="bottom"/>
            <w:hideMark/>
          </w:tcPr>
          <w:p w14:paraId="41F2411E" w14:textId="77777777" w:rsidR="00E679CC" w:rsidRPr="00933CCB" w:rsidRDefault="00E679CC" w:rsidP="00E679CC">
            <w:pPr>
              <w:spacing w:after="0" w:line="240" w:lineRule="auto"/>
              <w:jc w:val="right"/>
              <w:rPr>
                <w:rFonts w:asciiTheme="majorHAnsi" w:eastAsia="Times New Roman" w:hAnsiTheme="majorHAnsi" w:cstheme="majorHAnsi"/>
                <w:b/>
                <w:bCs/>
                <w:color w:val="000000"/>
                <w:kern w:val="0"/>
                <w:lang w:eastAsia="es-CO"/>
                <w14:ligatures w14:val="none"/>
              </w:rPr>
            </w:pPr>
          </w:p>
        </w:tc>
        <w:tc>
          <w:tcPr>
            <w:tcW w:w="1239" w:type="dxa"/>
            <w:shd w:val="clear" w:color="auto" w:fill="auto"/>
            <w:noWrap/>
            <w:vAlign w:val="bottom"/>
            <w:hideMark/>
          </w:tcPr>
          <w:p w14:paraId="05B8E568"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c>
          <w:tcPr>
            <w:tcW w:w="2126" w:type="dxa"/>
            <w:shd w:val="clear" w:color="auto" w:fill="auto"/>
            <w:noWrap/>
            <w:vAlign w:val="bottom"/>
            <w:hideMark/>
          </w:tcPr>
          <w:p w14:paraId="21458187"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r>
      <w:tr w:rsidR="00E679CC" w:rsidRPr="00933CCB" w14:paraId="69EBD499" w14:textId="77777777" w:rsidTr="00E679CC">
        <w:trPr>
          <w:trHeight w:val="290"/>
          <w:jc w:val="center"/>
        </w:trPr>
        <w:tc>
          <w:tcPr>
            <w:tcW w:w="2584" w:type="dxa"/>
            <w:shd w:val="clear" w:color="auto" w:fill="auto"/>
            <w:noWrap/>
            <w:vAlign w:val="bottom"/>
            <w:hideMark/>
          </w:tcPr>
          <w:p w14:paraId="67799E03"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lastRenderedPageBreak/>
              <w:t>DÍAS LABORADOS</w:t>
            </w:r>
          </w:p>
        </w:tc>
        <w:tc>
          <w:tcPr>
            <w:tcW w:w="1239" w:type="dxa"/>
            <w:shd w:val="clear" w:color="auto" w:fill="auto"/>
            <w:noWrap/>
            <w:vAlign w:val="bottom"/>
            <w:hideMark/>
          </w:tcPr>
          <w:p w14:paraId="3FAFCDC1"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28</w:t>
            </w:r>
          </w:p>
        </w:tc>
        <w:tc>
          <w:tcPr>
            <w:tcW w:w="2126" w:type="dxa"/>
            <w:shd w:val="clear" w:color="auto" w:fill="auto"/>
            <w:noWrap/>
            <w:vAlign w:val="bottom"/>
            <w:hideMark/>
          </w:tcPr>
          <w:p w14:paraId="567537D5" w14:textId="77777777" w:rsidR="00E679CC" w:rsidRPr="00615169"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615169">
              <w:rPr>
                <w:rFonts w:asciiTheme="majorHAnsi" w:eastAsia="Times New Roman" w:hAnsiTheme="majorHAnsi" w:cstheme="majorHAnsi"/>
                <w:b/>
                <w:bCs/>
                <w:color w:val="000000"/>
                <w:kern w:val="0"/>
                <w:lang w:eastAsia="es-CO"/>
                <w14:ligatures w14:val="none"/>
              </w:rPr>
              <w:t>VALOR ACTUALIZADO</w:t>
            </w:r>
          </w:p>
        </w:tc>
      </w:tr>
      <w:tr w:rsidR="00E679CC" w:rsidRPr="00933CCB" w14:paraId="620798C8" w14:textId="77777777" w:rsidTr="00E679CC">
        <w:trPr>
          <w:trHeight w:val="290"/>
          <w:jc w:val="center"/>
        </w:trPr>
        <w:tc>
          <w:tcPr>
            <w:tcW w:w="2584" w:type="dxa"/>
            <w:shd w:val="clear" w:color="auto" w:fill="auto"/>
            <w:noWrap/>
            <w:vAlign w:val="bottom"/>
            <w:hideMark/>
          </w:tcPr>
          <w:p w14:paraId="1747D2D7"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CESANTÍAS</w:t>
            </w:r>
          </w:p>
        </w:tc>
        <w:tc>
          <w:tcPr>
            <w:tcW w:w="1239" w:type="dxa"/>
            <w:shd w:val="clear" w:color="auto" w:fill="auto"/>
            <w:noWrap/>
            <w:vAlign w:val="bottom"/>
            <w:hideMark/>
          </w:tcPr>
          <w:p w14:paraId="3970531B"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65.722 </w:t>
            </w:r>
          </w:p>
        </w:tc>
        <w:tc>
          <w:tcPr>
            <w:tcW w:w="2126" w:type="dxa"/>
            <w:shd w:val="clear" w:color="auto" w:fill="auto"/>
            <w:noWrap/>
            <w:vAlign w:val="bottom"/>
            <w:hideMark/>
          </w:tcPr>
          <w:p w14:paraId="2530F3D9"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115.773 </w:t>
            </w:r>
          </w:p>
        </w:tc>
      </w:tr>
      <w:tr w:rsidR="00E679CC" w:rsidRPr="00933CCB" w14:paraId="73AA10A6" w14:textId="77777777" w:rsidTr="00E679CC">
        <w:trPr>
          <w:trHeight w:val="290"/>
          <w:jc w:val="center"/>
        </w:trPr>
        <w:tc>
          <w:tcPr>
            <w:tcW w:w="2584" w:type="dxa"/>
            <w:shd w:val="clear" w:color="auto" w:fill="auto"/>
            <w:noWrap/>
            <w:vAlign w:val="bottom"/>
            <w:hideMark/>
          </w:tcPr>
          <w:p w14:paraId="587D1F66"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INTERESES DE CESANTÍAS</w:t>
            </w:r>
          </w:p>
        </w:tc>
        <w:tc>
          <w:tcPr>
            <w:tcW w:w="1239" w:type="dxa"/>
            <w:shd w:val="clear" w:color="auto" w:fill="auto"/>
            <w:noWrap/>
            <w:vAlign w:val="bottom"/>
            <w:hideMark/>
          </w:tcPr>
          <w:p w14:paraId="532A77BA"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613 </w:t>
            </w:r>
          </w:p>
        </w:tc>
        <w:tc>
          <w:tcPr>
            <w:tcW w:w="2126" w:type="dxa"/>
            <w:shd w:val="clear" w:color="auto" w:fill="auto"/>
            <w:noWrap/>
            <w:vAlign w:val="bottom"/>
            <w:hideMark/>
          </w:tcPr>
          <w:p w14:paraId="1F3FF516"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1.081 </w:t>
            </w:r>
          </w:p>
        </w:tc>
      </w:tr>
      <w:tr w:rsidR="00E679CC" w:rsidRPr="00933CCB" w14:paraId="73918426" w14:textId="77777777" w:rsidTr="00E679CC">
        <w:trPr>
          <w:trHeight w:val="290"/>
          <w:jc w:val="center"/>
        </w:trPr>
        <w:tc>
          <w:tcPr>
            <w:tcW w:w="2584" w:type="dxa"/>
            <w:shd w:val="clear" w:color="auto" w:fill="auto"/>
            <w:noWrap/>
            <w:vAlign w:val="bottom"/>
            <w:hideMark/>
          </w:tcPr>
          <w:p w14:paraId="5E4DB15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PRIMA DE SERVICIOS</w:t>
            </w:r>
          </w:p>
        </w:tc>
        <w:tc>
          <w:tcPr>
            <w:tcW w:w="1239" w:type="dxa"/>
            <w:shd w:val="clear" w:color="auto" w:fill="auto"/>
            <w:noWrap/>
            <w:vAlign w:val="bottom"/>
            <w:hideMark/>
          </w:tcPr>
          <w:p w14:paraId="6598DBA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65.722 </w:t>
            </w:r>
          </w:p>
        </w:tc>
        <w:tc>
          <w:tcPr>
            <w:tcW w:w="2126" w:type="dxa"/>
            <w:shd w:val="clear" w:color="auto" w:fill="auto"/>
            <w:noWrap/>
            <w:vAlign w:val="bottom"/>
            <w:hideMark/>
          </w:tcPr>
          <w:p w14:paraId="342E697C"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115.773 </w:t>
            </w:r>
          </w:p>
        </w:tc>
      </w:tr>
      <w:tr w:rsidR="00E679CC" w:rsidRPr="00933CCB" w14:paraId="529DB488" w14:textId="77777777" w:rsidTr="00E679CC">
        <w:trPr>
          <w:trHeight w:val="290"/>
          <w:jc w:val="center"/>
        </w:trPr>
        <w:tc>
          <w:tcPr>
            <w:tcW w:w="2584" w:type="dxa"/>
            <w:shd w:val="clear" w:color="auto" w:fill="auto"/>
            <w:noWrap/>
            <w:vAlign w:val="bottom"/>
            <w:hideMark/>
          </w:tcPr>
          <w:p w14:paraId="3087984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APORTES A PENSIÓN (12%)</w:t>
            </w:r>
          </w:p>
        </w:tc>
        <w:tc>
          <w:tcPr>
            <w:tcW w:w="1239" w:type="dxa"/>
            <w:shd w:val="clear" w:color="auto" w:fill="auto"/>
            <w:noWrap/>
            <w:vAlign w:val="bottom"/>
            <w:hideMark/>
          </w:tcPr>
          <w:p w14:paraId="5CEA641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101.400</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6" w:type="dxa"/>
            <w:shd w:val="clear" w:color="auto" w:fill="auto"/>
            <w:noWrap/>
            <w:vAlign w:val="bottom"/>
            <w:hideMark/>
          </w:tcPr>
          <w:p w14:paraId="270DAC74"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178.621 </w:t>
            </w:r>
          </w:p>
        </w:tc>
      </w:tr>
      <w:tr w:rsidR="00E679CC" w:rsidRPr="00933CCB" w14:paraId="5C16CCCA" w14:textId="77777777" w:rsidTr="00E679CC">
        <w:trPr>
          <w:trHeight w:val="290"/>
          <w:jc w:val="center"/>
        </w:trPr>
        <w:tc>
          <w:tcPr>
            <w:tcW w:w="2584" w:type="dxa"/>
            <w:shd w:val="clear" w:color="auto" w:fill="auto"/>
            <w:noWrap/>
            <w:vAlign w:val="bottom"/>
            <w:hideMark/>
          </w:tcPr>
          <w:p w14:paraId="0723AFCF"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 xml:space="preserve">TOTAL  </w:t>
            </w:r>
          </w:p>
        </w:tc>
        <w:tc>
          <w:tcPr>
            <w:tcW w:w="1239" w:type="dxa"/>
            <w:shd w:val="clear" w:color="auto" w:fill="auto"/>
            <w:noWrap/>
            <w:vAlign w:val="bottom"/>
            <w:hideMark/>
          </w:tcPr>
          <w:p w14:paraId="7F1C48F9"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233.458</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6" w:type="dxa"/>
            <w:shd w:val="clear" w:color="auto" w:fill="auto"/>
            <w:noWrap/>
            <w:vAlign w:val="bottom"/>
            <w:hideMark/>
          </w:tcPr>
          <w:p w14:paraId="7B28822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 xml:space="preserve"> $                     411.248 </w:t>
            </w:r>
          </w:p>
        </w:tc>
      </w:tr>
    </w:tbl>
    <w:p w14:paraId="34CB0569" w14:textId="77777777" w:rsidR="00E679CC" w:rsidRPr="00933CCB" w:rsidRDefault="00E679CC" w:rsidP="00E679CC">
      <w:pPr>
        <w:spacing w:line="264" w:lineRule="exact"/>
        <w:ind w:right="-20"/>
        <w:jc w:val="both"/>
        <w:rPr>
          <w:rFonts w:asciiTheme="majorHAnsi" w:eastAsia="Calibri" w:hAnsiTheme="majorHAnsi" w:cstheme="majorHAnsi"/>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4"/>
        <w:gridCol w:w="1380"/>
        <w:gridCol w:w="2127"/>
      </w:tblGrid>
      <w:tr w:rsidR="00E679CC" w:rsidRPr="00933CCB" w14:paraId="26A0D1BA" w14:textId="77777777" w:rsidTr="00E679CC">
        <w:trPr>
          <w:trHeight w:val="530"/>
          <w:jc w:val="center"/>
        </w:trPr>
        <w:tc>
          <w:tcPr>
            <w:tcW w:w="6091" w:type="dxa"/>
            <w:gridSpan w:val="3"/>
            <w:shd w:val="clear" w:color="auto" w:fill="auto"/>
            <w:vAlign w:val="bottom"/>
            <w:hideMark/>
          </w:tcPr>
          <w:p w14:paraId="49358E4C" w14:textId="77777777" w:rsidR="00E679CC" w:rsidRPr="00933CCB" w:rsidRDefault="00E679CC" w:rsidP="00E679CC">
            <w:pPr>
              <w:spacing w:after="0" w:line="240" w:lineRule="auto"/>
              <w:jc w:val="center"/>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PERIODO COMPRENDIDO ENTRE EL 1 DE ABRIL DE 2015 HASTA EL 30 DE ABRIL DE 2015</w:t>
            </w:r>
          </w:p>
        </w:tc>
      </w:tr>
      <w:tr w:rsidR="00E679CC" w:rsidRPr="00933CCB" w14:paraId="3620F21A" w14:textId="77777777" w:rsidTr="00E679CC">
        <w:trPr>
          <w:trHeight w:val="290"/>
          <w:jc w:val="center"/>
        </w:trPr>
        <w:tc>
          <w:tcPr>
            <w:tcW w:w="2584" w:type="dxa"/>
            <w:shd w:val="clear" w:color="auto" w:fill="auto"/>
            <w:noWrap/>
            <w:vAlign w:val="bottom"/>
            <w:hideMark/>
          </w:tcPr>
          <w:p w14:paraId="029A976E"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SALARIO</w:t>
            </w:r>
          </w:p>
        </w:tc>
        <w:tc>
          <w:tcPr>
            <w:tcW w:w="1380" w:type="dxa"/>
            <w:shd w:val="clear" w:color="auto" w:fill="auto"/>
            <w:noWrap/>
            <w:vAlign w:val="bottom"/>
            <w:hideMark/>
          </w:tcPr>
          <w:p w14:paraId="7FAFF5AE"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845.000</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7" w:type="dxa"/>
            <w:shd w:val="clear" w:color="auto" w:fill="auto"/>
            <w:noWrap/>
            <w:vAlign w:val="bottom"/>
            <w:hideMark/>
          </w:tcPr>
          <w:p w14:paraId="1C71003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28.167 </w:t>
            </w:r>
          </w:p>
        </w:tc>
      </w:tr>
      <w:tr w:rsidR="00E679CC" w:rsidRPr="00933CCB" w14:paraId="1E1D68AF" w14:textId="77777777" w:rsidTr="00E679CC">
        <w:trPr>
          <w:trHeight w:val="290"/>
          <w:jc w:val="center"/>
        </w:trPr>
        <w:tc>
          <w:tcPr>
            <w:tcW w:w="2584" w:type="dxa"/>
            <w:shd w:val="clear" w:color="auto" w:fill="auto"/>
            <w:noWrap/>
            <w:vAlign w:val="bottom"/>
            <w:hideMark/>
          </w:tcPr>
          <w:p w14:paraId="28F49FE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EXTREMOS LABORALES</w:t>
            </w:r>
          </w:p>
        </w:tc>
        <w:tc>
          <w:tcPr>
            <w:tcW w:w="1380" w:type="dxa"/>
            <w:shd w:val="clear" w:color="auto" w:fill="auto"/>
            <w:noWrap/>
            <w:vAlign w:val="bottom"/>
            <w:hideMark/>
          </w:tcPr>
          <w:p w14:paraId="4BA7D75B"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1/04/2015</w:t>
            </w:r>
          </w:p>
        </w:tc>
        <w:tc>
          <w:tcPr>
            <w:tcW w:w="2127" w:type="dxa"/>
            <w:shd w:val="clear" w:color="auto" w:fill="auto"/>
            <w:noWrap/>
            <w:vAlign w:val="bottom"/>
            <w:hideMark/>
          </w:tcPr>
          <w:p w14:paraId="00FDA7DD"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30/04/2015</w:t>
            </w:r>
          </w:p>
        </w:tc>
      </w:tr>
      <w:tr w:rsidR="00E679CC" w:rsidRPr="00933CCB" w14:paraId="0452162A" w14:textId="77777777" w:rsidTr="00E679CC">
        <w:trPr>
          <w:trHeight w:val="290"/>
          <w:jc w:val="center"/>
        </w:trPr>
        <w:tc>
          <w:tcPr>
            <w:tcW w:w="2584" w:type="dxa"/>
            <w:shd w:val="clear" w:color="auto" w:fill="auto"/>
            <w:noWrap/>
            <w:vAlign w:val="bottom"/>
            <w:hideMark/>
          </w:tcPr>
          <w:p w14:paraId="6945B92C" w14:textId="77777777" w:rsidR="00E679CC" w:rsidRPr="00933CCB" w:rsidRDefault="00E679CC" w:rsidP="00E679CC">
            <w:pPr>
              <w:spacing w:after="0" w:line="240" w:lineRule="auto"/>
              <w:jc w:val="right"/>
              <w:rPr>
                <w:rFonts w:asciiTheme="majorHAnsi" w:eastAsia="Times New Roman" w:hAnsiTheme="majorHAnsi" w:cstheme="majorHAnsi"/>
                <w:b/>
                <w:bCs/>
                <w:color w:val="000000"/>
                <w:kern w:val="0"/>
                <w:lang w:eastAsia="es-CO"/>
                <w14:ligatures w14:val="none"/>
              </w:rPr>
            </w:pPr>
          </w:p>
        </w:tc>
        <w:tc>
          <w:tcPr>
            <w:tcW w:w="1380" w:type="dxa"/>
            <w:shd w:val="clear" w:color="auto" w:fill="auto"/>
            <w:noWrap/>
            <w:vAlign w:val="bottom"/>
            <w:hideMark/>
          </w:tcPr>
          <w:p w14:paraId="32DDA9C9"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c>
          <w:tcPr>
            <w:tcW w:w="2127" w:type="dxa"/>
            <w:shd w:val="clear" w:color="auto" w:fill="auto"/>
            <w:noWrap/>
            <w:vAlign w:val="bottom"/>
            <w:hideMark/>
          </w:tcPr>
          <w:p w14:paraId="7CC74940"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r>
      <w:tr w:rsidR="00E679CC" w:rsidRPr="00615169" w14:paraId="65FE29BF" w14:textId="77777777" w:rsidTr="00E679CC">
        <w:trPr>
          <w:trHeight w:val="290"/>
          <w:jc w:val="center"/>
        </w:trPr>
        <w:tc>
          <w:tcPr>
            <w:tcW w:w="2584" w:type="dxa"/>
            <w:shd w:val="clear" w:color="auto" w:fill="auto"/>
            <w:noWrap/>
            <w:vAlign w:val="bottom"/>
            <w:hideMark/>
          </w:tcPr>
          <w:p w14:paraId="4357C70D"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DÍAS LABORADOS</w:t>
            </w:r>
          </w:p>
        </w:tc>
        <w:tc>
          <w:tcPr>
            <w:tcW w:w="1380" w:type="dxa"/>
            <w:shd w:val="clear" w:color="auto" w:fill="auto"/>
            <w:noWrap/>
            <w:vAlign w:val="bottom"/>
            <w:hideMark/>
          </w:tcPr>
          <w:p w14:paraId="197C1444"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30</w:t>
            </w:r>
          </w:p>
        </w:tc>
        <w:tc>
          <w:tcPr>
            <w:tcW w:w="2127" w:type="dxa"/>
            <w:shd w:val="clear" w:color="auto" w:fill="auto"/>
            <w:noWrap/>
            <w:vAlign w:val="bottom"/>
            <w:hideMark/>
          </w:tcPr>
          <w:p w14:paraId="482246AD" w14:textId="77777777" w:rsidR="00E679CC" w:rsidRPr="00615169"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615169">
              <w:rPr>
                <w:rFonts w:asciiTheme="majorHAnsi" w:eastAsia="Times New Roman" w:hAnsiTheme="majorHAnsi" w:cstheme="majorHAnsi"/>
                <w:b/>
                <w:bCs/>
                <w:color w:val="000000"/>
                <w:kern w:val="0"/>
                <w:lang w:eastAsia="es-CO"/>
                <w14:ligatures w14:val="none"/>
              </w:rPr>
              <w:t>VALOR ACTUALIZADO</w:t>
            </w:r>
          </w:p>
        </w:tc>
      </w:tr>
      <w:tr w:rsidR="00E679CC" w:rsidRPr="00933CCB" w14:paraId="52554EA9" w14:textId="77777777" w:rsidTr="00E679CC">
        <w:trPr>
          <w:trHeight w:val="290"/>
          <w:jc w:val="center"/>
        </w:trPr>
        <w:tc>
          <w:tcPr>
            <w:tcW w:w="2584" w:type="dxa"/>
            <w:shd w:val="clear" w:color="auto" w:fill="auto"/>
            <w:noWrap/>
            <w:vAlign w:val="bottom"/>
            <w:hideMark/>
          </w:tcPr>
          <w:p w14:paraId="6294687D"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CESANTÍAS</w:t>
            </w:r>
          </w:p>
        </w:tc>
        <w:tc>
          <w:tcPr>
            <w:tcW w:w="1380" w:type="dxa"/>
            <w:shd w:val="clear" w:color="auto" w:fill="auto"/>
            <w:noWrap/>
            <w:vAlign w:val="bottom"/>
            <w:hideMark/>
          </w:tcPr>
          <w:p w14:paraId="72797706"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70.417 </w:t>
            </w:r>
          </w:p>
        </w:tc>
        <w:tc>
          <w:tcPr>
            <w:tcW w:w="2127" w:type="dxa"/>
            <w:shd w:val="clear" w:color="auto" w:fill="auto"/>
            <w:noWrap/>
            <w:vAlign w:val="bottom"/>
            <w:hideMark/>
          </w:tcPr>
          <w:p w14:paraId="38D8056F"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122.669 </w:t>
            </w:r>
          </w:p>
        </w:tc>
      </w:tr>
      <w:tr w:rsidR="00E679CC" w:rsidRPr="00933CCB" w14:paraId="58D5075E" w14:textId="77777777" w:rsidTr="00E679CC">
        <w:trPr>
          <w:trHeight w:val="290"/>
          <w:jc w:val="center"/>
        </w:trPr>
        <w:tc>
          <w:tcPr>
            <w:tcW w:w="2584" w:type="dxa"/>
            <w:shd w:val="clear" w:color="auto" w:fill="auto"/>
            <w:noWrap/>
            <w:vAlign w:val="bottom"/>
            <w:hideMark/>
          </w:tcPr>
          <w:p w14:paraId="2DB79358"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INTERESES DE CESANTÍAS</w:t>
            </w:r>
          </w:p>
        </w:tc>
        <w:tc>
          <w:tcPr>
            <w:tcW w:w="1380" w:type="dxa"/>
            <w:shd w:val="clear" w:color="auto" w:fill="auto"/>
            <w:noWrap/>
            <w:vAlign w:val="bottom"/>
            <w:hideMark/>
          </w:tcPr>
          <w:p w14:paraId="769C6AA9"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704 </w:t>
            </w:r>
          </w:p>
        </w:tc>
        <w:tc>
          <w:tcPr>
            <w:tcW w:w="2127" w:type="dxa"/>
            <w:shd w:val="clear" w:color="auto" w:fill="auto"/>
            <w:noWrap/>
            <w:vAlign w:val="bottom"/>
            <w:hideMark/>
          </w:tcPr>
          <w:p w14:paraId="69B4D179"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1.227 </w:t>
            </w:r>
          </w:p>
        </w:tc>
      </w:tr>
      <w:tr w:rsidR="00E679CC" w:rsidRPr="00933CCB" w14:paraId="7FAA8FA9" w14:textId="77777777" w:rsidTr="00E679CC">
        <w:trPr>
          <w:trHeight w:val="290"/>
          <w:jc w:val="center"/>
        </w:trPr>
        <w:tc>
          <w:tcPr>
            <w:tcW w:w="2584" w:type="dxa"/>
            <w:shd w:val="clear" w:color="auto" w:fill="auto"/>
            <w:noWrap/>
            <w:vAlign w:val="bottom"/>
            <w:hideMark/>
          </w:tcPr>
          <w:p w14:paraId="7F887703"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PRIMA DE SERVICIOS</w:t>
            </w:r>
          </w:p>
        </w:tc>
        <w:tc>
          <w:tcPr>
            <w:tcW w:w="1380" w:type="dxa"/>
            <w:shd w:val="clear" w:color="auto" w:fill="auto"/>
            <w:noWrap/>
            <w:vAlign w:val="bottom"/>
            <w:hideMark/>
          </w:tcPr>
          <w:p w14:paraId="314AB47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70.417 </w:t>
            </w:r>
          </w:p>
        </w:tc>
        <w:tc>
          <w:tcPr>
            <w:tcW w:w="2127" w:type="dxa"/>
            <w:shd w:val="clear" w:color="auto" w:fill="auto"/>
            <w:noWrap/>
            <w:vAlign w:val="bottom"/>
            <w:hideMark/>
          </w:tcPr>
          <w:p w14:paraId="19F8FA64"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122.669 </w:t>
            </w:r>
          </w:p>
        </w:tc>
      </w:tr>
      <w:tr w:rsidR="00E679CC" w:rsidRPr="00933CCB" w14:paraId="1E043709" w14:textId="77777777" w:rsidTr="00E679CC">
        <w:trPr>
          <w:trHeight w:val="290"/>
          <w:jc w:val="center"/>
        </w:trPr>
        <w:tc>
          <w:tcPr>
            <w:tcW w:w="2584" w:type="dxa"/>
            <w:shd w:val="clear" w:color="auto" w:fill="auto"/>
            <w:noWrap/>
            <w:vAlign w:val="bottom"/>
            <w:hideMark/>
          </w:tcPr>
          <w:p w14:paraId="4D565595"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APORTES A PENSIÓN (12%)</w:t>
            </w:r>
          </w:p>
        </w:tc>
        <w:tc>
          <w:tcPr>
            <w:tcW w:w="1380" w:type="dxa"/>
            <w:shd w:val="clear" w:color="auto" w:fill="auto"/>
            <w:noWrap/>
            <w:vAlign w:val="bottom"/>
            <w:hideMark/>
          </w:tcPr>
          <w:p w14:paraId="041E1378"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101.400</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7" w:type="dxa"/>
            <w:shd w:val="clear" w:color="auto" w:fill="auto"/>
            <w:noWrap/>
            <w:vAlign w:val="bottom"/>
            <w:hideMark/>
          </w:tcPr>
          <w:p w14:paraId="10DD8A02"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176.644 </w:t>
            </w:r>
          </w:p>
        </w:tc>
      </w:tr>
      <w:tr w:rsidR="00E679CC" w:rsidRPr="00933CCB" w14:paraId="3EA107BB" w14:textId="77777777" w:rsidTr="00E679CC">
        <w:trPr>
          <w:trHeight w:val="290"/>
          <w:jc w:val="center"/>
        </w:trPr>
        <w:tc>
          <w:tcPr>
            <w:tcW w:w="2584" w:type="dxa"/>
            <w:shd w:val="clear" w:color="auto" w:fill="auto"/>
            <w:noWrap/>
            <w:vAlign w:val="bottom"/>
            <w:hideMark/>
          </w:tcPr>
          <w:p w14:paraId="22C0129D"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TOTAL</w:t>
            </w:r>
          </w:p>
        </w:tc>
        <w:tc>
          <w:tcPr>
            <w:tcW w:w="1380" w:type="dxa"/>
            <w:shd w:val="clear" w:color="auto" w:fill="auto"/>
            <w:noWrap/>
            <w:vAlign w:val="bottom"/>
            <w:hideMark/>
          </w:tcPr>
          <w:p w14:paraId="3D96C94F"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w:t>
            </w:r>
            <w:proofErr w:type="gramStart"/>
            <w:r w:rsidRPr="00933CCB">
              <w:rPr>
                <w:rFonts w:asciiTheme="majorHAnsi" w:eastAsia="Times New Roman" w:hAnsiTheme="majorHAnsi" w:cstheme="majorHAnsi"/>
                <w:color w:val="000000"/>
                <w:kern w:val="0"/>
                <w:lang w:eastAsia="es-CO"/>
                <w14:ligatures w14:val="none"/>
              </w:rPr>
              <w:t>$  242.938</w:t>
            </w:r>
            <w:proofErr w:type="gramEnd"/>
            <w:r w:rsidRPr="00933CCB">
              <w:rPr>
                <w:rFonts w:asciiTheme="majorHAnsi" w:eastAsia="Times New Roman" w:hAnsiTheme="majorHAnsi" w:cstheme="majorHAnsi"/>
                <w:color w:val="000000"/>
                <w:kern w:val="0"/>
                <w:lang w:eastAsia="es-CO"/>
                <w14:ligatures w14:val="none"/>
              </w:rPr>
              <w:t xml:space="preserve"> </w:t>
            </w:r>
          </w:p>
        </w:tc>
        <w:tc>
          <w:tcPr>
            <w:tcW w:w="2127" w:type="dxa"/>
            <w:shd w:val="clear" w:color="auto" w:fill="auto"/>
            <w:noWrap/>
            <w:vAlign w:val="bottom"/>
            <w:hideMark/>
          </w:tcPr>
          <w:p w14:paraId="5CB59EF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 xml:space="preserve"> $                     423.209 </w:t>
            </w:r>
          </w:p>
        </w:tc>
      </w:tr>
    </w:tbl>
    <w:p w14:paraId="22E8EFCA" w14:textId="77777777" w:rsidR="00E679CC" w:rsidRPr="00933CCB" w:rsidRDefault="00E679CC" w:rsidP="00E679CC">
      <w:pPr>
        <w:spacing w:line="264" w:lineRule="exact"/>
        <w:ind w:right="-20"/>
        <w:jc w:val="both"/>
        <w:rPr>
          <w:rFonts w:asciiTheme="majorHAnsi" w:eastAsia="Calibri" w:hAnsiTheme="majorHAnsi" w:cstheme="majorHAnsi"/>
        </w:rPr>
      </w:pPr>
    </w:p>
    <w:p w14:paraId="780AC1DA" w14:textId="77777777" w:rsidR="00E679CC" w:rsidRPr="00933CCB" w:rsidRDefault="00E679CC" w:rsidP="00E679CC">
      <w:pPr>
        <w:spacing w:line="264" w:lineRule="exact"/>
        <w:ind w:right="-20"/>
        <w:jc w:val="both"/>
        <w:rPr>
          <w:rFonts w:asciiTheme="majorHAnsi" w:eastAsia="Calibri" w:hAnsiTheme="majorHAnsi" w:cstheme="majorHAnsi"/>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6"/>
        <w:gridCol w:w="1530"/>
        <w:gridCol w:w="2126"/>
      </w:tblGrid>
      <w:tr w:rsidR="00E679CC" w:rsidRPr="00933CCB" w14:paraId="39C2D814" w14:textId="77777777" w:rsidTr="00E679CC">
        <w:trPr>
          <w:trHeight w:val="530"/>
          <w:jc w:val="center"/>
        </w:trPr>
        <w:tc>
          <w:tcPr>
            <w:tcW w:w="6232" w:type="dxa"/>
            <w:gridSpan w:val="3"/>
            <w:shd w:val="clear" w:color="auto" w:fill="auto"/>
            <w:vAlign w:val="bottom"/>
            <w:hideMark/>
          </w:tcPr>
          <w:p w14:paraId="2BA02547" w14:textId="77777777" w:rsidR="00E679CC" w:rsidRPr="00933CCB" w:rsidRDefault="00E679CC" w:rsidP="00E679CC">
            <w:pPr>
              <w:spacing w:after="0" w:line="240" w:lineRule="auto"/>
              <w:jc w:val="center"/>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PERIODO COMPRENDIDO ENTRE EL 1 DE SEPTIEMBRE DE 2015 HASTA EL 30 DE NOVIEMBRE DE 2015</w:t>
            </w:r>
          </w:p>
        </w:tc>
      </w:tr>
      <w:tr w:rsidR="00E679CC" w:rsidRPr="00933CCB" w14:paraId="409F2BE4" w14:textId="77777777" w:rsidTr="00E679CC">
        <w:trPr>
          <w:trHeight w:val="290"/>
          <w:jc w:val="center"/>
        </w:trPr>
        <w:tc>
          <w:tcPr>
            <w:tcW w:w="2576" w:type="dxa"/>
            <w:shd w:val="clear" w:color="auto" w:fill="auto"/>
            <w:noWrap/>
            <w:vAlign w:val="bottom"/>
            <w:hideMark/>
          </w:tcPr>
          <w:p w14:paraId="02E8557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SALARIO</w:t>
            </w:r>
          </w:p>
        </w:tc>
        <w:tc>
          <w:tcPr>
            <w:tcW w:w="1530" w:type="dxa"/>
            <w:shd w:val="clear" w:color="auto" w:fill="auto"/>
            <w:noWrap/>
            <w:vAlign w:val="bottom"/>
            <w:hideMark/>
          </w:tcPr>
          <w:p w14:paraId="262302FB"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845.000 </w:t>
            </w:r>
          </w:p>
        </w:tc>
        <w:tc>
          <w:tcPr>
            <w:tcW w:w="2126" w:type="dxa"/>
            <w:shd w:val="clear" w:color="auto" w:fill="auto"/>
            <w:noWrap/>
            <w:vAlign w:val="bottom"/>
            <w:hideMark/>
          </w:tcPr>
          <w:p w14:paraId="283627BC"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28.167 </w:t>
            </w:r>
          </w:p>
        </w:tc>
      </w:tr>
      <w:tr w:rsidR="00E679CC" w:rsidRPr="00933CCB" w14:paraId="1CF59D72" w14:textId="77777777" w:rsidTr="00E679CC">
        <w:trPr>
          <w:trHeight w:val="290"/>
          <w:jc w:val="center"/>
        </w:trPr>
        <w:tc>
          <w:tcPr>
            <w:tcW w:w="2576" w:type="dxa"/>
            <w:shd w:val="clear" w:color="auto" w:fill="auto"/>
            <w:noWrap/>
            <w:vAlign w:val="bottom"/>
            <w:hideMark/>
          </w:tcPr>
          <w:p w14:paraId="3563A671"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EXTREMOS LABORALES</w:t>
            </w:r>
          </w:p>
        </w:tc>
        <w:tc>
          <w:tcPr>
            <w:tcW w:w="1530" w:type="dxa"/>
            <w:shd w:val="clear" w:color="auto" w:fill="auto"/>
            <w:noWrap/>
            <w:vAlign w:val="bottom"/>
            <w:hideMark/>
          </w:tcPr>
          <w:p w14:paraId="4AF50402"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1/09/2015</w:t>
            </w:r>
          </w:p>
        </w:tc>
        <w:tc>
          <w:tcPr>
            <w:tcW w:w="2126" w:type="dxa"/>
            <w:shd w:val="clear" w:color="auto" w:fill="auto"/>
            <w:noWrap/>
            <w:vAlign w:val="bottom"/>
            <w:hideMark/>
          </w:tcPr>
          <w:p w14:paraId="34A79B17"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30/11/2015</w:t>
            </w:r>
          </w:p>
        </w:tc>
      </w:tr>
      <w:tr w:rsidR="00E679CC" w:rsidRPr="00933CCB" w14:paraId="0C625D97" w14:textId="77777777" w:rsidTr="00E679CC">
        <w:trPr>
          <w:trHeight w:val="290"/>
          <w:jc w:val="center"/>
        </w:trPr>
        <w:tc>
          <w:tcPr>
            <w:tcW w:w="2576" w:type="dxa"/>
            <w:shd w:val="clear" w:color="auto" w:fill="auto"/>
            <w:noWrap/>
            <w:vAlign w:val="bottom"/>
            <w:hideMark/>
          </w:tcPr>
          <w:p w14:paraId="15A5DAF6" w14:textId="77777777" w:rsidR="00E679CC" w:rsidRPr="00933CCB" w:rsidRDefault="00E679CC" w:rsidP="00E679CC">
            <w:pPr>
              <w:spacing w:after="0" w:line="240" w:lineRule="auto"/>
              <w:jc w:val="right"/>
              <w:rPr>
                <w:rFonts w:asciiTheme="majorHAnsi" w:eastAsia="Times New Roman" w:hAnsiTheme="majorHAnsi" w:cstheme="majorHAnsi"/>
                <w:b/>
                <w:bCs/>
                <w:color w:val="000000"/>
                <w:kern w:val="0"/>
                <w:lang w:eastAsia="es-CO"/>
                <w14:ligatures w14:val="none"/>
              </w:rPr>
            </w:pPr>
          </w:p>
        </w:tc>
        <w:tc>
          <w:tcPr>
            <w:tcW w:w="1530" w:type="dxa"/>
            <w:shd w:val="clear" w:color="auto" w:fill="auto"/>
            <w:noWrap/>
            <w:vAlign w:val="bottom"/>
            <w:hideMark/>
          </w:tcPr>
          <w:p w14:paraId="16CDB9DB"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c>
          <w:tcPr>
            <w:tcW w:w="2126" w:type="dxa"/>
            <w:shd w:val="clear" w:color="auto" w:fill="auto"/>
            <w:noWrap/>
            <w:vAlign w:val="bottom"/>
            <w:hideMark/>
          </w:tcPr>
          <w:p w14:paraId="6D5FB9A8"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r>
      <w:tr w:rsidR="00E679CC" w:rsidRPr="00933CCB" w14:paraId="70FE3918" w14:textId="77777777" w:rsidTr="00E679CC">
        <w:trPr>
          <w:trHeight w:val="290"/>
          <w:jc w:val="center"/>
        </w:trPr>
        <w:tc>
          <w:tcPr>
            <w:tcW w:w="2576" w:type="dxa"/>
            <w:shd w:val="clear" w:color="auto" w:fill="auto"/>
            <w:noWrap/>
            <w:vAlign w:val="bottom"/>
            <w:hideMark/>
          </w:tcPr>
          <w:p w14:paraId="17978F3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DÍAS LABORADOS</w:t>
            </w:r>
          </w:p>
        </w:tc>
        <w:tc>
          <w:tcPr>
            <w:tcW w:w="1530" w:type="dxa"/>
            <w:shd w:val="clear" w:color="auto" w:fill="auto"/>
            <w:noWrap/>
            <w:vAlign w:val="bottom"/>
            <w:hideMark/>
          </w:tcPr>
          <w:p w14:paraId="2C5D87B2"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90</w:t>
            </w:r>
          </w:p>
        </w:tc>
        <w:tc>
          <w:tcPr>
            <w:tcW w:w="2126" w:type="dxa"/>
            <w:shd w:val="clear" w:color="auto" w:fill="auto"/>
            <w:noWrap/>
            <w:vAlign w:val="bottom"/>
            <w:hideMark/>
          </w:tcPr>
          <w:p w14:paraId="1B2B8E49"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VALOR ACTUALIZADO</w:t>
            </w:r>
          </w:p>
        </w:tc>
      </w:tr>
      <w:tr w:rsidR="00E679CC" w:rsidRPr="00933CCB" w14:paraId="5D99FC3C" w14:textId="77777777" w:rsidTr="00E679CC">
        <w:trPr>
          <w:trHeight w:val="290"/>
          <w:jc w:val="center"/>
        </w:trPr>
        <w:tc>
          <w:tcPr>
            <w:tcW w:w="2576" w:type="dxa"/>
            <w:shd w:val="clear" w:color="auto" w:fill="auto"/>
            <w:noWrap/>
            <w:vAlign w:val="bottom"/>
            <w:hideMark/>
          </w:tcPr>
          <w:p w14:paraId="63E13ED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CESANTÍAS</w:t>
            </w:r>
          </w:p>
        </w:tc>
        <w:tc>
          <w:tcPr>
            <w:tcW w:w="1530" w:type="dxa"/>
            <w:shd w:val="clear" w:color="auto" w:fill="auto"/>
            <w:noWrap/>
            <w:vAlign w:val="bottom"/>
            <w:hideMark/>
          </w:tcPr>
          <w:p w14:paraId="5335628D"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211.250 </w:t>
            </w:r>
          </w:p>
        </w:tc>
        <w:tc>
          <w:tcPr>
            <w:tcW w:w="2126" w:type="dxa"/>
            <w:shd w:val="clear" w:color="auto" w:fill="auto"/>
            <w:noWrap/>
            <w:vAlign w:val="bottom"/>
            <w:hideMark/>
          </w:tcPr>
          <w:p w14:paraId="421292E4"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357.032 </w:t>
            </w:r>
          </w:p>
        </w:tc>
      </w:tr>
      <w:tr w:rsidR="00E679CC" w:rsidRPr="00933CCB" w14:paraId="5B550066" w14:textId="77777777" w:rsidTr="00E679CC">
        <w:trPr>
          <w:trHeight w:val="290"/>
          <w:jc w:val="center"/>
        </w:trPr>
        <w:tc>
          <w:tcPr>
            <w:tcW w:w="2576" w:type="dxa"/>
            <w:shd w:val="clear" w:color="auto" w:fill="auto"/>
            <w:noWrap/>
            <w:vAlign w:val="bottom"/>
            <w:hideMark/>
          </w:tcPr>
          <w:p w14:paraId="776E679B"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INTERESES DE CESANTÍAS</w:t>
            </w:r>
          </w:p>
        </w:tc>
        <w:tc>
          <w:tcPr>
            <w:tcW w:w="1530" w:type="dxa"/>
            <w:shd w:val="clear" w:color="auto" w:fill="auto"/>
            <w:noWrap/>
            <w:vAlign w:val="bottom"/>
            <w:hideMark/>
          </w:tcPr>
          <w:p w14:paraId="61898F08"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6.338 </w:t>
            </w:r>
          </w:p>
        </w:tc>
        <w:tc>
          <w:tcPr>
            <w:tcW w:w="2126" w:type="dxa"/>
            <w:shd w:val="clear" w:color="auto" w:fill="auto"/>
            <w:noWrap/>
            <w:vAlign w:val="bottom"/>
            <w:hideMark/>
          </w:tcPr>
          <w:p w14:paraId="75410B22"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10.711 </w:t>
            </w:r>
          </w:p>
        </w:tc>
      </w:tr>
      <w:tr w:rsidR="00E679CC" w:rsidRPr="00933CCB" w14:paraId="7C7B5703" w14:textId="77777777" w:rsidTr="00E679CC">
        <w:trPr>
          <w:trHeight w:val="290"/>
          <w:jc w:val="center"/>
        </w:trPr>
        <w:tc>
          <w:tcPr>
            <w:tcW w:w="2576" w:type="dxa"/>
            <w:shd w:val="clear" w:color="auto" w:fill="auto"/>
            <w:noWrap/>
            <w:vAlign w:val="bottom"/>
            <w:hideMark/>
          </w:tcPr>
          <w:p w14:paraId="66FD3C5E"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PRIMA DE SERVICIOS</w:t>
            </w:r>
          </w:p>
        </w:tc>
        <w:tc>
          <w:tcPr>
            <w:tcW w:w="1530" w:type="dxa"/>
            <w:shd w:val="clear" w:color="auto" w:fill="auto"/>
            <w:noWrap/>
            <w:vAlign w:val="bottom"/>
            <w:hideMark/>
          </w:tcPr>
          <w:p w14:paraId="1C01D0E5"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211.250 </w:t>
            </w:r>
          </w:p>
        </w:tc>
        <w:tc>
          <w:tcPr>
            <w:tcW w:w="2126" w:type="dxa"/>
            <w:shd w:val="clear" w:color="auto" w:fill="auto"/>
            <w:noWrap/>
            <w:vAlign w:val="bottom"/>
            <w:hideMark/>
          </w:tcPr>
          <w:p w14:paraId="0CB7A681"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357.032 </w:t>
            </w:r>
          </w:p>
        </w:tc>
      </w:tr>
      <w:tr w:rsidR="00E679CC" w:rsidRPr="00933CCB" w14:paraId="2910C8F0" w14:textId="77777777" w:rsidTr="00E679CC">
        <w:trPr>
          <w:trHeight w:val="290"/>
          <w:jc w:val="center"/>
        </w:trPr>
        <w:tc>
          <w:tcPr>
            <w:tcW w:w="2576" w:type="dxa"/>
            <w:shd w:val="clear" w:color="auto" w:fill="auto"/>
            <w:noWrap/>
            <w:vAlign w:val="bottom"/>
            <w:hideMark/>
          </w:tcPr>
          <w:p w14:paraId="22C5F81E"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APORTES A PENSIÓN (12%)</w:t>
            </w:r>
          </w:p>
        </w:tc>
        <w:tc>
          <w:tcPr>
            <w:tcW w:w="1530" w:type="dxa"/>
            <w:shd w:val="clear" w:color="auto" w:fill="auto"/>
            <w:noWrap/>
            <w:vAlign w:val="bottom"/>
            <w:hideMark/>
          </w:tcPr>
          <w:p w14:paraId="1FCC4B47"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304.200 </w:t>
            </w:r>
          </w:p>
        </w:tc>
        <w:tc>
          <w:tcPr>
            <w:tcW w:w="2126" w:type="dxa"/>
            <w:shd w:val="clear" w:color="auto" w:fill="auto"/>
            <w:noWrap/>
            <w:vAlign w:val="bottom"/>
            <w:hideMark/>
          </w:tcPr>
          <w:p w14:paraId="7B7094FE"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514.126 </w:t>
            </w:r>
          </w:p>
        </w:tc>
      </w:tr>
      <w:tr w:rsidR="00E679CC" w:rsidRPr="00933CCB" w14:paraId="2F599DAE" w14:textId="77777777" w:rsidTr="00E679CC">
        <w:trPr>
          <w:trHeight w:val="290"/>
          <w:jc w:val="center"/>
        </w:trPr>
        <w:tc>
          <w:tcPr>
            <w:tcW w:w="2576" w:type="dxa"/>
            <w:shd w:val="clear" w:color="auto" w:fill="auto"/>
            <w:noWrap/>
            <w:vAlign w:val="bottom"/>
            <w:hideMark/>
          </w:tcPr>
          <w:p w14:paraId="03F971FD"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TOTAL</w:t>
            </w:r>
          </w:p>
        </w:tc>
        <w:tc>
          <w:tcPr>
            <w:tcW w:w="1530" w:type="dxa"/>
            <w:shd w:val="clear" w:color="auto" w:fill="auto"/>
            <w:noWrap/>
            <w:vAlign w:val="bottom"/>
            <w:hideMark/>
          </w:tcPr>
          <w:p w14:paraId="13969F6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733.038 </w:t>
            </w:r>
          </w:p>
        </w:tc>
        <w:tc>
          <w:tcPr>
            <w:tcW w:w="2126" w:type="dxa"/>
            <w:shd w:val="clear" w:color="auto" w:fill="auto"/>
            <w:noWrap/>
            <w:vAlign w:val="bottom"/>
            <w:hideMark/>
          </w:tcPr>
          <w:p w14:paraId="146CDCA7"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 xml:space="preserve"> $                 1.238.901 </w:t>
            </w:r>
          </w:p>
        </w:tc>
      </w:tr>
    </w:tbl>
    <w:p w14:paraId="513E15C5" w14:textId="77777777" w:rsidR="00E679CC" w:rsidRPr="00933CCB" w:rsidRDefault="00E679CC" w:rsidP="00E679CC">
      <w:pPr>
        <w:spacing w:line="264" w:lineRule="exact"/>
        <w:ind w:right="-20"/>
        <w:jc w:val="both"/>
        <w:rPr>
          <w:rFonts w:asciiTheme="majorHAnsi" w:eastAsia="Calibri" w:hAnsiTheme="majorHAnsi" w:cstheme="majorHAnsi"/>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1198"/>
        <w:gridCol w:w="134"/>
        <w:gridCol w:w="2127"/>
      </w:tblGrid>
      <w:tr w:rsidR="00E679CC" w:rsidRPr="00933CCB" w14:paraId="1C42839A" w14:textId="77777777" w:rsidTr="00E679CC">
        <w:trPr>
          <w:trHeight w:val="545"/>
          <w:jc w:val="center"/>
        </w:trPr>
        <w:tc>
          <w:tcPr>
            <w:tcW w:w="6091" w:type="dxa"/>
            <w:gridSpan w:val="4"/>
            <w:shd w:val="clear" w:color="auto" w:fill="auto"/>
            <w:vAlign w:val="bottom"/>
            <w:hideMark/>
          </w:tcPr>
          <w:p w14:paraId="7765ED03" w14:textId="77777777" w:rsidR="00E679CC" w:rsidRPr="00933CCB" w:rsidRDefault="00E679CC" w:rsidP="00E679CC">
            <w:pPr>
              <w:spacing w:after="0" w:line="240" w:lineRule="auto"/>
              <w:jc w:val="center"/>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PERIODO COMPRENDIDO ENTRE EL 1 DE DICIEMBRE DE 2015 HASTA EL 31 DE DICIEMBRE DE 2015</w:t>
            </w:r>
          </w:p>
        </w:tc>
      </w:tr>
      <w:tr w:rsidR="00E679CC" w:rsidRPr="00933CCB" w14:paraId="3265BE54" w14:textId="77777777" w:rsidTr="00E679CC">
        <w:trPr>
          <w:trHeight w:val="298"/>
          <w:jc w:val="center"/>
        </w:trPr>
        <w:tc>
          <w:tcPr>
            <w:tcW w:w="2632" w:type="dxa"/>
            <w:shd w:val="clear" w:color="auto" w:fill="auto"/>
            <w:noWrap/>
            <w:vAlign w:val="bottom"/>
            <w:hideMark/>
          </w:tcPr>
          <w:p w14:paraId="3EBF79FF"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SALARIO</w:t>
            </w:r>
          </w:p>
        </w:tc>
        <w:tc>
          <w:tcPr>
            <w:tcW w:w="1332" w:type="dxa"/>
            <w:gridSpan w:val="2"/>
            <w:shd w:val="clear" w:color="auto" w:fill="auto"/>
            <w:noWrap/>
            <w:vAlign w:val="bottom"/>
            <w:hideMark/>
          </w:tcPr>
          <w:p w14:paraId="52B7F75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845.000 </w:t>
            </w:r>
          </w:p>
        </w:tc>
        <w:tc>
          <w:tcPr>
            <w:tcW w:w="2127" w:type="dxa"/>
            <w:shd w:val="clear" w:color="auto" w:fill="auto"/>
            <w:noWrap/>
            <w:vAlign w:val="bottom"/>
            <w:hideMark/>
          </w:tcPr>
          <w:p w14:paraId="7697A36F"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28.167 </w:t>
            </w:r>
          </w:p>
        </w:tc>
      </w:tr>
      <w:tr w:rsidR="00E679CC" w:rsidRPr="00933CCB" w14:paraId="764ED3F7" w14:textId="77777777" w:rsidTr="00E679CC">
        <w:trPr>
          <w:trHeight w:val="298"/>
          <w:jc w:val="center"/>
        </w:trPr>
        <w:tc>
          <w:tcPr>
            <w:tcW w:w="2632" w:type="dxa"/>
            <w:shd w:val="clear" w:color="auto" w:fill="auto"/>
            <w:noWrap/>
            <w:vAlign w:val="bottom"/>
            <w:hideMark/>
          </w:tcPr>
          <w:p w14:paraId="044370AA"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EXTREMOS LABORALES</w:t>
            </w:r>
          </w:p>
        </w:tc>
        <w:tc>
          <w:tcPr>
            <w:tcW w:w="1198" w:type="dxa"/>
            <w:shd w:val="clear" w:color="auto" w:fill="auto"/>
            <w:noWrap/>
            <w:vAlign w:val="bottom"/>
            <w:hideMark/>
          </w:tcPr>
          <w:p w14:paraId="2A45DC90"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1/12/2015</w:t>
            </w:r>
          </w:p>
        </w:tc>
        <w:tc>
          <w:tcPr>
            <w:tcW w:w="2261" w:type="dxa"/>
            <w:gridSpan w:val="2"/>
            <w:shd w:val="clear" w:color="auto" w:fill="auto"/>
            <w:noWrap/>
            <w:vAlign w:val="bottom"/>
            <w:hideMark/>
          </w:tcPr>
          <w:p w14:paraId="552B39A2"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31/12/2015</w:t>
            </w:r>
          </w:p>
        </w:tc>
      </w:tr>
      <w:tr w:rsidR="00E679CC" w:rsidRPr="00933CCB" w14:paraId="6B1E0B9A" w14:textId="77777777" w:rsidTr="00E679CC">
        <w:trPr>
          <w:trHeight w:val="298"/>
          <w:jc w:val="center"/>
        </w:trPr>
        <w:tc>
          <w:tcPr>
            <w:tcW w:w="2632" w:type="dxa"/>
            <w:shd w:val="clear" w:color="auto" w:fill="auto"/>
            <w:noWrap/>
            <w:vAlign w:val="bottom"/>
            <w:hideMark/>
          </w:tcPr>
          <w:p w14:paraId="49269BF2" w14:textId="77777777" w:rsidR="00E679CC" w:rsidRPr="00933CCB" w:rsidRDefault="00E679CC" w:rsidP="00E679CC">
            <w:pPr>
              <w:spacing w:after="0" w:line="240" w:lineRule="auto"/>
              <w:jc w:val="right"/>
              <w:rPr>
                <w:rFonts w:asciiTheme="majorHAnsi" w:eastAsia="Times New Roman" w:hAnsiTheme="majorHAnsi" w:cstheme="majorHAnsi"/>
                <w:b/>
                <w:bCs/>
                <w:color w:val="000000"/>
                <w:kern w:val="0"/>
                <w:lang w:eastAsia="es-CO"/>
                <w14:ligatures w14:val="none"/>
              </w:rPr>
            </w:pPr>
          </w:p>
        </w:tc>
        <w:tc>
          <w:tcPr>
            <w:tcW w:w="1198" w:type="dxa"/>
            <w:shd w:val="clear" w:color="auto" w:fill="auto"/>
            <w:noWrap/>
            <w:vAlign w:val="bottom"/>
            <w:hideMark/>
          </w:tcPr>
          <w:p w14:paraId="69397E6F"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c>
          <w:tcPr>
            <w:tcW w:w="2261" w:type="dxa"/>
            <w:gridSpan w:val="2"/>
            <w:shd w:val="clear" w:color="auto" w:fill="auto"/>
            <w:noWrap/>
            <w:vAlign w:val="bottom"/>
            <w:hideMark/>
          </w:tcPr>
          <w:p w14:paraId="5DB45B43"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r>
      <w:tr w:rsidR="00E679CC" w:rsidRPr="00933CCB" w14:paraId="352E51CE" w14:textId="77777777" w:rsidTr="00E679CC">
        <w:trPr>
          <w:trHeight w:val="298"/>
          <w:jc w:val="center"/>
        </w:trPr>
        <w:tc>
          <w:tcPr>
            <w:tcW w:w="2632" w:type="dxa"/>
            <w:shd w:val="clear" w:color="auto" w:fill="auto"/>
            <w:noWrap/>
            <w:vAlign w:val="bottom"/>
            <w:hideMark/>
          </w:tcPr>
          <w:p w14:paraId="7C96856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DÍAS LABORADOS</w:t>
            </w:r>
          </w:p>
        </w:tc>
        <w:tc>
          <w:tcPr>
            <w:tcW w:w="1198" w:type="dxa"/>
            <w:shd w:val="clear" w:color="auto" w:fill="auto"/>
            <w:noWrap/>
            <w:vAlign w:val="bottom"/>
            <w:hideMark/>
          </w:tcPr>
          <w:p w14:paraId="35897772"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31</w:t>
            </w:r>
          </w:p>
        </w:tc>
        <w:tc>
          <w:tcPr>
            <w:tcW w:w="2261" w:type="dxa"/>
            <w:gridSpan w:val="2"/>
            <w:shd w:val="clear" w:color="auto" w:fill="auto"/>
            <w:noWrap/>
            <w:vAlign w:val="bottom"/>
            <w:hideMark/>
          </w:tcPr>
          <w:p w14:paraId="75B829F3" w14:textId="77777777" w:rsidR="00E679CC" w:rsidRPr="00615169"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615169">
              <w:rPr>
                <w:rFonts w:asciiTheme="majorHAnsi" w:eastAsia="Times New Roman" w:hAnsiTheme="majorHAnsi" w:cstheme="majorHAnsi"/>
                <w:b/>
                <w:bCs/>
                <w:color w:val="000000"/>
                <w:kern w:val="0"/>
                <w:lang w:eastAsia="es-CO"/>
                <w14:ligatures w14:val="none"/>
              </w:rPr>
              <w:t>VALOR ACTUALIZADO</w:t>
            </w:r>
          </w:p>
        </w:tc>
      </w:tr>
      <w:tr w:rsidR="00E679CC" w:rsidRPr="00933CCB" w14:paraId="361063F6" w14:textId="77777777" w:rsidTr="00E679CC">
        <w:trPr>
          <w:trHeight w:val="298"/>
          <w:jc w:val="center"/>
        </w:trPr>
        <w:tc>
          <w:tcPr>
            <w:tcW w:w="2632" w:type="dxa"/>
            <w:shd w:val="clear" w:color="auto" w:fill="auto"/>
            <w:noWrap/>
            <w:vAlign w:val="bottom"/>
            <w:hideMark/>
          </w:tcPr>
          <w:p w14:paraId="4D050F7F"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CESANTÍAS</w:t>
            </w:r>
          </w:p>
        </w:tc>
        <w:tc>
          <w:tcPr>
            <w:tcW w:w="1198" w:type="dxa"/>
            <w:shd w:val="clear" w:color="auto" w:fill="auto"/>
            <w:noWrap/>
            <w:vAlign w:val="bottom"/>
            <w:hideMark/>
          </w:tcPr>
          <w:p w14:paraId="563055CD"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72.764 </w:t>
            </w:r>
          </w:p>
        </w:tc>
        <w:tc>
          <w:tcPr>
            <w:tcW w:w="2261" w:type="dxa"/>
            <w:gridSpan w:val="2"/>
            <w:shd w:val="clear" w:color="auto" w:fill="auto"/>
            <w:noWrap/>
            <w:vAlign w:val="bottom"/>
            <w:hideMark/>
          </w:tcPr>
          <w:p w14:paraId="17586B13"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122.223 </w:t>
            </w:r>
          </w:p>
        </w:tc>
      </w:tr>
      <w:tr w:rsidR="00E679CC" w:rsidRPr="00933CCB" w14:paraId="035CB65D" w14:textId="77777777" w:rsidTr="00E679CC">
        <w:trPr>
          <w:trHeight w:val="298"/>
          <w:jc w:val="center"/>
        </w:trPr>
        <w:tc>
          <w:tcPr>
            <w:tcW w:w="2632" w:type="dxa"/>
            <w:shd w:val="clear" w:color="auto" w:fill="auto"/>
            <w:noWrap/>
            <w:vAlign w:val="bottom"/>
            <w:hideMark/>
          </w:tcPr>
          <w:p w14:paraId="2DD7A6B7"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INTERESES DE CESANTÍAS</w:t>
            </w:r>
          </w:p>
        </w:tc>
        <w:tc>
          <w:tcPr>
            <w:tcW w:w="1198" w:type="dxa"/>
            <w:shd w:val="clear" w:color="auto" w:fill="auto"/>
            <w:noWrap/>
            <w:vAlign w:val="bottom"/>
            <w:hideMark/>
          </w:tcPr>
          <w:p w14:paraId="452385DC"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752 </w:t>
            </w:r>
          </w:p>
        </w:tc>
        <w:tc>
          <w:tcPr>
            <w:tcW w:w="2261" w:type="dxa"/>
            <w:gridSpan w:val="2"/>
            <w:shd w:val="clear" w:color="auto" w:fill="auto"/>
            <w:noWrap/>
            <w:vAlign w:val="bottom"/>
            <w:hideMark/>
          </w:tcPr>
          <w:p w14:paraId="7ED3186B"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1.263 </w:t>
            </w:r>
          </w:p>
        </w:tc>
      </w:tr>
      <w:tr w:rsidR="00E679CC" w:rsidRPr="00933CCB" w14:paraId="70C44671" w14:textId="77777777" w:rsidTr="00E679CC">
        <w:trPr>
          <w:trHeight w:val="298"/>
          <w:jc w:val="center"/>
        </w:trPr>
        <w:tc>
          <w:tcPr>
            <w:tcW w:w="2632" w:type="dxa"/>
            <w:shd w:val="clear" w:color="auto" w:fill="auto"/>
            <w:noWrap/>
            <w:vAlign w:val="bottom"/>
            <w:hideMark/>
          </w:tcPr>
          <w:p w14:paraId="16CCBA12"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lastRenderedPageBreak/>
              <w:t>PRIMA DE SERVICIOS</w:t>
            </w:r>
          </w:p>
        </w:tc>
        <w:tc>
          <w:tcPr>
            <w:tcW w:w="1198" w:type="dxa"/>
            <w:shd w:val="clear" w:color="auto" w:fill="auto"/>
            <w:noWrap/>
            <w:vAlign w:val="bottom"/>
            <w:hideMark/>
          </w:tcPr>
          <w:p w14:paraId="470B056D"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72.764 </w:t>
            </w:r>
          </w:p>
        </w:tc>
        <w:tc>
          <w:tcPr>
            <w:tcW w:w="2261" w:type="dxa"/>
            <w:gridSpan w:val="2"/>
            <w:shd w:val="clear" w:color="auto" w:fill="auto"/>
            <w:noWrap/>
            <w:vAlign w:val="bottom"/>
            <w:hideMark/>
          </w:tcPr>
          <w:p w14:paraId="0CDC0BFB"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122.223 </w:t>
            </w:r>
          </w:p>
        </w:tc>
      </w:tr>
      <w:tr w:rsidR="00E679CC" w:rsidRPr="00933CCB" w14:paraId="0D45462E" w14:textId="77777777" w:rsidTr="00E679CC">
        <w:trPr>
          <w:trHeight w:val="298"/>
          <w:jc w:val="center"/>
        </w:trPr>
        <w:tc>
          <w:tcPr>
            <w:tcW w:w="2632" w:type="dxa"/>
            <w:shd w:val="clear" w:color="auto" w:fill="auto"/>
            <w:noWrap/>
            <w:vAlign w:val="bottom"/>
            <w:hideMark/>
          </w:tcPr>
          <w:p w14:paraId="34CF47F9"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APORTES A PENSIÓN (12%)</w:t>
            </w:r>
          </w:p>
        </w:tc>
        <w:tc>
          <w:tcPr>
            <w:tcW w:w="1198" w:type="dxa"/>
            <w:shd w:val="clear" w:color="auto" w:fill="auto"/>
            <w:noWrap/>
            <w:vAlign w:val="bottom"/>
            <w:hideMark/>
          </w:tcPr>
          <w:p w14:paraId="0F08FD18"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101.400 </w:t>
            </w:r>
          </w:p>
        </w:tc>
        <w:tc>
          <w:tcPr>
            <w:tcW w:w="2261" w:type="dxa"/>
            <w:gridSpan w:val="2"/>
            <w:shd w:val="clear" w:color="auto" w:fill="auto"/>
            <w:noWrap/>
            <w:vAlign w:val="bottom"/>
            <w:hideMark/>
          </w:tcPr>
          <w:p w14:paraId="66E228D4"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170.324 </w:t>
            </w:r>
          </w:p>
        </w:tc>
      </w:tr>
      <w:tr w:rsidR="00E679CC" w:rsidRPr="00933CCB" w14:paraId="6BEACCBB" w14:textId="77777777" w:rsidTr="00E679CC">
        <w:trPr>
          <w:trHeight w:val="298"/>
          <w:jc w:val="center"/>
        </w:trPr>
        <w:tc>
          <w:tcPr>
            <w:tcW w:w="2632" w:type="dxa"/>
            <w:shd w:val="clear" w:color="auto" w:fill="auto"/>
            <w:noWrap/>
            <w:vAlign w:val="bottom"/>
            <w:hideMark/>
          </w:tcPr>
          <w:p w14:paraId="35A1FB2C"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TOTAL</w:t>
            </w:r>
          </w:p>
        </w:tc>
        <w:tc>
          <w:tcPr>
            <w:tcW w:w="1198" w:type="dxa"/>
            <w:shd w:val="clear" w:color="auto" w:fill="auto"/>
            <w:noWrap/>
            <w:vAlign w:val="bottom"/>
            <w:hideMark/>
          </w:tcPr>
          <w:p w14:paraId="222DA41F"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247.680 </w:t>
            </w:r>
          </w:p>
        </w:tc>
        <w:tc>
          <w:tcPr>
            <w:tcW w:w="2261" w:type="dxa"/>
            <w:gridSpan w:val="2"/>
            <w:shd w:val="clear" w:color="auto" w:fill="auto"/>
            <w:noWrap/>
            <w:vAlign w:val="bottom"/>
            <w:hideMark/>
          </w:tcPr>
          <w:p w14:paraId="4BFE0AA2"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416.034 </w:t>
            </w:r>
          </w:p>
        </w:tc>
      </w:tr>
    </w:tbl>
    <w:p w14:paraId="35E1DE30" w14:textId="77777777" w:rsidR="00E679CC" w:rsidRPr="00933CCB" w:rsidRDefault="00E679CC" w:rsidP="00E679CC">
      <w:pPr>
        <w:spacing w:line="264" w:lineRule="exact"/>
        <w:ind w:right="-20"/>
        <w:jc w:val="both"/>
        <w:rPr>
          <w:rFonts w:asciiTheme="majorHAnsi" w:eastAsia="Calibri" w:hAnsiTheme="majorHAnsi" w:cstheme="majorHAnsi"/>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5"/>
        <w:gridCol w:w="1308"/>
        <w:gridCol w:w="2126"/>
      </w:tblGrid>
      <w:tr w:rsidR="00E679CC" w:rsidRPr="00933CCB" w14:paraId="4DC654EA" w14:textId="77777777" w:rsidTr="00E679CC">
        <w:trPr>
          <w:trHeight w:val="530"/>
          <w:jc w:val="center"/>
        </w:trPr>
        <w:tc>
          <w:tcPr>
            <w:tcW w:w="5949" w:type="dxa"/>
            <w:gridSpan w:val="3"/>
            <w:shd w:val="clear" w:color="auto" w:fill="auto"/>
            <w:vAlign w:val="bottom"/>
            <w:hideMark/>
          </w:tcPr>
          <w:p w14:paraId="42CD01AE" w14:textId="77777777" w:rsidR="00E679CC" w:rsidRPr="00933CCB" w:rsidRDefault="00E679CC" w:rsidP="00E679CC">
            <w:pPr>
              <w:spacing w:after="0" w:line="240" w:lineRule="auto"/>
              <w:jc w:val="center"/>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PERIODO COMPRENDIDO ENTRE EL 1 DE ENERO DE 2016 HASTA EL 30 DE ABRIL DE 2016</w:t>
            </w:r>
          </w:p>
        </w:tc>
      </w:tr>
      <w:tr w:rsidR="00E679CC" w:rsidRPr="00933CCB" w14:paraId="283BFAD1" w14:textId="77777777" w:rsidTr="00E679CC">
        <w:trPr>
          <w:trHeight w:val="290"/>
          <w:jc w:val="center"/>
        </w:trPr>
        <w:tc>
          <w:tcPr>
            <w:tcW w:w="2515" w:type="dxa"/>
            <w:shd w:val="clear" w:color="auto" w:fill="auto"/>
            <w:noWrap/>
            <w:vAlign w:val="bottom"/>
            <w:hideMark/>
          </w:tcPr>
          <w:p w14:paraId="4CB473A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SALARIO</w:t>
            </w:r>
          </w:p>
        </w:tc>
        <w:tc>
          <w:tcPr>
            <w:tcW w:w="1308" w:type="dxa"/>
            <w:shd w:val="clear" w:color="auto" w:fill="auto"/>
            <w:noWrap/>
            <w:vAlign w:val="bottom"/>
            <w:hideMark/>
          </w:tcPr>
          <w:p w14:paraId="41C5443A"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845.000 </w:t>
            </w:r>
          </w:p>
        </w:tc>
        <w:tc>
          <w:tcPr>
            <w:tcW w:w="2126" w:type="dxa"/>
            <w:shd w:val="clear" w:color="auto" w:fill="auto"/>
            <w:noWrap/>
            <w:vAlign w:val="bottom"/>
            <w:hideMark/>
          </w:tcPr>
          <w:p w14:paraId="47D74341"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28.167 </w:t>
            </w:r>
          </w:p>
        </w:tc>
      </w:tr>
      <w:tr w:rsidR="00E679CC" w:rsidRPr="00933CCB" w14:paraId="445D775C" w14:textId="77777777" w:rsidTr="00E679CC">
        <w:trPr>
          <w:trHeight w:val="290"/>
          <w:jc w:val="center"/>
        </w:trPr>
        <w:tc>
          <w:tcPr>
            <w:tcW w:w="2515" w:type="dxa"/>
            <w:shd w:val="clear" w:color="auto" w:fill="auto"/>
            <w:noWrap/>
            <w:vAlign w:val="bottom"/>
            <w:hideMark/>
          </w:tcPr>
          <w:p w14:paraId="2011F47A"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EXTREMOS LABORALES</w:t>
            </w:r>
          </w:p>
        </w:tc>
        <w:tc>
          <w:tcPr>
            <w:tcW w:w="1308" w:type="dxa"/>
            <w:shd w:val="clear" w:color="auto" w:fill="auto"/>
            <w:noWrap/>
            <w:vAlign w:val="bottom"/>
            <w:hideMark/>
          </w:tcPr>
          <w:p w14:paraId="6BDCA9E9"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1/01/2016</w:t>
            </w:r>
          </w:p>
        </w:tc>
        <w:tc>
          <w:tcPr>
            <w:tcW w:w="2126" w:type="dxa"/>
            <w:shd w:val="clear" w:color="auto" w:fill="auto"/>
            <w:noWrap/>
            <w:vAlign w:val="bottom"/>
            <w:hideMark/>
          </w:tcPr>
          <w:p w14:paraId="0B6F3553"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30/04/2016</w:t>
            </w:r>
          </w:p>
        </w:tc>
      </w:tr>
      <w:tr w:rsidR="00E679CC" w:rsidRPr="00933CCB" w14:paraId="79C28F63" w14:textId="77777777" w:rsidTr="00E679CC">
        <w:trPr>
          <w:trHeight w:val="290"/>
          <w:jc w:val="center"/>
        </w:trPr>
        <w:tc>
          <w:tcPr>
            <w:tcW w:w="2515" w:type="dxa"/>
            <w:shd w:val="clear" w:color="auto" w:fill="auto"/>
            <w:noWrap/>
            <w:vAlign w:val="bottom"/>
            <w:hideMark/>
          </w:tcPr>
          <w:p w14:paraId="50B8E5D4" w14:textId="77777777" w:rsidR="00E679CC" w:rsidRPr="00933CCB" w:rsidRDefault="00E679CC" w:rsidP="00E679CC">
            <w:pPr>
              <w:spacing w:after="0" w:line="240" w:lineRule="auto"/>
              <w:jc w:val="right"/>
              <w:rPr>
                <w:rFonts w:asciiTheme="majorHAnsi" w:eastAsia="Times New Roman" w:hAnsiTheme="majorHAnsi" w:cstheme="majorHAnsi"/>
                <w:b/>
                <w:bCs/>
                <w:color w:val="000000"/>
                <w:kern w:val="0"/>
                <w:lang w:eastAsia="es-CO"/>
                <w14:ligatures w14:val="none"/>
              </w:rPr>
            </w:pPr>
          </w:p>
        </w:tc>
        <w:tc>
          <w:tcPr>
            <w:tcW w:w="1308" w:type="dxa"/>
            <w:shd w:val="clear" w:color="auto" w:fill="auto"/>
            <w:noWrap/>
            <w:vAlign w:val="bottom"/>
            <w:hideMark/>
          </w:tcPr>
          <w:p w14:paraId="6055D4F3"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c>
          <w:tcPr>
            <w:tcW w:w="2126" w:type="dxa"/>
            <w:shd w:val="clear" w:color="auto" w:fill="auto"/>
            <w:noWrap/>
            <w:vAlign w:val="bottom"/>
            <w:hideMark/>
          </w:tcPr>
          <w:p w14:paraId="57D74D6F" w14:textId="77777777" w:rsidR="00E679CC" w:rsidRPr="00933CCB" w:rsidRDefault="00E679CC" w:rsidP="00E679CC">
            <w:pPr>
              <w:spacing w:after="0" w:line="240" w:lineRule="auto"/>
              <w:rPr>
                <w:rFonts w:asciiTheme="majorHAnsi" w:eastAsia="Times New Roman" w:hAnsiTheme="majorHAnsi" w:cstheme="majorHAnsi"/>
                <w:kern w:val="0"/>
                <w:lang w:eastAsia="es-CO"/>
                <w14:ligatures w14:val="none"/>
              </w:rPr>
            </w:pPr>
          </w:p>
        </w:tc>
      </w:tr>
      <w:tr w:rsidR="00E679CC" w:rsidRPr="00933CCB" w14:paraId="05B458BF" w14:textId="77777777" w:rsidTr="00E679CC">
        <w:trPr>
          <w:trHeight w:val="290"/>
          <w:jc w:val="center"/>
        </w:trPr>
        <w:tc>
          <w:tcPr>
            <w:tcW w:w="2515" w:type="dxa"/>
            <w:shd w:val="clear" w:color="auto" w:fill="auto"/>
            <w:noWrap/>
            <w:vAlign w:val="bottom"/>
            <w:hideMark/>
          </w:tcPr>
          <w:p w14:paraId="1B8953D2"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DÍAS LABORADOS</w:t>
            </w:r>
          </w:p>
        </w:tc>
        <w:tc>
          <w:tcPr>
            <w:tcW w:w="1308" w:type="dxa"/>
            <w:shd w:val="clear" w:color="auto" w:fill="auto"/>
            <w:noWrap/>
            <w:vAlign w:val="bottom"/>
            <w:hideMark/>
          </w:tcPr>
          <w:p w14:paraId="7E617108" w14:textId="77777777" w:rsidR="00E679CC" w:rsidRPr="00933CCB" w:rsidRDefault="00E679CC" w:rsidP="00E679CC">
            <w:pPr>
              <w:spacing w:after="0" w:line="240" w:lineRule="auto"/>
              <w:jc w:val="right"/>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120</w:t>
            </w:r>
          </w:p>
        </w:tc>
        <w:tc>
          <w:tcPr>
            <w:tcW w:w="2126" w:type="dxa"/>
            <w:shd w:val="clear" w:color="auto" w:fill="auto"/>
            <w:noWrap/>
            <w:vAlign w:val="bottom"/>
            <w:hideMark/>
          </w:tcPr>
          <w:p w14:paraId="7B3A46A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VALOR ACTUALIZADO</w:t>
            </w:r>
          </w:p>
        </w:tc>
      </w:tr>
      <w:tr w:rsidR="00E679CC" w:rsidRPr="00933CCB" w14:paraId="13BA5A79" w14:textId="77777777" w:rsidTr="00E679CC">
        <w:trPr>
          <w:trHeight w:val="290"/>
          <w:jc w:val="center"/>
        </w:trPr>
        <w:tc>
          <w:tcPr>
            <w:tcW w:w="2515" w:type="dxa"/>
            <w:shd w:val="clear" w:color="auto" w:fill="auto"/>
            <w:noWrap/>
            <w:vAlign w:val="bottom"/>
            <w:hideMark/>
          </w:tcPr>
          <w:p w14:paraId="72BD4B29"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CESANTÍAS</w:t>
            </w:r>
          </w:p>
        </w:tc>
        <w:tc>
          <w:tcPr>
            <w:tcW w:w="1308" w:type="dxa"/>
            <w:shd w:val="clear" w:color="auto" w:fill="auto"/>
            <w:noWrap/>
            <w:vAlign w:val="bottom"/>
            <w:hideMark/>
          </w:tcPr>
          <w:p w14:paraId="62F95170"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281.667 </w:t>
            </w:r>
          </w:p>
        </w:tc>
        <w:tc>
          <w:tcPr>
            <w:tcW w:w="2126" w:type="dxa"/>
            <w:shd w:val="clear" w:color="auto" w:fill="auto"/>
            <w:noWrap/>
            <w:vAlign w:val="bottom"/>
            <w:hideMark/>
          </w:tcPr>
          <w:p w14:paraId="11B6251C"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454.638 </w:t>
            </w:r>
          </w:p>
        </w:tc>
      </w:tr>
      <w:tr w:rsidR="00E679CC" w:rsidRPr="00933CCB" w14:paraId="3E1CBE0A" w14:textId="77777777" w:rsidTr="00E679CC">
        <w:trPr>
          <w:trHeight w:val="290"/>
          <w:jc w:val="center"/>
        </w:trPr>
        <w:tc>
          <w:tcPr>
            <w:tcW w:w="2515" w:type="dxa"/>
            <w:shd w:val="clear" w:color="auto" w:fill="auto"/>
            <w:noWrap/>
            <w:vAlign w:val="bottom"/>
            <w:hideMark/>
          </w:tcPr>
          <w:p w14:paraId="6F2D8961"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INTERESES DE CESANTÍAS</w:t>
            </w:r>
          </w:p>
        </w:tc>
        <w:tc>
          <w:tcPr>
            <w:tcW w:w="1308" w:type="dxa"/>
            <w:shd w:val="clear" w:color="auto" w:fill="auto"/>
            <w:noWrap/>
            <w:vAlign w:val="bottom"/>
            <w:hideMark/>
          </w:tcPr>
          <w:p w14:paraId="40FC3BA2"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11.267 </w:t>
            </w:r>
          </w:p>
        </w:tc>
        <w:tc>
          <w:tcPr>
            <w:tcW w:w="2126" w:type="dxa"/>
            <w:shd w:val="clear" w:color="auto" w:fill="auto"/>
            <w:noWrap/>
            <w:vAlign w:val="bottom"/>
            <w:hideMark/>
          </w:tcPr>
          <w:p w14:paraId="2788972F"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18.186 </w:t>
            </w:r>
          </w:p>
        </w:tc>
      </w:tr>
      <w:tr w:rsidR="00E679CC" w:rsidRPr="00933CCB" w14:paraId="238F1A84" w14:textId="77777777" w:rsidTr="00E679CC">
        <w:trPr>
          <w:trHeight w:val="290"/>
          <w:jc w:val="center"/>
        </w:trPr>
        <w:tc>
          <w:tcPr>
            <w:tcW w:w="2515" w:type="dxa"/>
            <w:shd w:val="clear" w:color="auto" w:fill="auto"/>
            <w:noWrap/>
            <w:vAlign w:val="bottom"/>
            <w:hideMark/>
          </w:tcPr>
          <w:p w14:paraId="6FB368E9"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PRIMA DE SERVICIOS</w:t>
            </w:r>
          </w:p>
        </w:tc>
        <w:tc>
          <w:tcPr>
            <w:tcW w:w="1308" w:type="dxa"/>
            <w:shd w:val="clear" w:color="auto" w:fill="auto"/>
            <w:noWrap/>
            <w:vAlign w:val="bottom"/>
            <w:hideMark/>
          </w:tcPr>
          <w:p w14:paraId="50CCA655"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281.667 </w:t>
            </w:r>
          </w:p>
        </w:tc>
        <w:tc>
          <w:tcPr>
            <w:tcW w:w="2126" w:type="dxa"/>
            <w:shd w:val="clear" w:color="auto" w:fill="auto"/>
            <w:noWrap/>
            <w:vAlign w:val="bottom"/>
            <w:hideMark/>
          </w:tcPr>
          <w:p w14:paraId="5615F61A"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454.638 </w:t>
            </w:r>
          </w:p>
        </w:tc>
      </w:tr>
      <w:tr w:rsidR="00E679CC" w:rsidRPr="00933CCB" w14:paraId="6D5475A4" w14:textId="77777777" w:rsidTr="00E679CC">
        <w:trPr>
          <w:trHeight w:val="290"/>
          <w:jc w:val="center"/>
        </w:trPr>
        <w:tc>
          <w:tcPr>
            <w:tcW w:w="2515" w:type="dxa"/>
            <w:shd w:val="clear" w:color="auto" w:fill="auto"/>
            <w:noWrap/>
            <w:vAlign w:val="bottom"/>
            <w:hideMark/>
          </w:tcPr>
          <w:p w14:paraId="43F8EFFA"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APORTES A PENSIÓN (12%)</w:t>
            </w:r>
          </w:p>
        </w:tc>
        <w:tc>
          <w:tcPr>
            <w:tcW w:w="1308" w:type="dxa"/>
            <w:shd w:val="clear" w:color="auto" w:fill="auto"/>
            <w:noWrap/>
            <w:vAlign w:val="bottom"/>
            <w:hideMark/>
          </w:tcPr>
          <w:p w14:paraId="401B223C"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405.600 </w:t>
            </w:r>
          </w:p>
        </w:tc>
        <w:tc>
          <w:tcPr>
            <w:tcW w:w="2126" w:type="dxa"/>
            <w:shd w:val="clear" w:color="auto" w:fill="auto"/>
            <w:noWrap/>
            <w:vAlign w:val="bottom"/>
            <w:hideMark/>
          </w:tcPr>
          <w:p w14:paraId="6BFD3E85"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681.297 </w:t>
            </w:r>
          </w:p>
        </w:tc>
      </w:tr>
      <w:tr w:rsidR="00E679CC" w:rsidRPr="00933CCB" w14:paraId="00949B1D" w14:textId="77777777" w:rsidTr="00E679CC">
        <w:trPr>
          <w:trHeight w:val="290"/>
          <w:jc w:val="center"/>
        </w:trPr>
        <w:tc>
          <w:tcPr>
            <w:tcW w:w="2515" w:type="dxa"/>
            <w:shd w:val="clear" w:color="auto" w:fill="auto"/>
            <w:noWrap/>
            <w:vAlign w:val="bottom"/>
            <w:hideMark/>
          </w:tcPr>
          <w:p w14:paraId="5C320232"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TOTAL</w:t>
            </w:r>
          </w:p>
        </w:tc>
        <w:tc>
          <w:tcPr>
            <w:tcW w:w="1308" w:type="dxa"/>
            <w:shd w:val="clear" w:color="auto" w:fill="auto"/>
            <w:noWrap/>
            <w:vAlign w:val="bottom"/>
            <w:hideMark/>
          </w:tcPr>
          <w:p w14:paraId="058B2E7B" w14:textId="77777777" w:rsidR="00E679CC" w:rsidRPr="00933CCB" w:rsidRDefault="00E679CC" w:rsidP="00E679CC">
            <w:pPr>
              <w:spacing w:after="0" w:line="240" w:lineRule="auto"/>
              <w:rPr>
                <w:rFonts w:asciiTheme="majorHAnsi" w:eastAsia="Times New Roman" w:hAnsiTheme="majorHAnsi" w:cstheme="majorHAnsi"/>
                <w:color w:val="000000"/>
                <w:kern w:val="0"/>
                <w:lang w:eastAsia="es-CO"/>
                <w14:ligatures w14:val="none"/>
              </w:rPr>
            </w:pPr>
            <w:r w:rsidRPr="00933CCB">
              <w:rPr>
                <w:rFonts w:asciiTheme="majorHAnsi" w:eastAsia="Times New Roman" w:hAnsiTheme="majorHAnsi" w:cstheme="majorHAnsi"/>
                <w:color w:val="000000"/>
                <w:kern w:val="0"/>
                <w:lang w:eastAsia="es-CO"/>
                <w14:ligatures w14:val="none"/>
              </w:rPr>
              <w:t xml:space="preserve"> $    980.200 </w:t>
            </w:r>
          </w:p>
        </w:tc>
        <w:tc>
          <w:tcPr>
            <w:tcW w:w="2126" w:type="dxa"/>
            <w:shd w:val="clear" w:color="auto" w:fill="auto"/>
            <w:noWrap/>
            <w:vAlign w:val="bottom"/>
            <w:hideMark/>
          </w:tcPr>
          <w:p w14:paraId="4782D0E4" w14:textId="77777777" w:rsidR="00E679CC" w:rsidRPr="00933CCB" w:rsidRDefault="00E679CC" w:rsidP="00E679CC">
            <w:pPr>
              <w:spacing w:after="0" w:line="240" w:lineRule="auto"/>
              <w:rPr>
                <w:rFonts w:asciiTheme="majorHAnsi" w:eastAsia="Times New Roman" w:hAnsiTheme="majorHAnsi" w:cstheme="majorHAnsi"/>
                <w:b/>
                <w:bCs/>
                <w:color w:val="000000"/>
                <w:kern w:val="0"/>
                <w:lang w:eastAsia="es-CO"/>
                <w14:ligatures w14:val="none"/>
              </w:rPr>
            </w:pPr>
            <w:r w:rsidRPr="00933CCB">
              <w:rPr>
                <w:rFonts w:asciiTheme="majorHAnsi" w:eastAsia="Times New Roman" w:hAnsiTheme="majorHAnsi" w:cstheme="majorHAnsi"/>
                <w:b/>
                <w:bCs/>
                <w:color w:val="000000"/>
                <w:kern w:val="0"/>
                <w:lang w:eastAsia="es-CO"/>
                <w14:ligatures w14:val="none"/>
              </w:rPr>
              <w:t xml:space="preserve"> $                 1.608.759 </w:t>
            </w:r>
          </w:p>
        </w:tc>
      </w:tr>
    </w:tbl>
    <w:p w14:paraId="02303325" w14:textId="3F1EFC25" w:rsidR="00E679CC" w:rsidRPr="00933CCB" w:rsidRDefault="00E679CC" w:rsidP="00E679CC">
      <w:pPr>
        <w:spacing w:line="264" w:lineRule="exact"/>
        <w:ind w:right="-20"/>
        <w:jc w:val="both"/>
        <w:rPr>
          <w:rFonts w:asciiTheme="majorHAnsi" w:eastAsia="Calibri" w:hAnsiTheme="majorHAnsi" w:cstheme="majorHAnsi"/>
        </w:rPr>
      </w:pPr>
    </w:p>
    <w:p w14:paraId="60028CE4" w14:textId="4175DA3A" w:rsidR="00237528" w:rsidRPr="00933CCB" w:rsidRDefault="00E679CC" w:rsidP="00BE79BB">
      <w:pPr>
        <w:spacing w:line="264" w:lineRule="exact"/>
        <w:ind w:right="-20"/>
        <w:jc w:val="both"/>
        <w:rPr>
          <w:rFonts w:asciiTheme="majorHAnsi" w:eastAsia="Calibri" w:hAnsiTheme="majorHAnsi" w:cstheme="majorHAnsi"/>
        </w:rPr>
      </w:pPr>
      <w:r w:rsidRPr="00933CCB">
        <w:rPr>
          <w:rFonts w:asciiTheme="majorHAnsi" w:eastAsia="Calibri" w:hAnsiTheme="majorHAnsi" w:cstheme="majorHAnsi"/>
          <w:b/>
          <w:bCs/>
        </w:rPr>
        <w:t xml:space="preserve">MONTO TOTAL DE LA CONDENA ACTUALIZADO: </w:t>
      </w:r>
      <w:r w:rsidR="00634600" w:rsidRPr="00933CCB">
        <w:rPr>
          <w:rFonts w:asciiTheme="majorHAnsi" w:eastAsia="Calibri" w:hAnsiTheme="majorHAnsi" w:cstheme="majorHAnsi"/>
          <w:b/>
          <w:bCs/>
        </w:rPr>
        <w:t xml:space="preserve">$ 4.098.153 </w:t>
      </w:r>
      <w:r w:rsidR="00634600" w:rsidRPr="00933CCB">
        <w:rPr>
          <w:rFonts w:asciiTheme="majorHAnsi" w:eastAsia="Calibri" w:hAnsiTheme="majorHAnsi" w:cstheme="majorHAnsi"/>
          <w:b/>
          <w:bCs/>
        </w:rPr>
        <w:tab/>
      </w:r>
      <w:r w:rsidR="00634600" w:rsidRPr="00933CCB">
        <w:rPr>
          <w:rFonts w:asciiTheme="majorHAnsi" w:eastAsia="Calibri" w:hAnsiTheme="majorHAnsi" w:cstheme="majorHAnsi"/>
          <w:b/>
          <w:bCs/>
        </w:rPr>
        <w:tab/>
      </w:r>
      <w:r w:rsidR="00634600" w:rsidRPr="00933CCB">
        <w:rPr>
          <w:rFonts w:asciiTheme="majorHAnsi" w:eastAsia="Calibri" w:hAnsiTheme="majorHAnsi" w:cstheme="majorHAnsi"/>
          <w:b/>
          <w:bCs/>
        </w:rPr>
        <w:tab/>
      </w:r>
    </w:p>
    <w:p w14:paraId="6F907817" w14:textId="212BA92E" w:rsidR="00634600" w:rsidRPr="00933CCB" w:rsidRDefault="002070F6" w:rsidP="00237528">
      <w:pPr>
        <w:jc w:val="both"/>
        <w:rPr>
          <w:rFonts w:asciiTheme="majorHAnsi" w:hAnsiTheme="majorHAnsi" w:cstheme="majorHAnsi"/>
          <w:b/>
          <w:bCs/>
        </w:rPr>
      </w:pPr>
      <w:r>
        <w:rPr>
          <w:rFonts w:asciiTheme="majorHAnsi" w:eastAsia="Calibri" w:hAnsiTheme="majorHAnsi" w:cstheme="majorHAnsi"/>
        </w:rPr>
        <w:t xml:space="preserve">Esta liquidación se realiza sin perjuicio de lo que eventualmente pueda decidir el </w:t>
      </w:r>
      <w:r w:rsidRPr="002070F6">
        <w:rPr>
          <w:rFonts w:asciiTheme="majorHAnsi" w:eastAsia="Calibri" w:hAnsiTheme="majorHAnsi" w:cstheme="majorHAnsi"/>
          <w:i/>
          <w:iCs/>
        </w:rPr>
        <w:t>Ad Quem</w:t>
      </w:r>
      <w:r>
        <w:rPr>
          <w:rFonts w:asciiTheme="majorHAnsi" w:eastAsia="Calibri" w:hAnsiTheme="majorHAnsi" w:cstheme="majorHAnsi"/>
        </w:rPr>
        <w:t xml:space="preserve">. </w:t>
      </w:r>
      <w:r w:rsidR="00634600" w:rsidRPr="00933CCB">
        <w:rPr>
          <w:rFonts w:asciiTheme="majorHAnsi" w:eastAsia="Calibri" w:hAnsiTheme="majorHAnsi" w:cstheme="majorHAnsi"/>
        </w:rPr>
        <w:t xml:space="preserve">Es necesario indicar que respecto a la indemnización artículo 65 del Código Sustantivo del Trabajo, la misma no se reconoce, teniendo en cuenta que el despacho no condenó en ese sentido y adicionalmente, existen pronunciamientos del Consejo de Estado que indican que es improcedente, debido a que la decisión que declara la relación laboral de una eventual sentencia condenatoria es constitutiva de derechos, y a partir de esta nacen los derechos laborales exigidos en la demanda, por ello, no es procedente en la medida en que la obligación de pagar las prestaciones sociales, surge a partir de la expedición de la sentencia que reconoce la relación laboral. Ver sentencia: Radicado: 05001-23-33-000-2015-00589-02 </w:t>
      </w:r>
      <w:proofErr w:type="spellStart"/>
      <w:r w:rsidR="00634600" w:rsidRPr="00933CCB">
        <w:rPr>
          <w:rFonts w:asciiTheme="majorHAnsi" w:eastAsia="Calibri" w:hAnsiTheme="majorHAnsi" w:cstheme="majorHAnsi"/>
        </w:rPr>
        <w:t>Nº</w:t>
      </w:r>
      <w:proofErr w:type="spellEnd"/>
      <w:r w:rsidR="00634600" w:rsidRPr="00933CCB">
        <w:rPr>
          <w:rFonts w:asciiTheme="majorHAnsi" w:eastAsia="Calibri" w:hAnsiTheme="majorHAnsi" w:cstheme="majorHAnsi"/>
        </w:rPr>
        <w:t xml:space="preserve"> Interno: 1241-2023 Medio de control: Nulidad y restablecimiento del derecho – Ley 1437 de 2011 Tema: Contrato realidad</w:t>
      </w:r>
    </w:p>
    <w:p w14:paraId="34A0D171" w14:textId="4031103A" w:rsidR="00237528" w:rsidRPr="00933CCB" w:rsidRDefault="00237528" w:rsidP="00237528">
      <w:pPr>
        <w:jc w:val="both"/>
        <w:rPr>
          <w:rFonts w:asciiTheme="majorHAnsi" w:hAnsiTheme="majorHAnsi" w:cstheme="majorHAnsi"/>
          <w:b/>
          <w:bCs/>
        </w:rPr>
      </w:pPr>
    </w:p>
    <w:p w14:paraId="4A5FC5BD" w14:textId="6B5C39D9" w:rsidR="00933CCB" w:rsidRPr="00615169" w:rsidRDefault="00933CCB" w:rsidP="00933CCB">
      <w:pPr>
        <w:pStyle w:val="Prrafodelista"/>
        <w:numPr>
          <w:ilvl w:val="0"/>
          <w:numId w:val="5"/>
        </w:numPr>
        <w:jc w:val="both"/>
        <w:rPr>
          <w:rFonts w:asciiTheme="majorHAnsi" w:hAnsiTheme="majorHAnsi" w:cstheme="majorHAnsi"/>
          <w:b/>
          <w:bCs/>
        </w:rPr>
      </w:pPr>
      <w:r>
        <w:rPr>
          <w:rFonts w:asciiTheme="majorHAnsi" w:hAnsiTheme="majorHAnsi" w:cstheme="majorHAnsi"/>
          <w:b/>
          <w:bCs/>
        </w:rPr>
        <w:t>CONCEPTO SOBRE POSIBILIDAD DE CONCILIACIÓN.</w:t>
      </w:r>
    </w:p>
    <w:p w14:paraId="64F10272" w14:textId="395EA5B0" w:rsidR="00933CCB" w:rsidRDefault="007A40C5" w:rsidP="00933CCB">
      <w:pPr>
        <w:jc w:val="both"/>
        <w:rPr>
          <w:rFonts w:asciiTheme="majorHAnsi" w:hAnsiTheme="majorHAnsi" w:cstheme="majorHAnsi"/>
        </w:rPr>
      </w:pPr>
      <w:r>
        <w:rPr>
          <w:rFonts w:asciiTheme="majorHAnsi" w:hAnsiTheme="majorHAnsi" w:cstheme="majorHAnsi"/>
        </w:rPr>
        <w:t xml:space="preserve">Debe indicarse que la vinculación de la compañía aseguradora al proceso, se dio con ocasión al llamamiento en garantía formulado por el SINDICATO SUSALUD, en virtud de la Póliza de Responsabilidad Civil Extracontractual No. </w:t>
      </w:r>
      <w:r w:rsidRPr="007A40C5">
        <w:rPr>
          <w:rFonts w:asciiTheme="majorHAnsi" w:hAnsiTheme="majorHAnsi" w:cstheme="majorHAnsi"/>
        </w:rPr>
        <w:t>435-74-994000006066</w:t>
      </w:r>
      <w:r>
        <w:rPr>
          <w:rFonts w:asciiTheme="majorHAnsi" w:hAnsiTheme="majorHAnsi" w:cstheme="majorHAnsi"/>
        </w:rPr>
        <w:t xml:space="preserve">; debido a la naturaleza de esta Póliza, no ofrece cobertura material para los hechos objeto de investigación, comoquiera que se excluye el amparo de la responsabilidad civil contractual del Estado, así como el riesgo derivado de incumplimientos de índole laboral; situación que fue reconocida por el despacho. Ahora bien, con el llamamiento en garantía, también se aportó la Póliza de Garantía Única de Cumplimiento en favor de Entidades Estatales No. </w:t>
      </w:r>
      <w:r w:rsidRPr="007A40C5">
        <w:rPr>
          <w:rFonts w:asciiTheme="majorHAnsi" w:hAnsiTheme="majorHAnsi" w:cstheme="majorHAnsi"/>
        </w:rPr>
        <w:t>43547</w:t>
      </w:r>
      <w:r>
        <w:rPr>
          <w:rFonts w:asciiTheme="majorHAnsi" w:hAnsiTheme="majorHAnsi" w:cstheme="majorHAnsi"/>
        </w:rPr>
        <w:t>-</w:t>
      </w:r>
      <w:r w:rsidRPr="007A40C5">
        <w:rPr>
          <w:rFonts w:asciiTheme="majorHAnsi" w:hAnsiTheme="majorHAnsi" w:cstheme="majorHAnsi"/>
        </w:rPr>
        <w:t>994000024178</w:t>
      </w:r>
      <w:r>
        <w:rPr>
          <w:rFonts w:asciiTheme="majorHAnsi" w:hAnsiTheme="majorHAnsi" w:cstheme="majorHAnsi"/>
        </w:rPr>
        <w:t xml:space="preserve">. Respecto a la cobertura material de esta Póliza debe indicarse que, fue la que utilizó el despacho para condenar a la compañía aseguradora, debido a que </w:t>
      </w:r>
      <w:r>
        <w:rPr>
          <w:rFonts w:asciiTheme="majorHAnsi" w:hAnsiTheme="majorHAnsi" w:cstheme="majorHAnsi"/>
        </w:rPr>
        <w:lastRenderedPageBreak/>
        <w:t>se encuentra amparado el pago de salarios, prestaciones sociales e indemnizaciones; concepto por el cual fue condenado de manera solidaria el SINDICATO SUSALUD, razón por la cual, la Póliza ofrece cobertura material.</w:t>
      </w:r>
      <w:r w:rsidR="00BE2048">
        <w:rPr>
          <w:rFonts w:asciiTheme="majorHAnsi" w:hAnsiTheme="majorHAnsi" w:cstheme="majorHAnsi"/>
        </w:rPr>
        <w:t xml:space="preserve"> Respecto a la cobertura temporal, debe indicarse que la Póliza cuenta con dos anexos con las siguientes vigencias: </w:t>
      </w:r>
      <w:r w:rsidR="00BE2048">
        <w:rPr>
          <w:rFonts w:asciiTheme="majorHAnsi" w:hAnsiTheme="majorHAnsi" w:cstheme="majorHAnsi"/>
          <w:i/>
          <w:iCs/>
        </w:rPr>
        <w:t xml:space="preserve">i) Anexo 0: </w:t>
      </w:r>
      <w:r w:rsidR="00BE2048">
        <w:rPr>
          <w:rFonts w:asciiTheme="majorHAnsi" w:hAnsiTheme="majorHAnsi" w:cstheme="majorHAnsi"/>
        </w:rPr>
        <w:t xml:space="preserve">Desde el 9 de enero de 2016 hasta el 30 de junio de 2019. </w:t>
      </w:r>
      <w:proofErr w:type="spellStart"/>
      <w:r w:rsidR="00BE2048">
        <w:rPr>
          <w:rFonts w:asciiTheme="majorHAnsi" w:hAnsiTheme="majorHAnsi" w:cstheme="majorHAnsi"/>
          <w:i/>
          <w:iCs/>
        </w:rPr>
        <w:t>Ii</w:t>
      </w:r>
      <w:proofErr w:type="spellEnd"/>
      <w:r w:rsidR="00BE2048">
        <w:rPr>
          <w:rFonts w:asciiTheme="majorHAnsi" w:hAnsiTheme="majorHAnsi" w:cstheme="majorHAnsi"/>
          <w:i/>
          <w:iCs/>
        </w:rPr>
        <w:t xml:space="preserve">) Anexo 1: </w:t>
      </w:r>
      <w:r w:rsidR="00BE2048">
        <w:rPr>
          <w:rFonts w:asciiTheme="majorHAnsi" w:hAnsiTheme="majorHAnsi" w:cstheme="majorHAnsi"/>
        </w:rPr>
        <w:t>Desde el 9 de enero de 2016 hasta e 31 de julio de 2019. Esta Póliza se pactó bajo la modalidad de cobertura de ocurrencia, amparando los siniestros que tengan lugar durante a vigencia de la Póliza. En el caso concreto, la vinculación de la demandante con SUSALUD (de la que se deriva su vinculación con la ESE) se dio durante la vigencia de la Póliza, por lo que ésta ofrece cobertura temporal para los hechos objeto de pronunciamiento judicial.</w:t>
      </w:r>
    </w:p>
    <w:p w14:paraId="3420A3FF" w14:textId="07D205C0" w:rsidR="00BE2048" w:rsidRDefault="00BE2048" w:rsidP="00933CCB">
      <w:pPr>
        <w:jc w:val="both"/>
        <w:rPr>
          <w:rFonts w:asciiTheme="majorHAnsi" w:hAnsiTheme="majorHAnsi" w:cstheme="majorHAnsi"/>
        </w:rPr>
      </w:pPr>
      <w:r>
        <w:rPr>
          <w:rFonts w:asciiTheme="majorHAnsi" w:hAnsiTheme="majorHAnsi" w:cstheme="majorHAnsi"/>
        </w:rPr>
        <w:t>Ahora bien, es necesario indicar que la vinculación laboral de la demandante con la ESE SURORIENTE se encuentra plenamente acreditada con las pruebas practicadas a lo largo del proceso,</w:t>
      </w:r>
      <w:r w:rsidR="00255FEF">
        <w:rPr>
          <w:rFonts w:asciiTheme="majorHAnsi" w:hAnsiTheme="majorHAnsi" w:cstheme="majorHAnsi"/>
        </w:rPr>
        <w:t xml:space="preserve"> pues a partir de las declaraciones rendidas en el proceso se probaron los elementos del contrato laboral.</w:t>
      </w:r>
    </w:p>
    <w:p w14:paraId="44E1B71C" w14:textId="6EE4A196" w:rsidR="00D063B1" w:rsidRDefault="002070F6" w:rsidP="00933CCB">
      <w:pPr>
        <w:jc w:val="both"/>
        <w:rPr>
          <w:rFonts w:asciiTheme="majorHAnsi" w:hAnsiTheme="majorHAnsi" w:cstheme="majorHAnsi"/>
        </w:rPr>
      </w:pPr>
      <w:r>
        <w:rPr>
          <w:rFonts w:asciiTheme="majorHAnsi" w:hAnsiTheme="majorHAnsi" w:cstheme="majorHAnsi"/>
        </w:rPr>
        <w:t xml:space="preserve">Finalmente, se debe precisar que la sentencia de primera instancia </w:t>
      </w:r>
      <w:r w:rsidR="004F09D4">
        <w:rPr>
          <w:rFonts w:asciiTheme="majorHAnsi" w:hAnsiTheme="majorHAnsi" w:cstheme="majorHAnsi"/>
        </w:rPr>
        <w:t xml:space="preserve">no fue clara en determinar el valor de la condena impuesta a la compañía aseguradora, razón por la cual, se solicitó una aclaración de la sentencia; sin embargo, esta no fue resuelta; por lo que se interpuso recurso de apelación en el que se insistió en la solicitud de aclaración. </w:t>
      </w:r>
      <w:r w:rsidR="009E4BE0">
        <w:rPr>
          <w:rFonts w:asciiTheme="majorHAnsi" w:hAnsiTheme="majorHAnsi" w:cstheme="majorHAnsi"/>
        </w:rPr>
        <w:t xml:space="preserve">Sobre la prosperidad del recurso de apelación, debe indicarse que es probable que la decisión de segunda instancia confirme la condena a la compañía por cuanto no existen elementos que permitan desvirtuar la decisión de primera instancia. </w:t>
      </w:r>
    </w:p>
    <w:p w14:paraId="7C827021" w14:textId="10246CF8" w:rsidR="00255FEF" w:rsidRPr="00BE2048" w:rsidRDefault="00255FEF" w:rsidP="00933CCB">
      <w:pPr>
        <w:jc w:val="both"/>
        <w:rPr>
          <w:rFonts w:asciiTheme="majorHAnsi" w:hAnsiTheme="majorHAnsi" w:cstheme="majorHAnsi"/>
        </w:rPr>
      </w:pPr>
      <w:r>
        <w:rPr>
          <w:rFonts w:asciiTheme="majorHAnsi" w:hAnsiTheme="majorHAnsi" w:cstheme="majorHAnsi"/>
        </w:rPr>
        <w:t xml:space="preserve">En mérito de lo expuesto, se recomienda iniciar con un acercamiento conciliatorio por un valor equivalente al 70% de la condena de primera instancia; es decir, la suma de </w:t>
      </w:r>
      <w:r w:rsidRPr="00933CCB">
        <w:rPr>
          <w:rFonts w:asciiTheme="majorHAnsi" w:eastAsia="Calibri" w:hAnsiTheme="majorHAnsi" w:cstheme="majorHAnsi"/>
          <w:b/>
          <w:bCs/>
        </w:rPr>
        <w:t xml:space="preserve">$ </w:t>
      </w:r>
      <w:r>
        <w:rPr>
          <w:rFonts w:asciiTheme="majorHAnsi" w:eastAsia="Calibri" w:hAnsiTheme="majorHAnsi" w:cstheme="majorHAnsi"/>
          <w:b/>
          <w:bCs/>
        </w:rPr>
        <w:t>2.868.707.</w:t>
      </w:r>
    </w:p>
    <w:sectPr w:rsidR="00255FEF" w:rsidRPr="00BE20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56EC"/>
    <w:multiLevelType w:val="hybridMultilevel"/>
    <w:tmpl w:val="4EF2ECFA"/>
    <w:lvl w:ilvl="0" w:tplc="DAF20EB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413E3A7F"/>
    <w:multiLevelType w:val="hybridMultilevel"/>
    <w:tmpl w:val="344470DE"/>
    <w:lvl w:ilvl="0" w:tplc="00FADB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D97B60"/>
    <w:multiLevelType w:val="hybridMultilevel"/>
    <w:tmpl w:val="5ED8D74C"/>
    <w:lvl w:ilvl="0" w:tplc="3314D240">
      <w:start w:val="1"/>
      <w:numFmt w:val="upperRoman"/>
      <w:lvlText w:val="%1."/>
      <w:lvlJc w:val="left"/>
      <w:pPr>
        <w:ind w:left="1080" w:hanging="72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162623"/>
    <w:multiLevelType w:val="hybridMultilevel"/>
    <w:tmpl w:val="1DF82D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16551579">
    <w:abstractNumId w:val="2"/>
  </w:num>
  <w:num w:numId="2" w16cid:durableId="1183588719">
    <w:abstractNumId w:val="5"/>
  </w:num>
  <w:num w:numId="3" w16cid:durableId="2036231928">
    <w:abstractNumId w:val="6"/>
  </w:num>
  <w:num w:numId="4" w16cid:durableId="208542644">
    <w:abstractNumId w:val="3"/>
  </w:num>
  <w:num w:numId="5" w16cid:durableId="691031608">
    <w:abstractNumId w:val="1"/>
  </w:num>
  <w:num w:numId="6" w16cid:durableId="2035185741">
    <w:abstractNumId w:val="0"/>
  </w:num>
  <w:num w:numId="7" w16cid:durableId="194402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15FAE"/>
    <w:rsid w:val="00077738"/>
    <w:rsid w:val="000B2213"/>
    <w:rsid w:val="000E3867"/>
    <w:rsid w:val="001145A3"/>
    <w:rsid w:val="00130E53"/>
    <w:rsid w:val="001E7713"/>
    <w:rsid w:val="002070F6"/>
    <w:rsid w:val="0023604D"/>
    <w:rsid w:val="00237528"/>
    <w:rsid w:val="00245A8D"/>
    <w:rsid w:val="00255FEF"/>
    <w:rsid w:val="002B7B16"/>
    <w:rsid w:val="002C2FC1"/>
    <w:rsid w:val="002E2963"/>
    <w:rsid w:val="0030206E"/>
    <w:rsid w:val="00322D7E"/>
    <w:rsid w:val="0036098E"/>
    <w:rsid w:val="00394358"/>
    <w:rsid w:val="003E69F2"/>
    <w:rsid w:val="004010B9"/>
    <w:rsid w:val="00494C81"/>
    <w:rsid w:val="004F09D4"/>
    <w:rsid w:val="005D68B0"/>
    <w:rsid w:val="005F6F1F"/>
    <w:rsid w:val="00615169"/>
    <w:rsid w:val="00634600"/>
    <w:rsid w:val="00684142"/>
    <w:rsid w:val="006C36B7"/>
    <w:rsid w:val="00706445"/>
    <w:rsid w:val="00724815"/>
    <w:rsid w:val="00744E3E"/>
    <w:rsid w:val="007A40C5"/>
    <w:rsid w:val="007F431C"/>
    <w:rsid w:val="008668AE"/>
    <w:rsid w:val="00895C60"/>
    <w:rsid w:val="008A61DC"/>
    <w:rsid w:val="008C4C99"/>
    <w:rsid w:val="008C59D7"/>
    <w:rsid w:val="008D67E9"/>
    <w:rsid w:val="008E3715"/>
    <w:rsid w:val="0090575D"/>
    <w:rsid w:val="009142A8"/>
    <w:rsid w:val="00933CCB"/>
    <w:rsid w:val="0094751A"/>
    <w:rsid w:val="0096148A"/>
    <w:rsid w:val="009B451D"/>
    <w:rsid w:val="009D615B"/>
    <w:rsid w:val="009E4BE0"/>
    <w:rsid w:val="009E750C"/>
    <w:rsid w:val="00A70B4B"/>
    <w:rsid w:val="00AB307D"/>
    <w:rsid w:val="00AE329B"/>
    <w:rsid w:val="00B0444E"/>
    <w:rsid w:val="00B82B09"/>
    <w:rsid w:val="00BA5814"/>
    <w:rsid w:val="00BE2048"/>
    <w:rsid w:val="00BE79BB"/>
    <w:rsid w:val="00BF0E59"/>
    <w:rsid w:val="00CB57B3"/>
    <w:rsid w:val="00CB68EE"/>
    <w:rsid w:val="00CC7E92"/>
    <w:rsid w:val="00CE1F97"/>
    <w:rsid w:val="00CF73C5"/>
    <w:rsid w:val="00D00398"/>
    <w:rsid w:val="00D063B1"/>
    <w:rsid w:val="00D127E8"/>
    <w:rsid w:val="00D80AAB"/>
    <w:rsid w:val="00E364ED"/>
    <w:rsid w:val="00E40014"/>
    <w:rsid w:val="00E60502"/>
    <w:rsid w:val="00E679CC"/>
    <w:rsid w:val="00ED2507"/>
    <w:rsid w:val="00F5651C"/>
    <w:rsid w:val="00F73A81"/>
    <w:rsid w:val="00F91B2A"/>
    <w:rsid w:val="00FC4B58"/>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CCB"/>
    <w:pPr>
      <w:spacing w:after="0" w:line="240" w:lineRule="auto"/>
      <w:ind w:left="720"/>
      <w:contextualSpacing/>
    </w:pPr>
    <w:rPr>
      <w:rFonts w:ascii="Arial" w:eastAsia="Times New Roman" w:hAnsi="Arial" w:cs="Times New Roman"/>
      <w:kern w:val="0"/>
      <w:szCs w:val="24"/>
      <w:lang w:val="es-ES" w:eastAsia="es-ES"/>
      <w14:ligatures w14:val="none"/>
    </w:rPr>
  </w:style>
  <w:style w:type="character" w:styleId="Refdecomentario">
    <w:name w:val="annotation reference"/>
    <w:basedOn w:val="Fuentedeprrafopredeter"/>
    <w:uiPriority w:val="99"/>
    <w:semiHidden/>
    <w:unhideWhenUsed/>
    <w:rsid w:val="00E364ED"/>
    <w:rPr>
      <w:sz w:val="16"/>
      <w:szCs w:val="16"/>
    </w:rPr>
  </w:style>
  <w:style w:type="paragraph" w:styleId="Textocomentario">
    <w:name w:val="annotation text"/>
    <w:basedOn w:val="Normal"/>
    <w:link w:val="TextocomentarioCar"/>
    <w:uiPriority w:val="99"/>
    <w:unhideWhenUsed/>
    <w:rsid w:val="00E364ED"/>
    <w:pPr>
      <w:spacing w:line="240" w:lineRule="auto"/>
    </w:pPr>
    <w:rPr>
      <w:sz w:val="20"/>
      <w:szCs w:val="20"/>
    </w:rPr>
  </w:style>
  <w:style w:type="character" w:customStyle="1" w:styleId="TextocomentarioCar">
    <w:name w:val="Texto comentario Car"/>
    <w:basedOn w:val="Fuentedeprrafopredeter"/>
    <w:link w:val="Textocomentario"/>
    <w:uiPriority w:val="99"/>
    <w:rsid w:val="00E364ED"/>
    <w:rPr>
      <w:sz w:val="20"/>
      <w:szCs w:val="20"/>
    </w:rPr>
  </w:style>
  <w:style w:type="paragraph" w:styleId="Asuntodelcomentario">
    <w:name w:val="annotation subject"/>
    <w:basedOn w:val="Textocomentario"/>
    <w:next w:val="Textocomentario"/>
    <w:link w:val="AsuntodelcomentarioCar"/>
    <w:uiPriority w:val="99"/>
    <w:semiHidden/>
    <w:unhideWhenUsed/>
    <w:rsid w:val="00E364ED"/>
    <w:rPr>
      <w:b/>
      <w:bCs/>
    </w:rPr>
  </w:style>
  <w:style w:type="character" w:customStyle="1" w:styleId="AsuntodelcomentarioCar">
    <w:name w:val="Asunto del comentario Car"/>
    <w:basedOn w:val="TextocomentarioCar"/>
    <w:link w:val="Asuntodelcomentario"/>
    <w:uiPriority w:val="99"/>
    <w:semiHidden/>
    <w:rsid w:val="00E364ED"/>
    <w:rPr>
      <w:b/>
      <w:bCs/>
      <w:sz w:val="20"/>
      <w:szCs w:val="20"/>
    </w:rPr>
  </w:style>
  <w:style w:type="paragraph" w:styleId="Revisin">
    <w:name w:val="Revision"/>
    <w:hidden/>
    <w:uiPriority w:val="99"/>
    <w:semiHidden/>
    <w:rsid w:val="00E364ED"/>
    <w:pPr>
      <w:spacing w:after="0" w:line="240" w:lineRule="auto"/>
    </w:pPr>
  </w:style>
  <w:style w:type="table" w:styleId="Tablaconcuadrcula">
    <w:name w:val="Table Grid"/>
    <w:basedOn w:val="Tablanormal"/>
    <w:uiPriority w:val="39"/>
    <w:rsid w:val="005D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057">
      <w:bodyDiv w:val="1"/>
      <w:marLeft w:val="0"/>
      <w:marRight w:val="0"/>
      <w:marTop w:val="0"/>
      <w:marBottom w:val="0"/>
      <w:divBdr>
        <w:top w:val="none" w:sz="0" w:space="0" w:color="auto"/>
        <w:left w:val="none" w:sz="0" w:space="0" w:color="auto"/>
        <w:bottom w:val="none" w:sz="0" w:space="0" w:color="auto"/>
        <w:right w:val="none" w:sz="0" w:space="0" w:color="auto"/>
      </w:divBdr>
    </w:div>
    <w:div w:id="102111592">
      <w:bodyDiv w:val="1"/>
      <w:marLeft w:val="0"/>
      <w:marRight w:val="0"/>
      <w:marTop w:val="0"/>
      <w:marBottom w:val="0"/>
      <w:divBdr>
        <w:top w:val="none" w:sz="0" w:space="0" w:color="auto"/>
        <w:left w:val="none" w:sz="0" w:space="0" w:color="auto"/>
        <w:bottom w:val="none" w:sz="0" w:space="0" w:color="auto"/>
        <w:right w:val="none" w:sz="0" w:space="0" w:color="auto"/>
      </w:divBdr>
    </w:div>
    <w:div w:id="111479960">
      <w:bodyDiv w:val="1"/>
      <w:marLeft w:val="0"/>
      <w:marRight w:val="0"/>
      <w:marTop w:val="0"/>
      <w:marBottom w:val="0"/>
      <w:divBdr>
        <w:top w:val="none" w:sz="0" w:space="0" w:color="auto"/>
        <w:left w:val="none" w:sz="0" w:space="0" w:color="auto"/>
        <w:bottom w:val="none" w:sz="0" w:space="0" w:color="auto"/>
        <w:right w:val="none" w:sz="0" w:space="0" w:color="auto"/>
      </w:divBdr>
    </w:div>
    <w:div w:id="114643650">
      <w:bodyDiv w:val="1"/>
      <w:marLeft w:val="0"/>
      <w:marRight w:val="0"/>
      <w:marTop w:val="0"/>
      <w:marBottom w:val="0"/>
      <w:divBdr>
        <w:top w:val="none" w:sz="0" w:space="0" w:color="auto"/>
        <w:left w:val="none" w:sz="0" w:space="0" w:color="auto"/>
        <w:bottom w:val="none" w:sz="0" w:space="0" w:color="auto"/>
        <w:right w:val="none" w:sz="0" w:space="0" w:color="auto"/>
      </w:divBdr>
    </w:div>
    <w:div w:id="239948972">
      <w:bodyDiv w:val="1"/>
      <w:marLeft w:val="0"/>
      <w:marRight w:val="0"/>
      <w:marTop w:val="0"/>
      <w:marBottom w:val="0"/>
      <w:divBdr>
        <w:top w:val="none" w:sz="0" w:space="0" w:color="auto"/>
        <w:left w:val="none" w:sz="0" w:space="0" w:color="auto"/>
        <w:bottom w:val="none" w:sz="0" w:space="0" w:color="auto"/>
        <w:right w:val="none" w:sz="0" w:space="0" w:color="auto"/>
      </w:divBdr>
    </w:div>
    <w:div w:id="337269469">
      <w:bodyDiv w:val="1"/>
      <w:marLeft w:val="0"/>
      <w:marRight w:val="0"/>
      <w:marTop w:val="0"/>
      <w:marBottom w:val="0"/>
      <w:divBdr>
        <w:top w:val="none" w:sz="0" w:space="0" w:color="auto"/>
        <w:left w:val="none" w:sz="0" w:space="0" w:color="auto"/>
        <w:bottom w:val="none" w:sz="0" w:space="0" w:color="auto"/>
        <w:right w:val="none" w:sz="0" w:space="0" w:color="auto"/>
      </w:divBdr>
    </w:div>
    <w:div w:id="352150074">
      <w:bodyDiv w:val="1"/>
      <w:marLeft w:val="0"/>
      <w:marRight w:val="0"/>
      <w:marTop w:val="0"/>
      <w:marBottom w:val="0"/>
      <w:divBdr>
        <w:top w:val="none" w:sz="0" w:space="0" w:color="auto"/>
        <w:left w:val="none" w:sz="0" w:space="0" w:color="auto"/>
        <w:bottom w:val="none" w:sz="0" w:space="0" w:color="auto"/>
        <w:right w:val="none" w:sz="0" w:space="0" w:color="auto"/>
      </w:divBdr>
    </w:div>
    <w:div w:id="371810157">
      <w:bodyDiv w:val="1"/>
      <w:marLeft w:val="0"/>
      <w:marRight w:val="0"/>
      <w:marTop w:val="0"/>
      <w:marBottom w:val="0"/>
      <w:divBdr>
        <w:top w:val="none" w:sz="0" w:space="0" w:color="auto"/>
        <w:left w:val="none" w:sz="0" w:space="0" w:color="auto"/>
        <w:bottom w:val="none" w:sz="0" w:space="0" w:color="auto"/>
        <w:right w:val="none" w:sz="0" w:space="0" w:color="auto"/>
      </w:divBdr>
    </w:div>
    <w:div w:id="505167946">
      <w:bodyDiv w:val="1"/>
      <w:marLeft w:val="0"/>
      <w:marRight w:val="0"/>
      <w:marTop w:val="0"/>
      <w:marBottom w:val="0"/>
      <w:divBdr>
        <w:top w:val="none" w:sz="0" w:space="0" w:color="auto"/>
        <w:left w:val="none" w:sz="0" w:space="0" w:color="auto"/>
        <w:bottom w:val="none" w:sz="0" w:space="0" w:color="auto"/>
        <w:right w:val="none" w:sz="0" w:space="0" w:color="auto"/>
      </w:divBdr>
    </w:div>
    <w:div w:id="525170394">
      <w:bodyDiv w:val="1"/>
      <w:marLeft w:val="0"/>
      <w:marRight w:val="0"/>
      <w:marTop w:val="0"/>
      <w:marBottom w:val="0"/>
      <w:divBdr>
        <w:top w:val="none" w:sz="0" w:space="0" w:color="auto"/>
        <w:left w:val="none" w:sz="0" w:space="0" w:color="auto"/>
        <w:bottom w:val="none" w:sz="0" w:space="0" w:color="auto"/>
        <w:right w:val="none" w:sz="0" w:space="0" w:color="auto"/>
      </w:divBdr>
    </w:div>
    <w:div w:id="591012524">
      <w:bodyDiv w:val="1"/>
      <w:marLeft w:val="0"/>
      <w:marRight w:val="0"/>
      <w:marTop w:val="0"/>
      <w:marBottom w:val="0"/>
      <w:divBdr>
        <w:top w:val="none" w:sz="0" w:space="0" w:color="auto"/>
        <w:left w:val="none" w:sz="0" w:space="0" w:color="auto"/>
        <w:bottom w:val="none" w:sz="0" w:space="0" w:color="auto"/>
        <w:right w:val="none" w:sz="0" w:space="0" w:color="auto"/>
      </w:divBdr>
    </w:div>
    <w:div w:id="599682179">
      <w:bodyDiv w:val="1"/>
      <w:marLeft w:val="0"/>
      <w:marRight w:val="0"/>
      <w:marTop w:val="0"/>
      <w:marBottom w:val="0"/>
      <w:divBdr>
        <w:top w:val="none" w:sz="0" w:space="0" w:color="auto"/>
        <w:left w:val="none" w:sz="0" w:space="0" w:color="auto"/>
        <w:bottom w:val="none" w:sz="0" w:space="0" w:color="auto"/>
        <w:right w:val="none" w:sz="0" w:space="0" w:color="auto"/>
      </w:divBdr>
    </w:div>
    <w:div w:id="632491868">
      <w:bodyDiv w:val="1"/>
      <w:marLeft w:val="0"/>
      <w:marRight w:val="0"/>
      <w:marTop w:val="0"/>
      <w:marBottom w:val="0"/>
      <w:divBdr>
        <w:top w:val="none" w:sz="0" w:space="0" w:color="auto"/>
        <w:left w:val="none" w:sz="0" w:space="0" w:color="auto"/>
        <w:bottom w:val="none" w:sz="0" w:space="0" w:color="auto"/>
        <w:right w:val="none" w:sz="0" w:space="0" w:color="auto"/>
      </w:divBdr>
    </w:div>
    <w:div w:id="753865261">
      <w:bodyDiv w:val="1"/>
      <w:marLeft w:val="0"/>
      <w:marRight w:val="0"/>
      <w:marTop w:val="0"/>
      <w:marBottom w:val="0"/>
      <w:divBdr>
        <w:top w:val="none" w:sz="0" w:space="0" w:color="auto"/>
        <w:left w:val="none" w:sz="0" w:space="0" w:color="auto"/>
        <w:bottom w:val="none" w:sz="0" w:space="0" w:color="auto"/>
        <w:right w:val="none" w:sz="0" w:space="0" w:color="auto"/>
      </w:divBdr>
    </w:div>
    <w:div w:id="761487092">
      <w:bodyDiv w:val="1"/>
      <w:marLeft w:val="0"/>
      <w:marRight w:val="0"/>
      <w:marTop w:val="0"/>
      <w:marBottom w:val="0"/>
      <w:divBdr>
        <w:top w:val="none" w:sz="0" w:space="0" w:color="auto"/>
        <w:left w:val="none" w:sz="0" w:space="0" w:color="auto"/>
        <w:bottom w:val="none" w:sz="0" w:space="0" w:color="auto"/>
        <w:right w:val="none" w:sz="0" w:space="0" w:color="auto"/>
      </w:divBdr>
    </w:div>
    <w:div w:id="793254134">
      <w:bodyDiv w:val="1"/>
      <w:marLeft w:val="0"/>
      <w:marRight w:val="0"/>
      <w:marTop w:val="0"/>
      <w:marBottom w:val="0"/>
      <w:divBdr>
        <w:top w:val="none" w:sz="0" w:space="0" w:color="auto"/>
        <w:left w:val="none" w:sz="0" w:space="0" w:color="auto"/>
        <w:bottom w:val="none" w:sz="0" w:space="0" w:color="auto"/>
        <w:right w:val="none" w:sz="0" w:space="0" w:color="auto"/>
      </w:divBdr>
    </w:div>
    <w:div w:id="969629050">
      <w:bodyDiv w:val="1"/>
      <w:marLeft w:val="0"/>
      <w:marRight w:val="0"/>
      <w:marTop w:val="0"/>
      <w:marBottom w:val="0"/>
      <w:divBdr>
        <w:top w:val="none" w:sz="0" w:space="0" w:color="auto"/>
        <w:left w:val="none" w:sz="0" w:space="0" w:color="auto"/>
        <w:bottom w:val="none" w:sz="0" w:space="0" w:color="auto"/>
        <w:right w:val="none" w:sz="0" w:space="0" w:color="auto"/>
      </w:divBdr>
    </w:div>
    <w:div w:id="1013919988">
      <w:bodyDiv w:val="1"/>
      <w:marLeft w:val="0"/>
      <w:marRight w:val="0"/>
      <w:marTop w:val="0"/>
      <w:marBottom w:val="0"/>
      <w:divBdr>
        <w:top w:val="none" w:sz="0" w:space="0" w:color="auto"/>
        <w:left w:val="none" w:sz="0" w:space="0" w:color="auto"/>
        <w:bottom w:val="none" w:sz="0" w:space="0" w:color="auto"/>
        <w:right w:val="none" w:sz="0" w:space="0" w:color="auto"/>
      </w:divBdr>
    </w:div>
    <w:div w:id="1180587535">
      <w:bodyDiv w:val="1"/>
      <w:marLeft w:val="0"/>
      <w:marRight w:val="0"/>
      <w:marTop w:val="0"/>
      <w:marBottom w:val="0"/>
      <w:divBdr>
        <w:top w:val="none" w:sz="0" w:space="0" w:color="auto"/>
        <w:left w:val="none" w:sz="0" w:space="0" w:color="auto"/>
        <w:bottom w:val="none" w:sz="0" w:space="0" w:color="auto"/>
        <w:right w:val="none" w:sz="0" w:space="0" w:color="auto"/>
      </w:divBdr>
    </w:div>
    <w:div w:id="1249271865">
      <w:bodyDiv w:val="1"/>
      <w:marLeft w:val="0"/>
      <w:marRight w:val="0"/>
      <w:marTop w:val="0"/>
      <w:marBottom w:val="0"/>
      <w:divBdr>
        <w:top w:val="none" w:sz="0" w:space="0" w:color="auto"/>
        <w:left w:val="none" w:sz="0" w:space="0" w:color="auto"/>
        <w:bottom w:val="none" w:sz="0" w:space="0" w:color="auto"/>
        <w:right w:val="none" w:sz="0" w:space="0" w:color="auto"/>
      </w:divBdr>
    </w:div>
    <w:div w:id="1297762328">
      <w:bodyDiv w:val="1"/>
      <w:marLeft w:val="0"/>
      <w:marRight w:val="0"/>
      <w:marTop w:val="0"/>
      <w:marBottom w:val="0"/>
      <w:divBdr>
        <w:top w:val="none" w:sz="0" w:space="0" w:color="auto"/>
        <w:left w:val="none" w:sz="0" w:space="0" w:color="auto"/>
        <w:bottom w:val="none" w:sz="0" w:space="0" w:color="auto"/>
        <w:right w:val="none" w:sz="0" w:space="0" w:color="auto"/>
      </w:divBdr>
    </w:div>
    <w:div w:id="1343437554">
      <w:bodyDiv w:val="1"/>
      <w:marLeft w:val="0"/>
      <w:marRight w:val="0"/>
      <w:marTop w:val="0"/>
      <w:marBottom w:val="0"/>
      <w:divBdr>
        <w:top w:val="none" w:sz="0" w:space="0" w:color="auto"/>
        <w:left w:val="none" w:sz="0" w:space="0" w:color="auto"/>
        <w:bottom w:val="none" w:sz="0" w:space="0" w:color="auto"/>
        <w:right w:val="none" w:sz="0" w:space="0" w:color="auto"/>
      </w:divBdr>
    </w:div>
    <w:div w:id="1385567606">
      <w:bodyDiv w:val="1"/>
      <w:marLeft w:val="0"/>
      <w:marRight w:val="0"/>
      <w:marTop w:val="0"/>
      <w:marBottom w:val="0"/>
      <w:divBdr>
        <w:top w:val="none" w:sz="0" w:space="0" w:color="auto"/>
        <w:left w:val="none" w:sz="0" w:space="0" w:color="auto"/>
        <w:bottom w:val="none" w:sz="0" w:space="0" w:color="auto"/>
        <w:right w:val="none" w:sz="0" w:space="0" w:color="auto"/>
      </w:divBdr>
    </w:div>
    <w:div w:id="1399285613">
      <w:bodyDiv w:val="1"/>
      <w:marLeft w:val="0"/>
      <w:marRight w:val="0"/>
      <w:marTop w:val="0"/>
      <w:marBottom w:val="0"/>
      <w:divBdr>
        <w:top w:val="none" w:sz="0" w:space="0" w:color="auto"/>
        <w:left w:val="none" w:sz="0" w:space="0" w:color="auto"/>
        <w:bottom w:val="none" w:sz="0" w:space="0" w:color="auto"/>
        <w:right w:val="none" w:sz="0" w:space="0" w:color="auto"/>
      </w:divBdr>
    </w:div>
    <w:div w:id="1525822530">
      <w:bodyDiv w:val="1"/>
      <w:marLeft w:val="0"/>
      <w:marRight w:val="0"/>
      <w:marTop w:val="0"/>
      <w:marBottom w:val="0"/>
      <w:divBdr>
        <w:top w:val="none" w:sz="0" w:space="0" w:color="auto"/>
        <w:left w:val="none" w:sz="0" w:space="0" w:color="auto"/>
        <w:bottom w:val="none" w:sz="0" w:space="0" w:color="auto"/>
        <w:right w:val="none" w:sz="0" w:space="0" w:color="auto"/>
      </w:divBdr>
    </w:div>
    <w:div w:id="1527909110">
      <w:bodyDiv w:val="1"/>
      <w:marLeft w:val="0"/>
      <w:marRight w:val="0"/>
      <w:marTop w:val="0"/>
      <w:marBottom w:val="0"/>
      <w:divBdr>
        <w:top w:val="none" w:sz="0" w:space="0" w:color="auto"/>
        <w:left w:val="none" w:sz="0" w:space="0" w:color="auto"/>
        <w:bottom w:val="none" w:sz="0" w:space="0" w:color="auto"/>
        <w:right w:val="none" w:sz="0" w:space="0" w:color="auto"/>
      </w:divBdr>
    </w:div>
    <w:div w:id="1566135941">
      <w:bodyDiv w:val="1"/>
      <w:marLeft w:val="0"/>
      <w:marRight w:val="0"/>
      <w:marTop w:val="0"/>
      <w:marBottom w:val="0"/>
      <w:divBdr>
        <w:top w:val="none" w:sz="0" w:space="0" w:color="auto"/>
        <w:left w:val="none" w:sz="0" w:space="0" w:color="auto"/>
        <w:bottom w:val="none" w:sz="0" w:space="0" w:color="auto"/>
        <w:right w:val="none" w:sz="0" w:space="0" w:color="auto"/>
      </w:divBdr>
    </w:div>
    <w:div w:id="1697536005">
      <w:bodyDiv w:val="1"/>
      <w:marLeft w:val="0"/>
      <w:marRight w:val="0"/>
      <w:marTop w:val="0"/>
      <w:marBottom w:val="0"/>
      <w:divBdr>
        <w:top w:val="none" w:sz="0" w:space="0" w:color="auto"/>
        <w:left w:val="none" w:sz="0" w:space="0" w:color="auto"/>
        <w:bottom w:val="none" w:sz="0" w:space="0" w:color="auto"/>
        <w:right w:val="none" w:sz="0" w:space="0" w:color="auto"/>
      </w:divBdr>
    </w:div>
    <w:div w:id="1724794551">
      <w:bodyDiv w:val="1"/>
      <w:marLeft w:val="0"/>
      <w:marRight w:val="0"/>
      <w:marTop w:val="0"/>
      <w:marBottom w:val="0"/>
      <w:divBdr>
        <w:top w:val="none" w:sz="0" w:space="0" w:color="auto"/>
        <w:left w:val="none" w:sz="0" w:space="0" w:color="auto"/>
        <w:bottom w:val="none" w:sz="0" w:space="0" w:color="auto"/>
        <w:right w:val="none" w:sz="0" w:space="0" w:color="auto"/>
      </w:divBdr>
    </w:div>
    <w:div w:id="1749302115">
      <w:bodyDiv w:val="1"/>
      <w:marLeft w:val="0"/>
      <w:marRight w:val="0"/>
      <w:marTop w:val="0"/>
      <w:marBottom w:val="0"/>
      <w:divBdr>
        <w:top w:val="none" w:sz="0" w:space="0" w:color="auto"/>
        <w:left w:val="none" w:sz="0" w:space="0" w:color="auto"/>
        <w:bottom w:val="none" w:sz="0" w:space="0" w:color="auto"/>
        <w:right w:val="none" w:sz="0" w:space="0" w:color="auto"/>
      </w:divBdr>
    </w:div>
    <w:div w:id="1775440535">
      <w:bodyDiv w:val="1"/>
      <w:marLeft w:val="0"/>
      <w:marRight w:val="0"/>
      <w:marTop w:val="0"/>
      <w:marBottom w:val="0"/>
      <w:divBdr>
        <w:top w:val="none" w:sz="0" w:space="0" w:color="auto"/>
        <w:left w:val="none" w:sz="0" w:space="0" w:color="auto"/>
        <w:bottom w:val="none" w:sz="0" w:space="0" w:color="auto"/>
        <w:right w:val="none" w:sz="0" w:space="0" w:color="auto"/>
      </w:divBdr>
    </w:div>
    <w:div w:id="1816487233">
      <w:bodyDiv w:val="1"/>
      <w:marLeft w:val="0"/>
      <w:marRight w:val="0"/>
      <w:marTop w:val="0"/>
      <w:marBottom w:val="0"/>
      <w:divBdr>
        <w:top w:val="none" w:sz="0" w:space="0" w:color="auto"/>
        <w:left w:val="none" w:sz="0" w:space="0" w:color="auto"/>
        <w:bottom w:val="none" w:sz="0" w:space="0" w:color="auto"/>
        <w:right w:val="none" w:sz="0" w:space="0" w:color="auto"/>
      </w:divBdr>
    </w:div>
    <w:div w:id="1824930678">
      <w:bodyDiv w:val="1"/>
      <w:marLeft w:val="0"/>
      <w:marRight w:val="0"/>
      <w:marTop w:val="0"/>
      <w:marBottom w:val="0"/>
      <w:divBdr>
        <w:top w:val="none" w:sz="0" w:space="0" w:color="auto"/>
        <w:left w:val="none" w:sz="0" w:space="0" w:color="auto"/>
        <w:bottom w:val="none" w:sz="0" w:space="0" w:color="auto"/>
        <w:right w:val="none" w:sz="0" w:space="0" w:color="auto"/>
      </w:divBdr>
    </w:div>
    <w:div w:id="1862280898">
      <w:bodyDiv w:val="1"/>
      <w:marLeft w:val="0"/>
      <w:marRight w:val="0"/>
      <w:marTop w:val="0"/>
      <w:marBottom w:val="0"/>
      <w:divBdr>
        <w:top w:val="none" w:sz="0" w:space="0" w:color="auto"/>
        <w:left w:val="none" w:sz="0" w:space="0" w:color="auto"/>
        <w:bottom w:val="none" w:sz="0" w:space="0" w:color="auto"/>
        <w:right w:val="none" w:sz="0" w:space="0" w:color="auto"/>
      </w:divBdr>
    </w:div>
    <w:div w:id="1950507667">
      <w:bodyDiv w:val="1"/>
      <w:marLeft w:val="0"/>
      <w:marRight w:val="0"/>
      <w:marTop w:val="0"/>
      <w:marBottom w:val="0"/>
      <w:divBdr>
        <w:top w:val="none" w:sz="0" w:space="0" w:color="auto"/>
        <w:left w:val="none" w:sz="0" w:space="0" w:color="auto"/>
        <w:bottom w:val="none" w:sz="0" w:space="0" w:color="auto"/>
        <w:right w:val="none" w:sz="0" w:space="0" w:color="auto"/>
      </w:divBdr>
    </w:div>
    <w:div w:id="21102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E1F-8887-454E-A975-485A24B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2025-03-28T13:22:00Z</dcterms:created>
  <dcterms:modified xsi:type="dcterms:W3CDTF">2025-03-28T13:22:00Z</dcterms:modified>
</cp:coreProperties>
</file>