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CONSEJO DE ESTADO</w:t>
      </w: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SALA DE LO CONTENCIOSO ADMINISTRATIVO</w:t>
      </w: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SECCIÓN TERCERA</w:t>
      </w: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SUBSECCIÓN B</w:t>
      </w: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CE648C" w:rsidRPr="004F47C9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lang w:val="es-CO"/>
        </w:rPr>
      </w:pPr>
      <w:r>
        <w:rPr>
          <w:rFonts w:ascii="Arial" w:eastAsia="Arial" w:hAnsi="Arial" w:cs="Arial"/>
          <w:b/>
          <w:color w:val="000000"/>
        </w:rPr>
        <w:t xml:space="preserve">Magistrado ponente: </w:t>
      </w:r>
      <w:r w:rsidRPr="004F47C9">
        <w:rPr>
          <w:rFonts w:ascii="Arial" w:eastAsia="Arial" w:hAnsi="Arial" w:cs="Arial"/>
          <w:b/>
          <w:color w:val="000000"/>
          <w:lang w:val="es-CO"/>
        </w:rPr>
        <w:t>Alberto Montaña Plata</w:t>
      </w: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CE648C" w:rsidRDefault="00CE648C" w:rsidP="00CE6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Bogotá D.C., doce (12</w:t>
      </w:r>
      <w:r w:rsidRPr="00A9038D">
        <w:rPr>
          <w:rFonts w:ascii="Arial" w:eastAsia="Arial" w:hAnsi="Arial" w:cs="Arial"/>
          <w:color w:val="000000"/>
        </w:rPr>
        <w:t xml:space="preserve">) de </w:t>
      </w:r>
      <w:r>
        <w:rPr>
          <w:rFonts w:ascii="Arial" w:eastAsia="Arial" w:hAnsi="Arial" w:cs="Arial"/>
          <w:color w:val="000000"/>
        </w:rPr>
        <w:t>febrero</w:t>
      </w:r>
      <w:r w:rsidRPr="00A9038D">
        <w:rPr>
          <w:rFonts w:ascii="Arial" w:eastAsia="Arial" w:hAnsi="Arial" w:cs="Arial"/>
          <w:color w:val="000000"/>
        </w:rPr>
        <w:t xml:space="preserve"> de dos mil veinti</w:t>
      </w:r>
      <w:r>
        <w:rPr>
          <w:rFonts w:ascii="Arial" w:eastAsia="Arial" w:hAnsi="Arial" w:cs="Arial"/>
          <w:color w:val="000000"/>
        </w:rPr>
        <w:t>cuatro (2024</w:t>
      </w:r>
      <w:r w:rsidRPr="00A9038D">
        <w:rPr>
          <w:rFonts w:ascii="Arial" w:eastAsia="Arial" w:hAnsi="Arial" w:cs="Arial"/>
          <w:color w:val="000000"/>
        </w:rPr>
        <w:t>)</w:t>
      </w:r>
    </w:p>
    <w:p w:rsidR="00CE648C" w:rsidRDefault="00CE648C" w:rsidP="00CE648C">
      <w:pPr>
        <w:spacing w:line="276" w:lineRule="auto"/>
        <w:jc w:val="center"/>
        <w:rPr>
          <w:rFonts w:ascii="Arial" w:eastAsia="Arial" w:hAnsi="Arial" w:cs="Arial"/>
        </w:rPr>
      </w:pPr>
    </w:p>
    <w:p w:rsidR="00CE648C" w:rsidRDefault="00CE648C" w:rsidP="00CE648C">
      <w:pPr>
        <w:widowControl w:val="0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Referencia: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Acción de tutela</w:t>
      </w:r>
    </w:p>
    <w:p w:rsidR="00CE648C" w:rsidRPr="008712A9" w:rsidRDefault="00CE648C" w:rsidP="00CE648C">
      <w:pPr>
        <w:tabs>
          <w:tab w:val="left" w:pos="1985"/>
        </w:tabs>
        <w:spacing w:line="276" w:lineRule="auto"/>
        <w:rPr>
          <w:rFonts w:ascii="Arial" w:eastAsia="Arial" w:hAnsi="Arial" w:cs="Arial"/>
          <w:bCs/>
          <w:highlight w:val="white"/>
          <w:lang w:val="es-CO"/>
        </w:rPr>
      </w:pPr>
      <w:r>
        <w:rPr>
          <w:rFonts w:ascii="Arial" w:eastAsia="Arial" w:hAnsi="Arial" w:cs="Arial"/>
          <w:b/>
        </w:rPr>
        <w:t>Radicación: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CE648C">
        <w:rPr>
          <w:rFonts w:ascii="Arial" w:eastAsia="Arial" w:hAnsi="Arial" w:cs="Arial"/>
          <w:bCs/>
          <w:lang w:val="es-ES"/>
        </w:rPr>
        <w:t>11001-03-15-000-</w:t>
      </w:r>
      <w:bookmarkStart w:id="0" w:name="_GoBack"/>
      <w:r w:rsidRPr="00CE648C">
        <w:rPr>
          <w:rFonts w:ascii="Arial" w:eastAsia="Arial" w:hAnsi="Arial" w:cs="Arial"/>
          <w:bCs/>
          <w:lang w:val="es-ES"/>
        </w:rPr>
        <w:t>2023-04691-01</w:t>
      </w:r>
      <w:bookmarkEnd w:id="0"/>
    </w:p>
    <w:p w:rsidR="00CE648C" w:rsidRPr="008712A9" w:rsidRDefault="00CE648C" w:rsidP="00CE648C">
      <w:pPr>
        <w:widowControl w:val="0"/>
        <w:spacing w:line="276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b/>
        </w:rPr>
        <w:t>Accionantes:</w:t>
      </w:r>
      <w:r>
        <w:rPr>
          <w:rFonts w:ascii="Arial" w:eastAsia="Arial" w:hAnsi="Arial" w:cs="Arial"/>
        </w:rPr>
        <w:tab/>
      </w:r>
      <w:r w:rsidRPr="00CE648C">
        <w:rPr>
          <w:rFonts w:ascii="Arial" w:eastAsia="Arial" w:hAnsi="Arial" w:cs="Arial"/>
          <w:lang w:val="es-ES"/>
        </w:rPr>
        <w:t>Carolina Ocampo Martínez</w:t>
      </w:r>
    </w:p>
    <w:p w:rsidR="00CE648C" w:rsidRPr="008712A9" w:rsidRDefault="00CE648C" w:rsidP="00CE648C">
      <w:pPr>
        <w:widowControl w:val="0"/>
        <w:spacing w:line="276" w:lineRule="auto"/>
        <w:jc w:val="both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b/>
        </w:rPr>
        <w:t>Accionado:</w:t>
      </w:r>
      <w:r>
        <w:rPr>
          <w:rFonts w:ascii="Arial" w:eastAsia="Arial" w:hAnsi="Arial" w:cs="Arial"/>
        </w:rPr>
        <w:tab/>
        <w:t xml:space="preserve">           </w:t>
      </w:r>
      <w:r w:rsidRPr="00CE648C">
        <w:rPr>
          <w:rFonts w:ascii="Arial" w:eastAsia="Arial" w:hAnsi="Arial" w:cs="Arial"/>
          <w:lang w:val="es-ES"/>
        </w:rPr>
        <w:t>Tribunal Administrativo de Valle del Cauca</w:t>
      </w:r>
    </w:p>
    <w:p w:rsidR="00CE648C" w:rsidRDefault="00CE648C" w:rsidP="00CE648C">
      <w:pPr>
        <w:widowControl w:val="0"/>
        <w:spacing w:line="276" w:lineRule="auto"/>
        <w:jc w:val="both"/>
        <w:rPr>
          <w:rFonts w:ascii="Arial" w:eastAsia="Arial" w:hAnsi="Arial" w:cs="Arial"/>
        </w:rPr>
      </w:pPr>
    </w:p>
    <w:p w:rsidR="00CE648C" w:rsidRDefault="00CE648C" w:rsidP="00CE648C">
      <w:pPr>
        <w:spacing w:line="276" w:lineRule="auto"/>
        <w:jc w:val="both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b/>
        </w:rPr>
        <w:t xml:space="preserve">Temas: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sz w:val="23"/>
          <w:szCs w:val="23"/>
        </w:rPr>
        <w:t>Acción de tutela contra providencia judicial / Se cumple el requisito de</w:t>
      </w:r>
    </w:p>
    <w:p w:rsidR="00CE648C" w:rsidRDefault="00CE648C" w:rsidP="00CE648C">
      <w:pPr>
        <w:spacing w:line="276" w:lineRule="auto"/>
        <w:ind w:left="2124" w:firstLine="36"/>
        <w:jc w:val="both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relevancia constitucional por carga mínima / Se debió revocar la decisión de improcedencia y negar el amparo</w:t>
      </w:r>
    </w:p>
    <w:p w:rsidR="00CE648C" w:rsidRDefault="00CE648C" w:rsidP="00CE648C">
      <w:pPr>
        <w:spacing w:line="276" w:lineRule="auto"/>
        <w:ind w:left="1440" w:firstLine="720"/>
        <w:jc w:val="both"/>
        <w:rPr>
          <w:rFonts w:ascii="Arial" w:eastAsia="Arial" w:hAnsi="Arial" w:cs="Arial"/>
          <w:i/>
        </w:rPr>
      </w:pPr>
    </w:p>
    <w:p w:rsidR="00CE648C" w:rsidRDefault="00CE648C" w:rsidP="00CE648C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Aclaración de voto del magistrado Martín Bermúdez Muñoz</w:t>
      </w:r>
    </w:p>
    <w:p w:rsidR="00CE648C" w:rsidRPr="007F6388" w:rsidRDefault="00CE648C" w:rsidP="00CE648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comparto la decisión de confirmar la decisión de declarar la improcedencia de la acción de tutela por incumplimiento del requisito de relevancia constitucional. La posición mayoritaria de la Sala consideró </w:t>
      </w:r>
      <w:r w:rsidRPr="007F6388"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 xml:space="preserve">mediante </w:t>
      </w:r>
      <w:r w:rsidRPr="007F6388">
        <w:rPr>
          <w:rFonts w:ascii="Arial" w:eastAsia="Arial" w:hAnsi="Arial" w:cs="Arial"/>
        </w:rPr>
        <w:t xml:space="preserve">la solicitud de amparo </w:t>
      </w:r>
      <w:r>
        <w:rPr>
          <w:rFonts w:ascii="Arial" w:eastAsia="Arial" w:hAnsi="Arial" w:cs="Arial"/>
        </w:rPr>
        <w:t xml:space="preserve">se pretendió reabrir </w:t>
      </w:r>
      <w:r w:rsidRPr="007F6388">
        <w:rPr>
          <w:rFonts w:ascii="Arial" w:eastAsia="Arial" w:hAnsi="Arial" w:cs="Arial"/>
        </w:rPr>
        <w:t>un debate meramente legal</w:t>
      </w:r>
      <w:r>
        <w:rPr>
          <w:rFonts w:ascii="Arial" w:eastAsia="Arial" w:hAnsi="Arial" w:cs="Arial"/>
        </w:rPr>
        <w:t>,</w:t>
      </w:r>
      <w:r w:rsidRPr="007F6388">
        <w:rPr>
          <w:rFonts w:ascii="Arial" w:eastAsia="Arial" w:hAnsi="Arial" w:cs="Arial"/>
        </w:rPr>
        <w:t xml:space="preserve"> propio del proceso ordinario</w:t>
      </w:r>
      <w:r>
        <w:rPr>
          <w:rFonts w:ascii="Arial" w:eastAsia="Arial" w:hAnsi="Arial" w:cs="Arial"/>
        </w:rPr>
        <w:t>,</w:t>
      </w:r>
      <w:r w:rsidRPr="007F6388">
        <w:rPr>
          <w:rFonts w:ascii="Arial" w:eastAsia="Arial" w:hAnsi="Arial" w:cs="Arial"/>
        </w:rPr>
        <w:t xml:space="preserve"> porque </w:t>
      </w:r>
      <w:r>
        <w:rPr>
          <w:rFonts w:ascii="Arial" w:eastAsia="Arial" w:hAnsi="Arial" w:cs="Arial"/>
        </w:rPr>
        <w:t>la accionante reiteró</w:t>
      </w:r>
      <w:r w:rsidRPr="007F6388">
        <w:rPr>
          <w:rFonts w:ascii="Arial" w:eastAsia="Arial" w:hAnsi="Arial" w:cs="Arial"/>
        </w:rPr>
        <w:t xml:space="preserve"> los argumentos de la apelación.</w:t>
      </w:r>
    </w:p>
    <w:p w:rsidR="00CE648C" w:rsidRPr="00CE648C" w:rsidRDefault="00CE648C" w:rsidP="00CE648C">
      <w:pPr>
        <w:spacing w:before="240" w:after="240"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1.- El requisito de relevancia constitucional por caga mínima argumentativa se cumplió, </w:t>
      </w:r>
      <w:r w:rsidRPr="00F24907">
        <w:rPr>
          <w:rFonts w:ascii="Arial" w:eastAsia="Arial" w:hAnsi="Arial" w:cs="Arial"/>
        </w:rPr>
        <w:t xml:space="preserve">pues </w:t>
      </w:r>
      <w:r>
        <w:rPr>
          <w:rFonts w:ascii="Arial" w:eastAsia="Arial" w:hAnsi="Arial" w:cs="Arial"/>
        </w:rPr>
        <w:t>la</w:t>
      </w:r>
      <w:r w:rsidRPr="00F24907">
        <w:rPr>
          <w:rFonts w:ascii="Arial" w:eastAsia="Arial" w:hAnsi="Arial" w:cs="Arial"/>
        </w:rPr>
        <w:t xml:space="preserve"> accionante </w:t>
      </w:r>
      <w:r>
        <w:rPr>
          <w:rFonts w:ascii="Arial" w:eastAsia="Arial" w:hAnsi="Arial" w:cs="Arial"/>
        </w:rPr>
        <w:t xml:space="preserve">si bien no </w:t>
      </w:r>
      <w:r w:rsidRPr="00F24907">
        <w:rPr>
          <w:rFonts w:ascii="Arial" w:eastAsia="Arial" w:hAnsi="Arial" w:cs="Arial"/>
        </w:rPr>
        <w:t>señal</w:t>
      </w:r>
      <w:r>
        <w:rPr>
          <w:rFonts w:ascii="Arial" w:eastAsia="Arial" w:hAnsi="Arial" w:cs="Arial"/>
        </w:rPr>
        <w:t>ó</w:t>
      </w:r>
      <w:r w:rsidRPr="00F24907">
        <w:rPr>
          <w:rFonts w:ascii="Arial" w:eastAsia="Arial" w:hAnsi="Arial" w:cs="Arial"/>
        </w:rPr>
        <w:t xml:space="preserve"> el derecho fundamental que consider</w:t>
      </w:r>
      <w:r>
        <w:rPr>
          <w:rFonts w:ascii="Arial" w:eastAsia="Arial" w:hAnsi="Arial" w:cs="Arial"/>
        </w:rPr>
        <w:t xml:space="preserve">ó vulnerado ni </w:t>
      </w:r>
      <w:r w:rsidRPr="00F24907">
        <w:rPr>
          <w:rFonts w:ascii="Arial" w:eastAsia="Arial" w:hAnsi="Arial" w:cs="Arial"/>
        </w:rPr>
        <w:t xml:space="preserve"> identific</w:t>
      </w:r>
      <w:r>
        <w:rPr>
          <w:rFonts w:ascii="Arial" w:eastAsia="Arial" w:hAnsi="Arial" w:cs="Arial"/>
        </w:rPr>
        <w:t>ó</w:t>
      </w:r>
      <w:r w:rsidRPr="00F24907">
        <w:rPr>
          <w:rFonts w:ascii="Arial" w:eastAsia="Arial" w:hAnsi="Arial" w:cs="Arial"/>
        </w:rPr>
        <w:t xml:space="preserve"> el defecto que, en su concepto, se configuró con la decisión acusada</w:t>
      </w:r>
      <w:r>
        <w:rPr>
          <w:rFonts w:ascii="Arial" w:eastAsia="Arial" w:hAnsi="Arial" w:cs="Arial"/>
        </w:rPr>
        <w:t xml:space="preserve">, de lo expuesto en los fundamentos de derechos es posible identificar un </w:t>
      </w:r>
      <w:r w:rsidRPr="00F24907">
        <w:rPr>
          <w:rFonts w:ascii="Arial" w:eastAsia="Arial" w:hAnsi="Arial" w:cs="Arial"/>
        </w:rPr>
        <w:t xml:space="preserve">defecto </w:t>
      </w:r>
      <w:r>
        <w:rPr>
          <w:rFonts w:ascii="Arial" w:eastAsia="Arial" w:hAnsi="Arial" w:cs="Arial"/>
        </w:rPr>
        <w:t xml:space="preserve">fáctico, al indicar que el tribunal </w:t>
      </w:r>
      <w:r w:rsidRPr="00CE648C">
        <w:rPr>
          <w:rFonts w:ascii="Arial" w:eastAsia="Arial" w:hAnsi="Arial" w:cs="Arial"/>
          <w:i/>
        </w:rPr>
        <w:t>valoró de forma indebida el informe policial del accidente de</w:t>
      </w:r>
      <w:r>
        <w:rPr>
          <w:rFonts w:ascii="Arial" w:eastAsia="Arial" w:hAnsi="Arial" w:cs="Arial"/>
          <w:i/>
        </w:rPr>
        <w:t xml:space="preserve"> </w:t>
      </w:r>
      <w:r w:rsidRPr="00CE648C">
        <w:rPr>
          <w:rFonts w:ascii="Arial" w:eastAsia="Arial" w:hAnsi="Arial" w:cs="Arial"/>
          <w:i/>
        </w:rPr>
        <w:t>tráfico, pues la hipótesis allí contenida no tenía soporte probatorio.</w:t>
      </w:r>
    </w:p>
    <w:p w:rsidR="00CE648C" w:rsidRDefault="00CE648C" w:rsidP="00CE64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  <w:lang w:val="es-ES"/>
        </w:rPr>
      </w:pPr>
      <w:r w:rsidRPr="00F24907">
        <w:rPr>
          <w:rFonts w:ascii="Arial" w:eastAsia="Arial" w:hAnsi="Arial" w:cs="Arial"/>
          <w:sz w:val="24"/>
          <w:szCs w:val="24"/>
        </w:rPr>
        <w:t xml:space="preserve">2.- Por otra parte, considero que el amparo solicitado debió negarse porque no se configuró el defecto </w:t>
      </w:r>
      <w:r>
        <w:rPr>
          <w:rFonts w:ascii="Arial" w:eastAsia="Arial" w:hAnsi="Arial" w:cs="Arial"/>
          <w:sz w:val="24"/>
          <w:szCs w:val="24"/>
        </w:rPr>
        <w:t>mencionado</w:t>
      </w:r>
      <w:r w:rsidRPr="00F24907">
        <w:rPr>
          <w:rFonts w:ascii="Arial" w:eastAsia="Arial" w:hAnsi="Arial" w:cs="Arial"/>
          <w:sz w:val="24"/>
          <w:szCs w:val="24"/>
        </w:rPr>
        <w:t xml:space="preserve">. </w:t>
      </w:r>
      <w:r w:rsidRPr="00705A64">
        <w:rPr>
          <w:rFonts w:ascii="Arial" w:hAnsi="Arial" w:cs="Arial"/>
          <w:sz w:val="24"/>
          <w:szCs w:val="24"/>
          <w:lang w:val="es-ES"/>
        </w:rPr>
        <w:t>De la revisión de la sentencia del tribunal</w:t>
      </w:r>
      <w:r>
        <w:rPr>
          <w:rFonts w:ascii="Arial" w:hAnsi="Arial" w:cs="Arial"/>
          <w:sz w:val="24"/>
          <w:szCs w:val="24"/>
          <w:lang w:val="es-ES"/>
        </w:rPr>
        <w:t xml:space="preserve"> accionando</w:t>
      </w:r>
      <w:r w:rsidRPr="00705A64">
        <w:rPr>
          <w:rFonts w:ascii="Arial" w:hAnsi="Arial" w:cs="Arial"/>
          <w:sz w:val="24"/>
          <w:szCs w:val="24"/>
          <w:lang w:val="es-ES"/>
        </w:rPr>
        <w:t xml:space="preserve"> se advierte que</w:t>
      </w:r>
      <w:r>
        <w:rPr>
          <w:rFonts w:ascii="Arial" w:hAnsi="Arial" w:cs="Arial"/>
          <w:sz w:val="24"/>
          <w:szCs w:val="24"/>
          <w:lang w:val="es-ES"/>
        </w:rPr>
        <w:t>, dicha autoridad</w:t>
      </w:r>
      <w:r w:rsidRPr="00705A64">
        <w:rPr>
          <w:rFonts w:ascii="Arial" w:hAnsi="Arial" w:cs="Arial"/>
          <w:sz w:val="24"/>
          <w:szCs w:val="24"/>
          <w:lang w:val="es-ES"/>
        </w:rPr>
        <w:t xml:space="preserve"> valoró </w:t>
      </w:r>
      <w:r>
        <w:rPr>
          <w:rFonts w:ascii="Arial" w:hAnsi="Arial" w:cs="Arial"/>
          <w:sz w:val="24"/>
          <w:szCs w:val="24"/>
          <w:lang w:val="es-ES"/>
        </w:rPr>
        <w:t xml:space="preserve">adecuadamente dicho informe. </w:t>
      </w:r>
    </w:p>
    <w:p w:rsidR="00CE648C" w:rsidRPr="00CE648C" w:rsidRDefault="00CE648C" w:rsidP="00C5075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  <w:lang w:val="es-ES"/>
        </w:rPr>
      </w:pPr>
    </w:p>
    <w:p w:rsidR="00CE648C" w:rsidRPr="00CE648C" w:rsidRDefault="00CE648C" w:rsidP="00C507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/>
          <w:lang w:val="es-ES"/>
        </w:rPr>
      </w:pPr>
      <w:r w:rsidRPr="00CE648C">
        <w:rPr>
          <w:rFonts w:ascii="Arial" w:hAnsi="Arial" w:cs="Arial"/>
          <w:lang w:val="es-ES"/>
        </w:rPr>
        <w:t xml:space="preserve">3.- Por otra parte, </w:t>
      </w:r>
      <w:r w:rsidRPr="00CE648C">
        <w:rPr>
          <w:rFonts w:ascii="Arial" w:eastAsiaTheme="minorEastAsia" w:hAnsi="Arial"/>
          <w:lang w:val="es-ES"/>
        </w:rPr>
        <w:t xml:space="preserve">no es posible suplir la falta de pruebas de la responsabilidad de las entidades con </w:t>
      </w:r>
      <w:r w:rsidR="00C50753">
        <w:rPr>
          <w:rFonts w:ascii="Arial" w:eastAsiaTheme="minorEastAsia" w:hAnsi="Arial"/>
          <w:lang w:val="es-ES"/>
        </w:rPr>
        <w:t>el hecho de que la entidad no contestó</w:t>
      </w:r>
      <w:r w:rsidRPr="00CE648C">
        <w:rPr>
          <w:rFonts w:ascii="Arial" w:eastAsiaTheme="minorEastAsia" w:hAnsi="Arial"/>
          <w:lang w:val="es-ES"/>
        </w:rPr>
        <w:t xml:space="preserve"> la demanda</w:t>
      </w:r>
      <w:r w:rsidR="00C50753">
        <w:rPr>
          <w:rFonts w:ascii="Arial" w:eastAsiaTheme="minorEastAsia" w:hAnsi="Arial"/>
          <w:lang w:val="es-ES"/>
        </w:rPr>
        <w:t>. L</w:t>
      </w:r>
      <w:r w:rsidRPr="00CE648C">
        <w:rPr>
          <w:rFonts w:ascii="Arial" w:eastAsiaTheme="minorEastAsia" w:hAnsi="Arial"/>
          <w:lang w:val="es-ES"/>
        </w:rPr>
        <w:t xml:space="preserve">a accionante </w:t>
      </w:r>
      <w:r w:rsidR="00C50753">
        <w:rPr>
          <w:rFonts w:ascii="Arial" w:eastAsiaTheme="minorEastAsia" w:hAnsi="Arial"/>
          <w:lang w:val="es-ES"/>
        </w:rPr>
        <w:t xml:space="preserve">indica que </w:t>
      </w:r>
      <w:r w:rsidRPr="00CE648C">
        <w:rPr>
          <w:rFonts w:ascii="Arial" w:eastAsiaTheme="minorEastAsia" w:hAnsi="Arial"/>
          <w:lang w:val="es-ES"/>
        </w:rPr>
        <w:t xml:space="preserve">&lt;&lt;al omitir (la entidad) pronunciarse sobre el porqué no realizó el mantenimiento de la </w:t>
      </w:r>
      <w:r w:rsidRPr="00CE648C">
        <w:rPr>
          <w:rFonts w:ascii="Arial" w:eastAsiaTheme="minorEastAsia" w:hAnsi="Arial"/>
          <w:lang w:val="es-ES"/>
        </w:rPr>
        <w:lastRenderedPageBreak/>
        <w:t>vía y no señalizó la misma, admitió que efectivamente lo señalado por la demandante era correcto y daba lugar para formular las pretens</w:t>
      </w:r>
      <w:r w:rsidR="00C50753">
        <w:rPr>
          <w:rFonts w:ascii="Arial" w:eastAsiaTheme="minorEastAsia" w:hAnsi="Arial"/>
          <w:lang w:val="es-ES"/>
        </w:rPr>
        <w:t>iones invocadas en la demanda&gt;&gt;. S</w:t>
      </w:r>
      <w:r w:rsidRPr="00CE648C">
        <w:rPr>
          <w:rFonts w:ascii="Arial" w:eastAsiaTheme="minorEastAsia" w:hAnsi="Arial"/>
          <w:lang w:val="es-ES"/>
        </w:rPr>
        <w:t>i bien</w:t>
      </w:r>
      <w:r w:rsidR="00C50753">
        <w:rPr>
          <w:rFonts w:ascii="Arial" w:eastAsiaTheme="minorEastAsia" w:hAnsi="Arial"/>
          <w:lang w:val="es-ES"/>
        </w:rPr>
        <w:t>, en mi concepto, ello podría</w:t>
      </w:r>
      <w:r w:rsidRPr="00CE648C">
        <w:rPr>
          <w:rFonts w:ascii="Arial" w:eastAsiaTheme="minorEastAsia" w:hAnsi="Arial"/>
          <w:lang w:val="es-ES"/>
        </w:rPr>
        <w:t xml:space="preserve"> configurar un indicio, lo cierto es que para condenar</w:t>
      </w:r>
      <w:r w:rsidR="00C50753">
        <w:rPr>
          <w:rFonts w:ascii="Arial" w:eastAsiaTheme="minorEastAsia" w:hAnsi="Arial"/>
          <w:lang w:val="es-ES"/>
        </w:rPr>
        <w:t xml:space="preserve"> a</w:t>
      </w:r>
      <w:r w:rsidRPr="00CE648C">
        <w:rPr>
          <w:rFonts w:ascii="Arial" w:eastAsiaTheme="minorEastAsia" w:hAnsi="Arial"/>
          <w:lang w:val="es-ES"/>
        </w:rPr>
        <w:t xml:space="preserve"> la entidad era necesario </w:t>
      </w:r>
      <w:r w:rsidR="00C50753">
        <w:rPr>
          <w:rFonts w:ascii="Arial" w:eastAsiaTheme="minorEastAsia" w:hAnsi="Arial"/>
          <w:lang w:val="es-ES"/>
        </w:rPr>
        <w:t>que existieran otros elementos de prueba que permitieran llegar a la conclusión que plantea la accionante y, en este caso, no los aportó en el proceso ordinario</w:t>
      </w:r>
      <w:r w:rsidRPr="00CE648C">
        <w:rPr>
          <w:rFonts w:ascii="Arial" w:eastAsiaTheme="minorEastAsia" w:hAnsi="Arial"/>
          <w:lang w:val="es-ES"/>
        </w:rPr>
        <w:t>.</w:t>
      </w:r>
    </w:p>
    <w:p w:rsidR="00CE648C" w:rsidRDefault="00CE648C" w:rsidP="00CE64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  <w:lang w:val="es-ES"/>
        </w:rPr>
      </w:pPr>
    </w:p>
    <w:p w:rsidR="00CE648C" w:rsidRDefault="00CE648C" w:rsidP="00CE648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ut supra.</w:t>
      </w:r>
    </w:p>
    <w:p w:rsidR="00CE648C" w:rsidRDefault="00CE648C" w:rsidP="00CE648C">
      <w:pPr>
        <w:spacing w:line="276" w:lineRule="auto"/>
        <w:jc w:val="center"/>
      </w:pPr>
      <w:r>
        <w:rPr>
          <w:rFonts w:ascii="Arial" w:eastAsia="Arial" w:hAnsi="Arial" w:cs="Arial"/>
          <w:i/>
        </w:rPr>
        <w:t>Con firma electrónica</w:t>
      </w:r>
    </w:p>
    <w:p w:rsidR="00CE648C" w:rsidRDefault="00CE648C" w:rsidP="00CE648C">
      <w:pPr>
        <w:spacing w:line="276" w:lineRule="auto"/>
        <w:jc w:val="center"/>
      </w:pPr>
      <w:r>
        <w:rPr>
          <w:rFonts w:ascii="Arial" w:eastAsia="Arial" w:hAnsi="Arial" w:cs="Arial"/>
          <w:b/>
        </w:rPr>
        <w:t>MARTÍN BERMÚDEZ MUÑOZ</w:t>
      </w:r>
    </w:p>
    <w:p w:rsidR="00CE648C" w:rsidRDefault="00CE648C" w:rsidP="00CE648C">
      <w:pPr>
        <w:spacing w:line="276" w:lineRule="auto"/>
        <w:jc w:val="center"/>
      </w:pPr>
      <w:r>
        <w:rPr>
          <w:rFonts w:ascii="Arial" w:eastAsia="Arial" w:hAnsi="Arial" w:cs="Arial"/>
          <w:b/>
        </w:rPr>
        <w:t>Magistrado</w:t>
      </w:r>
    </w:p>
    <w:p w:rsidR="00CE648C" w:rsidRDefault="00CE648C" w:rsidP="00CE648C"/>
    <w:p w:rsidR="00CE648C" w:rsidRDefault="00CE648C" w:rsidP="00CE648C"/>
    <w:p w:rsidR="00C27543" w:rsidRDefault="00C27543"/>
    <w:sectPr w:rsidR="00C27543" w:rsidSect="00CE648C">
      <w:headerReference w:type="default" r:id="rId7"/>
      <w:footerReference w:type="default" r:id="rId8"/>
      <w:pgSz w:w="12240" w:h="15840"/>
      <w:pgMar w:top="1985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53" w:rsidRDefault="00C50753" w:rsidP="00C50753">
      <w:r>
        <w:separator/>
      </w:r>
    </w:p>
  </w:endnote>
  <w:endnote w:type="continuationSeparator" w:id="0">
    <w:p w:rsidR="00C50753" w:rsidRDefault="00C50753" w:rsidP="00C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8C" w:rsidRDefault="00CE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53" w:rsidRDefault="00C50753" w:rsidP="00C50753">
      <w:r>
        <w:separator/>
      </w:r>
    </w:p>
  </w:footnote>
  <w:footnote w:type="continuationSeparator" w:id="0">
    <w:p w:rsidR="00C50753" w:rsidRDefault="00C50753" w:rsidP="00C507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8C" w:rsidRDefault="00CE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808080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 wp14:anchorId="61594499" wp14:editId="38A97FEB">
          <wp:simplePos x="0" y="0"/>
          <wp:positionH relativeFrom="column">
            <wp:posOffset>435</wp:posOffset>
          </wp:positionH>
          <wp:positionV relativeFrom="paragraph">
            <wp:posOffset>-356531</wp:posOffset>
          </wp:positionV>
          <wp:extent cx="1214755" cy="1132205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755" cy="1132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648C" w:rsidRDefault="00CE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808080"/>
        <w:sz w:val="18"/>
        <w:szCs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99D2825" wp14:editId="7D1A021B">
              <wp:simplePos x="0" y="0"/>
              <wp:positionH relativeFrom="column">
                <wp:posOffset>1612900</wp:posOffset>
              </wp:positionH>
              <wp:positionV relativeFrom="paragraph">
                <wp:posOffset>0</wp:posOffset>
              </wp:positionV>
              <wp:extent cx="5422265" cy="28995"/>
              <wp:effectExtent l="0" t="0" r="0" b="0"/>
              <wp:wrapNone/>
              <wp:docPr id="23" name="Conector recto de flech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07050" y="3780000"/>
                        <a:ext cx="5277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Conector recto de flecha 23" o:spid="_x0000_s1026" type="#_x0000_t32" style="position:absolute;margin-left:127pt;margin-top:0;width:426.95pt;height: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">
              <v:stroke startarrowwidth="narrow" startarrowlength="short" endarrowwidth="narrow" endarrowlength="short"/>
            </v:shape>
          </w:pict>
        </mc:Fallback>
      </mc:AlternateContent>
    </w:r>
  </w:p>
  <w:p w:rsidR="00CE648C" w:rsidRDefault="00CE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Radicado: </w:t>
    </w:r>
    <w:r w:rsidR="00C50753" w:rsidRPr="00C50753">
      <w:rPr>
        <w:rFonts w:ascii="Arial" w:eastAsia="Arial" w:hAnsi="Arial" w:cs="Arial"/>
        <w:bCs/>
        <w:color w:val="808080"/>
        <w:sz w:val="18"/>
        <w:szCs w:val="18"/>
        <w:lang w:val="es-ES"/>
      </w:rPr>
      <w:t>11001-03-15-000-2023-04691-01</w:t>
    </w:r>
  </w:p>
  <w:p w:rsidR="00CE648C" w:rsidRDefault="00CE648C" w:rsidP="00CE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color w:val="808080"/>
        <w:sz w:val="18"/>
        <w:szCs w:val="18"/>
      </w:rPr>
      <w:t xml:space="preserve"> Accionante: </w:t>
    </w:r>
    <w:r w:rsidR="00C50753" w:rsidRPr="00C50753">
      <w:rPr>
        <w:rFonts w:ascii="Arial" w:eastAsia="Arial" w:hAnsi="Arial" w:cs="Arial"/>
        <w:color w:val="808080"/>
        <w:sz w:val="18"/>
        <w:szCs w:val="18"/>
        <w:lang w:val="es-ES"/>
      </w:rPr>
      <w:t>Carolina Ocampo Martínez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C"/>
    <w:rsid w:val="00123C17"/>
    <w:rsid w:val="005F14A7"/>
    <w:rsid w:val="00C27543"/>
    <w:rsid w:val="00C50753"/>
    <w:rsid w:val="00C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4E7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8C"/>
    <w:rPr>
      <w:rFonts w:ascii="Times New Roman" w:eastAsia="Times New Roman" w:hAnsi="Times New Roman" w:cs="Times New Roman"/>
      <w:lang w:val="es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648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507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753"/>
    <w:rPr>
      <w:rFonts w:ascii="Times New Roman" w:eastAsia="Times New Roman" w:hAnsi="Times New Roman" w:cs="Times New Roman"/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C507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753"/>
    <w:rPr>
      <w:rFonts w:ascii="Times New Roman" w:eastAsia="Times New Roman" w:hAnsi="Times New Roman" w:cs="Times New Roman"/>
      <w:lang w:val="es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8C"/>
    <w:rPr>
      <w:rFonts w:ascii="Times New Roman" w:eastAsia="Times New Roman" w:hAnsi="Times New Roman" w:cs="Times New Roman"/>
      <w:lang w:val="es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648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507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753"/>
    <w:rPr>
      <w:rFonts w:ascii="Times New Roman" w:eastAsia="Times New Roman" w:hAnsi="Times New Roman" w:cs="Times New Roman"/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C507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753"/>
    <w:rPr>
      <w:rFonts w:ascii="Times New Roman" w:eastAsia="Times New Roman" w:hAnsi="Times New Roman" w:cs="Times New Roman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2151</Characters>
  <Application>Microsoft Macintosh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Mireya Grimaldos</dc:creator>
  <cp:keywords/>
  <dc:description/>
  <cp:lastModifiedBy>Ana Mireya Grimaldos</cp:lastModifiedBy>
  <cp:revision>1</cp:revision>
  <dcterms:created xsi:type="dcterms:W3CDTF">2024-04-01T19:19:00Z</dcterms:created>
  <dcterms:modified xsi:type="dcterms:W3CDTF">2024-04-01T19:42:00Z</dcterms:modified>
</cp:coreProperties>
</file>