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B3346" w14:textId="25AEA29E" w:rsidR="0032364E" w:rsidRPr="009A3CB8" w:rsidRDefault="0032364E" w:rsidP="0004408B">
      <w:pPr>
        <w:spacing w:after="0" w:line="312" w:lineRule="auto"/>
        <w:jc w:val="center"/>
        <w:rPr>
          <w:rFonts w:ascii="Arial" w:hAnsi="Arial" w:cs="Arial"/>
          <w:b/>
          <w:bCs/>
          <w:u w:val="single"/>
          <w:shd w:val="clear" w:color="auto" w:fill="FFFFFF"/>
        </w:rPr>
      </w:pPr>
      <w:r w:rsidRPr="009A3CB8">
        <w:rPr>
          <w:rFonts w:ascii="Arial" w:hAnsi="Arial" w:cs="Arial"/>
          <w:b/>
          <w:bCs/>
          <w:u w:val="single"/>
          <w:shd w:val="clear" w:color="auto" w:fill="FFFFFF"/>
        </w:rPr>
        <w:t xml:space="preserve">CALIFICACIÓN </w:t>
      </w:r>
      <w:r w:rsidR="00E06CB8" w:rsidRPr="009A3CB8">
        <w:rPr>
          <w:rFonts w:ascii="Arial" w:hAnsi="Arial" w:cs="Arial"/>
          <w:b/>
          <w:bCs/>
          <w:u w:val="single"/>
          <w:shd w:val="clear" w:color="auto" w:fill="FFFFFF"/>
        </w:rPr>
        <w:t xml:space="preserve">Y LIQUIDACIÓN </w:t>
      </w:r>
      <w:r w:rsidRPr="009A3CB8">
        <w:rPr>
          <w:rFonts w:ascii="Arial" w:hAnsi="Arial" w:cs="Arial"/>
          <w:b/>
          <w:bCs/>
          <w:u w:val="single"/>
          <w:shd w:val="clear" w:color="auto" w:fill="FFFFFF"/>
        </w:rPr>
        <w:t>DEL PROCESO</w:t>
      </w:r>
    </w:p>
    <w:p w14:paraId="732AF38C" w14:textId="77777777" w:rsidR="0032364E" w:rsidRPr="009A3CB8" w:rsidRDefault="0032364E" w:rsidP="0004408B">
      <w:pPr>
        <w:spacing w:after="0" w:line="312" w:lineRule="auto"/>
        <w:jc w:val="center"/>
        <w:rPr>
          <w:rFonts w:ascii="Arial" w:hAnsi="Arial" w:cs="Arial"/>
          <w:b/>
          <w:bCs/>
          <w:u w:val="single"/>
          <w:shd w:val="clear" w:color="auto" w:fill="FFFFFF"/>
        </w:rPr>
      </w:pPr>
    </w:p>
    <w:p w14:paraId="51CE2A02" w14:textId="77777777" w:rsidR="0032364E" w:rsidRPr="009A3CB8" w:rsidRDefault="0032364E" w:rsidP="0004408B">
      <w:pPr>
        <w:spacing w:after="0" w:line="312" w:lineRule="auto"/>
        <w:jc w:val="both"/>
        <w:rPr>
          <w:rFonts w:ascii="Arial" w:hAnsi="Arial" w:cs="Arial"/>
          <w:shd w:val="clear" w:color="auto" w:fill="FFFFFF"/>
        </w:rPr>
      </w:pPr>
      <w:r w:rsidRPr="009A3CB8">
        <w:rPr>
          <w:rFonts w:ascii="Arial" w:hAnsi="Arial" w:cs="Arial"/>
          <w:shd w:val="clear" w:color="auto" w:fill="FFFFFF"/>
        </w:rPr>
        <w:t>Respetuosamente remito la síntesis de la contingencia junto con la calificación del proceso de la referencia:</w:t>
      </w:r>
    </w:p>
    <w:p w14:paraId="47689ABB" w14:textId="77777777" w:rsidR="00B21235" w:rsidRPr="009A3CB8" w:rsidRDefault="00B21235" w:rsidP="0004408B">
      <w:pPr>
        <w:spacing w:after="0" w:line="312" w:lineRule="auto"/>
        <w:jc w:val="both"/>
        <w:rPr>
          <w:rFonts w:ascii="Arial" w:hAnsi="Arial" w:cs="Arial"/>
          <w:shd w:val="clear" w:color="auto" w:fill="FFFFFF"/>
        </w:rPr>
      </w:pPr>
    </w:p>
    <w:p w14:paraId="6D2E7B25" w14:textId="3806F0E2" w:rsidR="0032364E" w:rsidRPr="009A3CB8" w:rsidRDefault="00B21235" w:rsidP="009B0C2C">
      <w:pPr>
        <w:pStyle w:val="Prrafodelista"/>
        <w:numPr>
          <w:ilvl w:val="0"/>
          <w:numId w:val="5"/>
        </w:numPr>
        <w:spacing w:after="0" w:line="312" w:lineRule="auto"/>
        <w:ind w:left="284" w:hanging="283"/>
        <w:jc w:val="center"/>
        <w:rPr>
          <w:rFonts w:ascii="Arial" w:hAnsi="Arial" w:cs="Arial"/>
          <w:b/>
          <w:bCs/>
          <w:u w:val="single"/>
          <w:shd w:val="clear" w:color="auto" w:fill="FFFFFF"/>
        </w:rPr>
      </w:pPr>
      <w:r w:rsidRPr="009A3CB8">
        <w:rPr>
          <w:rFonts w:ascii="Arial" w:hAnsi="Arial" w:cs="Arial"/>
          <w:b/>
          <w:bCs/>
          <w:u w:val="single"/>
          <w:shd w:val="clear" w:color="auto" w:fill="FFFFFF"/>
        </w:rPr>
        <w:t>ANTECEDENTES DEL CASO</w:t>
      </w:r>
    </w:p>
    <w:p w14:paraId="3C7A38E2" w14:textId="77777777" w:rsidR="00B21235" w:rsidRPr="009A3CB8" w:rsidRDefault="00B21235" w:rsidP="0004408B">
      <w:pPr>
        <w:pStyle w:val="Prrafodelista"/>
        <w:spacing w:after="0" w:line="312" w:lineRule="auto"/>
        <w:ind w:left="1080"/>
        <w:jc w:val="both"/>
        <w:rPr>
          <w:rFonts w:ascii="Arial" w:hAnsi="Arial" w:cs="Arial"/>
          <w:shd w:val="clear" w:color="auto" w:fill="FFFFFF"/>
        </w:rPr>
      </w:pPr>
    </w:p>
    <w:p w14:paraId="1EB3A1E3" w14:textId="77777777" w:rsidR="008B1A85" w:rsidRPr="009A3CB8" w:rsidRDefault="0032364E" w:rsidP="0004408B">
      <w:pPr>
        <w:spacing w:after="0" w:line="312" w:lineRule="auto"/>
        <w:jc w:val="both"/>
        <w:rPr>
          <w:rFonts w:ascii="Arial" w:hAnsi="Arial" w:cs="Arial"/>
          <w:b/>
          <w:bCs/>
          <w:lang w:val="es-ES"/>
        </w:rPr>
      </w:pPr>
      <w:r w:rsidRPr="009A3CB8">
        <w:rPr>
          <w:rFonts w:ascii="Arial" w:hAnsi="Arial" w:cs="Arial"/>
          <w:b/>
          <w:bCs/>
          <w:lang w:val="es-ES"/>
        </w:rPr>
        <w:t xml:space="preserve">DEMANDANTES: </w:t>
      </w:r>
    </w:p>
    <w:p w14:paraId="6AA5D802" w14:textId="77777777" w:rsidR="009F44F6" w:rsidRPr="009A3CB8" w:rsidRDefault="009F44F6" w:rsidP="0004408B">
      <w:pPr>
        <w:spacing w:after="0" w:line="312" w:lineRule="auto"/>
        <w:jc w:val="both"/>
        <w:rPr>
          <w:rFonts w:ascii="Arial" w:hAnsi="Arial" w:cs="Arial"/>
          <w:spacing w:val="2"/>
          <w:shd w:val="clear" w:color="auto" w:fill="FFFFFF"/>
        </w:rPr>
      </w:pPr>
    </w:p>
    <w:p w14:paraId="0AC509B9" w14:textId="20913BC8" w:rsidR="002A64A5" w:rsidRPr="009A3CB8" w:rsidRDefault="00D462B6" w:rsidP="0004408B">
      <w:pPr>
        <w:spacing w:after="0" w:line="312" w:lineRule="auto"/>
        <w:jc w:val="both"/>
        <w:rPr>
          <w:rFonts w:ascii="Arial" w:hAnsi="Arial" w:cs="Arial"/>
          <w:spacing w:val="2"/>
          <w:shd w:val="clear" w:color="auto" w:fill="FFFFFF"/>
        </w:rPr>
      </w:pPr>
      <w:r>
        <w:rPr>
          <w:rFonts w:ascii="Arial" w:hAnsi="Arial" w:cs="Arial"/>
          <w:spacing w:val="2"/>
          <w:shd w:val="clear" w:color="auto" w:fill="FFFFFF"/>
        </w:rPr>
        <w:t xml:space="preserve">Griselda Mosquera </w:t>
      </w:r>
      <w:proofErr w:type="spellStart"/>
      <w:r>
        <w:rPr>
          <w:rFonts w:ascii="Arial" w:hAnsi="Arial" w:cs="Arial"/>
          <w:spacing w:val="2"/>
          <w:shd w:val="clear" w:color="auto" w:fill="FFFFFF"/>
        </w:rPr>
        <w:t>Mosquera</w:t>
      </w:r>
      <w:proofErr w:type="spellEnd"/>
      <w:r w:rsidR="005E5C31" w:rsidRPr="009A3CB8">
        <w:rPr>
          <w:rFonts w:ascii="Arial" w:hAnsi="Arial" w:cs="Arial"/>
          <w:spacing w:val="2"/>
          <w:shd w:val="clear" w:color="auto" w:fill="FFFFFF"/>
        </w:rPr>
        <w:t xml:space="preserve"> (</w:t>
      </w:r>
      <w:r>
        <w:rPr>
          <w:rFonts w:ascii="Arial" w:hAnsi="Arial" w:cs="Arial"/>
          <w:spacing w:val="2"/>
          <w:shd w:val="clear" w:color="auto" w:fill="FFFFFF"/>
        </w:rPr>
        <w:t>poseedora del bien inmueble</w:t>
      </w:r>
      <w:r w:rsidR="005E5C31" w:rsidRPr="009A3CB8">
        <w:rPr>
          <w:rFonts w:ascii="Arial" w:hAnsi="Arial" w:cs="Arial"/>
          <w:spacing w:val="2"/>
          <w:shd w:val="clear" w:color="auto" w:fill="FFFFFF"/>
        </w:rPr>
        <w:t>)</w:t>
      </w:r>
    </w:p>
    <w:p w14:paraId="07D98539" w14:textId="471A488B" w:rsidR="00E66C19" w:rsidRPr="009A3CB8" w:rsidRDefault="00D462B6" w:rsidP="0004408B">
      <w:pPr>
        <w:spacing w:after="0" w:line="312" w:lineRule="auto"/>
        <w:jc w:val="both"/>
        <w:rPr>
          <w:rFonts w:ascii="Arial" w:hAnsi="Arial" w:cs="Arial"/>
          <w:spacing w:val="2"/>
          <w:shd w:val="clear" w:color="auto" w:fill="FFFFFF"/>
        </w:rPr>
      </w:pPr>
      <w:r>
        <w:rPr>
          <w:rFonts w:ascii="Arial" w:hAnsi="Arial" w:cs="Arial"/>
          <w:spacing w:val="2"/>
          <w:shd w:val="clear" w:color="auto" w:fill="FFFFFF"/>
        </w:rPr>
        <w:t>Julio Cesar López Mosquera</w:t>
      </w:r>
      <w:r w:rsidR="005E5C31" w:rsidRPr="009A3CB8">
        <w:rPr>
          <w:rFonts w:ascii="Arial" w:hAnsi="Arial" w:cs="Arial"/>
          <w:spacing w:val="2"/>
          <w:shd w:val="clear" w:color="auto" w:fill="FFFFFF"/>
        </w:rPr>
        <w:t xml:space="preserve"> (</w:t>
      </w:r>
      <w:r>
        <w:rPr>
          <w:rFonts w:ascii="Arial" w:hAnsi="Arial" w:cs="Arial"/>
          <w:spacing w:val="2"/>
          <w:shd w:val="clear" w:color="auto" w:fill="FFFFFF"/>
        </w:rPr>
        <w:t>poseedor del bien inmueble</w:t>
      </w:r>
      <w:r w:rsidR="005E5C31" w:rsidRPr="009A3CB8">
        <w:rPr>
          <w:rFonts w:ascii="Arial" w:hAnsi="Arial" w:cs="Arial"/>
          <w:spacing w:val="2"/>
          <w:shd w:val="clear" w:color="auto" w:fill="FFFFFF"/>
        </w:rPr>
        <w:t>)</w:t>
      </w:r>
    </w:p>
    <w:p w14:paraId="022D7427" w14:textId="2237506B" w:rsidR="00E66C19" w:rsidRPr="009A3CB8" w:rsidRDefault="00D462B6" w:rsidP="0004408B">
      <w:pPr>
        <w:spacing w:after="0" w:line="312" w:lineRule="auto"/>
        <w:jc w:val="both"/>
        <w:rPr>
          <w:rFonts w:ascii="Arial" w:hAnsi="Arial" w:cs="Arial"/>
          <w:spacing w:val="2"/>
          <w:shd w:val="clear" w:color="auto" w:fill="FFFFFF"/>
        </w:rPr>
      </w:pPr>
      <w:r>
        <w:rPr>
          <w:rFonts w:ascii="Arial" w:hAnsi="Arial" w:cs="Arial"/>
          <w:spacing w:val="2"/>
          <w:shd w:val="clear" w:color="auto" w:fill="FFFFFF"/>
        </w:rPr>
        <w:t>Luz Marina Falla Mosquera</w:t>
      </w:r>
      <w:r w:rsidR="000E4441" w:rsidRPr="009A3CB8">
        <w:rPr>
          <w:rFonts w:ascii="Arial" w:hAnsi="Arial" w:cs="Arial"/>
          <w:spacing w:val="2"/>
          <w:shd w:val="clear" w:color="auto" w:fill="FFFFFF"/>
        </w:rPr>
        <w:t xml:space="preserve"> (</w:t>
      </w:r>
      <w:r>
        <w:rPr>
          <w:rFonts w:ascii="Arial" w:hAnsi="Arial" w:cs="Arial"/>
          <w:spacing w:val="2"/>
          <w:shd w:val="clear" w:color="auto" w:fill="FFFFFF"/>
        </w:rPr>
        <w:t>poseedora del bien inmueble</w:t>
      </w:r>
      <w:r w:rsidR="000E4441" w:rsidRPr="009A3CB8">
        <w:rPr>
          <w:rFonts w:ascii="Arial" w:hAnsi="Arial" w:cs="Arial"/>
          <w:spacing w:val="2"/>
          <w:shd w:val="clear" w:color="auto" w:fill="FFFFFF"/>
        </w:rPr>
        <w:t>)</w:t>
      </w:r>
    </w:p>
    <w:p w14:paraId="5A35483C" w14:textId="47A2AED7" w:rsidR="007967DF" w:rsidRDefault="00D462B6" w:rsidP="0004408B">
      <w:pPr>
        <w:spacing w:after="0" w:line="312" w:lineRule="auto"/>
        <w:jc w:val="both"/>
        <w:rPr>
          <w:rFonts w:ascii="Arial" w:hAnsi="Arial" w:cs="Arial"/>
          <w:spacing w:val="2"/>
          <w:shd w:val="clear" w:color="auto" w:fill="FFFFFF"/>
        </w:rPr>
      </w:pPr>
      <w:r>
        <w:rPr>
          <w:rFonts w:ascii="Arial" w:hAnsi="Arial" w:cs="Arial"/>
          <w:spacing w:val="2"/>
          <w:shd w:val="clear" w:color="auto" w:fill="FFFFFF"/>
        </w:rPr>
        <w:t>Jorge Iván Pérez Acosta</w:t>
      </w:r>
      <w:r w:rsidR="000E4441" w:rsidRPr="009A3CB8">
        <w:rPr>
          <w:rFonts w:ascii="Arial" w:hAnsi="Arial" w:cs="Arial"/>
          <w:spacing w:val="2"/>
          <w:shd w:val="clear" w:color="auto" w:fill="FFFFFF"/>
        </w:rPr>
        <w:t xml:space="preserve"> (</w:t>
      </w:r>
      <w:r>
        <w:rPr>
          <w:rFonts w:ascii="Arial" w:hAnsi="Arial" w:cs="Arial"/>
          <w:spacing w:val="2"/>
          <w:shd w:val="clear" w:color="auto" w:fill="FFFFFF"/>
        </w:rPr>
        <w:t>poseedor del bien inmueble</w:t>
      </w:r>
      <w:r w:rsidR="000E4441" w:rsidRPr="009A3CB8">
        <w:rPr>
          <w:rFonts w:ascii="Arial" w:hAnsi="Arial" w:cs="Arial"/>
          <w:spacing w:val="2"/>
          <w:shd w:val="clear" w:color="auto" w:fill="FFFFFF"/>
        </w:rPr>
        <w:t>)</w:t>
      </w:r>
    </w:p>
    <w:p w14:paraId="18314028" w14:textId="4B70F638" w:rsidR="00C43269" w:rsidRPr="009A3CB8" w:rsidRDefault="00C43269" w:rsidP="0004408B">
      <w:pPr>
        <w:spacing w:after="0" w:line="312" w:lineRule="auto"/>
        <w:jc w:val="both"/>
        <w:rPr>
          <w:rFonts w:ascii="Arial" w:hAnsi="Arial" w:cs="Arial"/>
          <w:spacing w:val="2"/>
          <w:shd w:val="clear" w:color="auto" w:fill="FFFFFF"/>
        </w:rPr>
      </w:pPr>
      <w:proofErr w:type="spellStart"/>
      <w:r>
        <w:rPr>
          <w:rFonts w:ascii="Arial" w:hAnsi="Arial" w:cs="Arial"/>
          <w:spacing w:val="2"/>
          <w:shd w:val="clear" w:color="auto" w:fill="FFFFFF"/>
        </w:rPr>
        <w:t>Jhonatan</w:t>
      </w:r>
      <w:proofErr w:type="spellEnd"/>
      <w:r>
        <w:rPr>
          <w:rFonts w:ascii="Arial" w:hAnsi="Arial" w:cs="Arial"/>
          <w:spacing w:val="2"/>
          <w:shd w:val="clear" w:color="auto" w:fill="FFFFFF"/>
        </w:rPr>
        <w:t xml:space="preserve"> Andrés Pérez Acosta (poseedor del bien inmueble)</w:t>
      </w:r>
    </w:p>
    <w:p w14:paraId="12A07193" w14:textId="77777777" w:rsidR="007967DF" w:rsidRPr="009A3CB8" w:rsidRDefault="007967DF" w:rsidP="0004408B">
      <w:pPr>
        <w:spacing w:after="0" w:line="312" w:lineRule="auto"/>
        <w:jc w:val="both"/>
        <w:rPr>
          <w:rFonts w:ascii="Arial" w:hAnsi="Arial" w:cs="Arial"/>
          <w:spacing w:val="2"/>
          <w:shd w:val="clear" w:color="auto" w:fill="FFFFFF"/>
        </w:rPr>
      </w:pPr>
    </w:p>
    <w:p w14:paraId="57FD5EE7" w14:textId="5FC235E1" w:rsidR="0032364E" w:rsidRPr="009A3CB8" w:rsidRDefault="0032364E" w:rsidP="0004408B">
      <w:pPr>
        <w:spacing w:after="0" w:line="312" w:lineRule="auto"/>
        <w:jc w:val="both"/>
        <w:rPr>
          <w:rFonts w:ascii="Arial" w:hAnsi="Arial" w:cs="Arial"/>
          <w:b/>
          <w:bCs/>
          <w:lang w:val="es-ES"/>
        </w:rPr>
      </w:pPr>
      <w:r w:rsidRPr="009A3CB8">
        <w:rPr>
          <w:rFonts w:ascii="Arial" w:hAnsi="Arial" w:cs="Arial"/>
          <w:b/>
          <w:bCs/>
          <w:lang w:val="es-ES"/>
        </w:rPr>
        <w:t xml:space="preserve">DEMANDADOS: </w:t>
      </w:r>
    </w:p>
    <w:p w14:paraId="4BACC215" w14:textId="77777777" w:rsidR="00F940D9" w:rsidRPr="009A3CB8" w:rsidRDefault="00F940D9" w:rsidP="0004408B">
      <w:pPr>
        <w:spacing w:after="0" w:line="312" w:lineRule="auto"/>
        <w:jc w:val="both"/>
        <w:rPr>
          <w:rFonts w:ascii="Arial" w:hAnsi="Arial" w:cs="Arial"/>
          <w:b/>
          <w:bCs/>
          <w:lang w:val="es-ES"/>
        </w:rPr>
      </w:pPr>
    </w:p>
    <w:p w14:paraId="0803F528" w14:textId="6B956211" w:rsidR="001C0188" w:rsidRDefault="00C43269" w:rsidP="0004408B">
      <w:pPr>
        <w:spacing w:after="0" w:line="312" w:lineRule="auto"/>
        <w:jc w:val="both"/>
        <w:rPr>
          <w:rFonts w:ascii="Arial" w:hAnsi="Arial" w:cs="Arial"/>
          <w:lang w:val="es-ES"/>
        </w:rPr>
      </w:pPr>
      <w:r>
        <w:rPr>
          <w:rFonts w:ascii="Arial" w:hAnsi="Arial" w:cs="Arial"/>
          <w:lang w:val="es-ES"/>
        </w:rPr>
        <w:t>El Fondo de Adaptación</w:t>
      </w:r>
    </w:p>
    <w:p w14:paraId="1BDFE393" w14:textId="5264040B" w:rsidR="00C43269" w:rsidRDefault="00C43269" w:rsidP="0004408B">
      <w:pPr>
        <w:spacing w:after="0" w:line="312" w:lineRule="auto"/>
        <w:jc w:val="both"/>
        <w:rPr>
          <w:rFonts w:ascii="Arial" w:hAnsi="Arial" w:cs="Arial"/>
          <w:lang w:val="es-ES"/>
        </w:rPr>
      </w:pPr>
      <w:r>
        <w:rPr>
          <w:rFonts w:ascii="Arial" w:hAnsi="Arial" w:cs="Arial"/>
          <w:lang w:val="es-ES"/>
        </w:rPr>
        <w:t>Departamento del Valle del Cauca</w:t>
      </w:r>
    </w:p>
    <w:p w14:paraId="18DD6BE5" w14:textId="093139F0" w:rsidR="00C43269" w:rsidRDefault="00E56640" w:rsidP="0004408B">
      <w:pPr>
        <w:spacing w:after="0" w:line="312" w:lineRule="auto"/>
        <w:jc w:val="both"/>
        <w:rPr>
          <w:rFonts w:ascii="Arial" w:hAnsi="Arial" w:cs="Arial"/>
          <w:lang w:val="es-ES"/>
        </w:rPr>
      </w:pPr>
      <w:r>
        <w:rPr>
          <w:rFonts w:ascii="Arial" w:hAnsi="Arial" w:cs="Arial"/>
          <w:lang w:val="es-ES"/>
        </w:rPr>
        <w:t>Corporación</w:t>
      </w:r>
      <w:r w:rsidR="00C43269">
        <w:rPr>
          <w:rFonts w:ascii="Arial" w:hAnsi="Arial" w:cs="Arial"/>
          <w:lang w:val="es-ES"/>
        </w:rPr>
        <w:t xml:space="preserve"> Autónoma Regional del Valle del Cauca</w:t>
      </w:r>
    </w:p>
    <w:p w14:paraId="11D09788" w14:textId="64ABE73D" w:rsidR="00C43269" w:rsidRDefault="00C43269" w:rsidP="0004408B">
      <w:pPr>
        <w:spacing w:after="0" w:line="312" w:lineRule="auto"/>
        <w:jc w:val="both"/>
        <w:rPr>
          <w:rFonts w:ascii="Arial" w:hAnsi="Arial" w:cs="Arial"/>
          <w:lang w:val="es-ES"/>
        </w:rPr>
      </w:pPr>
      <w:r>
        <w:rPr>
          <w:rFonts w:ascii="Arial" w:hAnsi="Arial" w:cs="Arial"/>
          <w:lang w:val="es-ES"/>
        </w:rPr>
        <w:t>Distrito Especial de Santiago de Cali</w:t>
      </w:r>
    </w:p>
    <w:p w14:paraId="05E4F849" w14:textId="2F755DE9" w:rsidR="00C43269" w:rsidRPr="009A3CB8" w:rsidRDefault="00C43269" w:rsidP="0004408B">
      <w:pPr>
        <w:spacing w:after="0" w:line="312" w:lineRule="auto"/>
        <w:jc w:val="both"/>
        <w:rPr>
          <w:rFonts w:ascii="Arial" w:hAnsi="Arial" w:cs="Arial"/>
          <w:lang w:val="es-ES"/>
        </w:rPr>
      </w:pPr>
      <w:r>
        <w:rPr>
          <w:rFonts w:ascii="Arial" w:hAnsi="Arial" w:cs="Arial"/>
          <w:lang w:val="es-ES"/>
        </w:rPr>
        <w:t>EMCALI</w:t>
      </w:r>
      <w:r w:rsidR="007F0EE9">
        <w:rPr>
          <w:rFonts w:ascii="Arial" w:hAnsi="Arial" w:cs="Arial"/>
          <w:lang w:val="es-ES"/>
        </w:rPr>
        <w:t xml:space="preserve"> </w:t>
      </w:r>
      <w:r w:rsidR="00E56640">
        <w:rPr>
          <w:rFonts w:ascii="Arial" w:hAnsi="Arial" w:cs="Arial"/>
          <w:lang w:val="es-ES"/>
        </w:rPr>
        <w:t>E.I.C.E. E.S.P.</w:t>
      </w:r>
    </w:p>
    <w:p w14:paraId="740E55AB" w14:textId="77777777" w:rsidR="00472DAF" w:rsidRPr="009A3CB8" w:rsidRDefault="00472DAF" w:rsidP="0004408B">
      <w:pPr>
        <w:spacing w:after="0" w:line="312" w:lineRule="auto"/>
        <w:jc w:val="both"/>
        <w:rPr>
          <w:rFonts w:ascii="Arial" w:hAnsi="Arial" w:cs="Arial"/>
          <w:b/>
          <w:bCs/>
          <w:lang w:val="es-ES"/>
        </w:rPr>
      </w:pPr>
    </w:p>
    <w:p w14:paraId="2E2E9E22" w14:textId="709AC63D" w:rsidR="0032364E" w:rsidRDefault="0032364E" w:rsidP="0004408B">
      <w:pPr>
        <w:spacing w:after="0" w:line="312" w:lineRule="auto"/>
        <w:jc w:val="both"/>
        <w:rPr>
          <w:rFonts w:ascii="Arial" w:hAnsi="Arial" w:cs="Arial"/>
          <w:b/>
          <w:bCs/>
          <w:lang w:val="es-ES"/>
        </w:rPr>
      </w:pPr>
      <w:r w:rsidRPr="009A3CB8">
        <w:rPr>
          <w:rFonts w:ascii="Arial" w:hAnsi="Arial" w:cs="Arial"/>
          <w:b/>
          <w:bCs/>
          <w:lang w:val="es-ES"/>
        </w:rPr>
        <w:t xml:space="preserve">LLAMADO EN GARANTÍA: </w:t>
      </w:r>
      <w:r w:rsidR="00C12573" w:rsidRPr="00C12573">
        <w:rPr>
          <w:rFonts w:ascii="Arial" w:hAnsi="Arial" w:cs="Arial"/>
          <w:lang w:val="es-ES"/>
        </w:rPr>
        <w:t>Axa Colpatria Seguros S.A.</w:t>
      </w:r>
    </w:p>
    <w:p w14:paraId="2381C7EA" w14:textId="77777777" w:rsidR="00C12573" w:rsidRDefault="00C12573" w:rsidP="0004408B">
      <w:pPr>
        <w:spacing w:after="0" w:line="312" w:lineRule="auto"/>
        <w:jc w:val="both"/>
        <w:rPr>
          <w:rFonts w:ascii="Arial" w:hAnsi="Arial" w:cs="Arial"/>
          <w:b/>
          <w:bCs/>
          <w:lang w:val="es-ES"/>
        </w:rPr>
      </w:pPr>
    </w:p>
    <w:p w14:paraId="57B97167" w14:textId="63EC537D" w:rsidR="0032364E" w:rsidRDefault="00BF57B9" w:rsidP="0004408B">
      <w:pPr>
        <w:spacing w:after="0" w:line="312" w:lineRule="auto"/>
        <w:jc w:val="both"/>
        <w:rPr>
          <w:rFonts w:ascii="Arial" w:hAnsi="Arial" w:cs="Arial"/>
          <w:lang w:val="es-ES"/>
        </w:rPr>
      </w:pPr>
      <w:r w:rsidRPr="009A3CB8">
        <w:rPr>
          <w:rFonts w:ascii="Arial" w:hAnsi="Arial" w:cs="Arial"/>
          <w:b/>
          <w:bCs/>
          <w:lang w:val="es-ES"/>
        </w:rPr>
        <w:t>PÓLIZA</w:t>
      </w:r>
      <w:r w:rsidR="009E2D5D" w:rsidRPr="009A3CB8">
        <w:rPr>
          <w:rFonts w:ascii="Arial" w:hAnsi="Arial" w:cs="Arial"/>
          <w:b/>
          <w:bCs/>
          <w:lang w:val="es-ES"/>
        </w:rPr>
        <w:t>S</w:t>
      </w:r>
      <w:r w:rsidRPr="009A3CB8">
        <w:rPr>
          <w:rFonts w:ascii="Arial" w:hAnsi="Arial" w:cs="Arial"/>
          <w:b/>
          <w:bCs/>
          <w:lang w:val="es-ES"/>
        </w:rPr>
        <w:t xml:space="preserve"> VINCULADA</w:t>
      </w:r>
      <w:r w:rsidR="009E2D5D" w:rsidRPr="009A3CB8">
        <w:rPr>
          <w:rFonts w:ascii="Arial" w:hAnsi="Arial" w:cs="Arial"/>
          <w:b/>
          <w:bCs/>
          <w:lang w:val="es-ES"/>
        </w:rPr>
        <w:t>S</w:t>
      </w:r>
      <w:r w:rsidR="0032364E" w:rsidRPr="009A3CB8">
        <w:rPr>
          <w:rFonts w:ascii="Arial" w:hAnsi="Arial" w:cs="Arial"/>
          <w:b/>
          <w:bCs/>
          <w:lang w:val="es-ES"/>
        </w:rPr>
        <w:t>:</w:t>
      </w:r>
      <w:r w:rsidRPr="009A3CB8">
        <w:rPr>
          <w:rFonts w:ascii="Arial" w:hAnsi="Arial" w:cs="Arial"/>
          <w:b/>
          <w:bCs/>
          <w:lang w:val="es-ES"/>
        </w:rPr>
        <w:t xml:space="preserve"> </w:t>
      </w:r>
      <w:r w:rsidR="0005032E" w:rsidRPr="009A3CB8">
        <w:rPr>
          <w:rFonts w:ascii="Arial" w:hAnsi="Arial" w:cs="Arial"/>
          <w:lang w:val="es-ES"/>
        </w:rPr>
        <w:t>Se vincul</w:t>
      </w:r>
      <w:r w:rsidR="00252534" w:rsidRPr="009A3CB8">
        <w:rPr>
          <w:rFonts w:ascii="Arial" w:hAnsi="Arial" w:cs="Arial"/>
          <w:lang w:val="es-ES"/>
        </w:rPr>
        <w:t>ó</w:t>
      </w:r>
      <w:r w:rsidR="0005032E" w:rsidRPr="009A3CB8">
        <w:rPr>
          <w:rFonts w:ascii="Arial" w:hAnsi="Arial" w:cs="Arial"/>
          <w:lang w:val="es-ES"/>
        </w:rPr>
        <w:t xml:space="preserve"> (</w:t>
      </w:r>
      <w:r w:rsidR="00252534" w:rsidRPr="009A3CB8">
        <w:rPr>
          <w:rFonts w:ascii="Arial" w:hAnsi="Arial" w:cs="Arial"/>
          <w:lang w:val="es-ES"/>
        </w:rPr>
        <w:t>1</w:t>
      </w:r>
      <w:r w:rsidR="0005032E" w:rsidRPr="009A3CB8">
        <w:rPr>
          <w:rFonts w:ascii="Arial" w:hAnsi="Arial" w:cs="Arial"/>
          <w:lang w:val="es-ES"/>
        </w:rPr>
        <w:t>) contrato de seguro materializado en:</w:t>
      </w:r>
    </w:p>
    <w:p w14:paraId="7A608E12" w14:textId="77777777" w:rsidR="00D932AE" w:rsidRDefault="00D932AE" w:rsidP="0004408B">
      <w:pPr>
        <w:spacing w:after="0" w:line="312" w:lineRule="auto"/>
        <w:jc w:val="both"/>
        <w:rPr>
          <w:rFonts w:ascii="Arial" w:hAnsi="Arial" w:cs="Arial"/>
          <w:lang w:val="es-ES"/>
        </w:rPr>
      </w:pPr>
    </w:p>
    <w:p w14:paraId="11901992" w14:textId="16A68A1B" w:rsidR="00D932AE" w:rsidRDefault="00D932AE" w:rsidP="0004408B">
      <w:pPr>
        <w:spacing w:after="0" w:line="312" w:lineRule="auto"/>
        <w:jc w:val="both"/>
        <w:rPr>
          <w:rFonts w:ascii="Arial" w:hAnsi="Arial" w:cs="Arial"/>
          <w:lang w:val="es-ES"/>
        </w:rPr>
      </w:pPr>
      <w:r>
        <w:rPr>
          <w:rFonts w:ascii="Arial" w:hAnsi="Arial" w:cs="Arial"/>
          <w:lang w:val="es-ES"/>
        </w:rPr>
        <w:t>La póliza de Responsabilidad Civil Extracontractual No. 1501</w:t>
      </w:r>
      <w:r w:rsidR="00137734">
        <w:rPr>
          <w:rFonts w:ascii="Arial" w:hAnsi="Arial" w:cs="Arial"/>
          <w:lang w:val="es-ES"/>
        </w:rPr>
        <w:t xml:space="preserve">216001931 con coaseguro del </w:t>
      </w:r>
      <w:r w:rsidR="00677588">
        <w:rPr>
          <w:rFonts w:ascii="Arial" w:hAnsi="Arial" w:cs="Arial"/>
          <w:lang w:val="es-ES"/>
        </w:rPr>
        <w:t>21.00%</w:t>
      </w:r>
      <w:r w:rsidR="00C12573">
        <w:rPr>
          <w:rFonts w:ascii="Arial" w:hAnsi="Arial" w:cs="Arial"/>
          <w:lang w:val="es-ES"/>
        </w:rPr>
        <w:t>.</w:t>
      </w:r>
    </w:p>
    <w:p w14:paraId="2061F13A" w14:textId="77777777" w:rsidR="00C12573" w:rsidRDefault="00C12573" w:rsidP="0004408B">
      <w:pPr>
        <w:spacing w:after="0" w:line="312" w:lineRule="auto"/>
        <w:jc w:val="both"/>
        <w:rPr>
          <w:rFonts w:ascii="Arial" w:hAnsi="Arial" w:cs="Arial"/>
          <w:lang w:val="es-ES"/>
        </w:rPr>
      </w:pPr>
    </w:p>
    <w:p w14:paraId="2BCB7FED" w14:textId="38F77626" w:rsidR="00C12573" w:rsidRPr="009A3CB8" w:rsidRDefault="00C12573" w:rsidP="0004408B">
      <w:pPr>
        <w:spacing w:after="0" w:line="312" w:lineRule="auto"/>
        <w:jc w:val="both"/>
        <w:rPr>
          <w:rFonts w:ascii="Arial" w:hAnsi="Arial" w:cs="Arial"/>
          <w:b/>
          <w:bCs/>
          <w:lang w:val="es-ES"/>
        </w:rPr>
      </w:pPr>
      <w:r>
        <w:rPr>
          <w:rFonts w:ascii="Arial" w:hAnsi="Arial" w:cs="Arial"/>
          <w:b/>
          <w:bCs/>
          <w:lang w:val="es-ES"/>
        </w:rPr>
        <w:t xml:space="preserve">ASEGURADO: </w:t>
      </w:r>
      <w:r>
        <w:rPr>
          <w:rFonts w:ascii="Arial" w:hAnsi="Arial" w:cs="Arial"/>
          <w:lang w:val="es-ES"/>
        </w:rPr>
        <w:t>Distrito Especial de Santiago de Cali</w:t>
      </w:r>
    </w:p>
    <w:p w14:paraId="28EFB2B8" w14:textId="1B587767" w:rsidR="0000490B" w:rsidRPr="009A3CB8" w:rsidRDefault="0000490B" w:rsidP="0004408B">
      <w:pPr>
        <w:spacing w:after="0" w:line="312" w:lineRule="auto"/>
        <w:jc w:val="both"/>
        <w:rPr>
          <w:rFonts w:ascii="Arial" w:hAnsi="Arial" w:cs="Arial"/>
          <w:lang w:val="es-ES"/>
        </w:rPr>
      </w:pPr>
    </w:p>
    <w:p w14:paraId="6816D662" w14:textId="34889301" w:rsidR="00665320" w:rsidRDefault="0032364E" w:rsidP="0004408B">
      <w:pPr>
        <w:spacing w:after="0" w:line="312" w:lineRule="auto"/>
        <w:jc w:val="both"/>
        <w:rPr>
          <w:rFonts w:ascii="Arial" w:hAnsi="Arial" w:cs="Arial"/>
        </w:rPr>
      </w:pPr>
      <w:r w:rsidRPr="009A3CB8">
        <w:rPr>
          <w:rFonts w:ascii="Arial" w:hAnsi="Arial" w:cs="Arial"/>
          <w:b/>
          <w:bCs/>
          <w:lang w:val="es-ES"/>
        </w:rPr>
        <w:t xml:space="preserve">FECHA DE LOS HECHOS: </w:t>
      </w:r>
      <w:r w:rsidR="00D51457" w:rsidRPr="00D51457">
        <w:rPr>
          <w:rFonts w:ascii="Arial" w:hAnsi="Arial" w:cs="Arial"/>
          <w:lang w:val="es-ES"/>
        </w:rPr>
        <w:t>15 de noviembre de 2016.</w:t>
      </w:r>
    </w:p>
    <w:p w14:paraId="57292F5A" w14:textId="77777777" w:rsidR="00665320" w:rsidRDefault="00665320" w:rsidP="0004408B">
      <w:pPr>
        <w:spacing w:after="0" w:line="312" w:lineRule="auto"/>
        <w:jc w:val="both"/>
        <w:rPr>
          <w:rFonts w:ascii="Arial" w:hAnsi="Arial" w:cs="Arial"/>
        </w:rPr>
      </w:pPr>
    </w:p>
    <w:p w14:paraId="4B6C3599" w14:textId="47BDF932" w:rsidR="00A21466" w:rsidRDefault="0032364E" w:rsidP="0004408B">
      <w:pPr>
        <w:spacing w:after="0" w:line="312" w:lineRule="auto"/>
        <w:jc w:val="both"/>
        <w:rPr>
          <w:rFonts w:ascii="Arial" w:hAnsi="Arial" w:cs="Arial"/>
        </w:rPr>
      </w:pPr>
      <w:r w:rsidRPr="009A3CB8">
        <w:rPr>
          <w:rFonts w:ascii="Arial" w:hAnsi="Arial" w:cs="Arial"/>
          <w:b/>
          <w:bCs/>
          <w:lang w:val="es-ES"/>
        </w:rPr>
        <w:t>HECHOS:</w:t>
      </w:r>
      <w:r w:rsidRPr="009A3CB8">
        <w:rPr>
          <w:rFonts w:ascii="Arial" w:hAnsi="Arial" w:cs="Arial"/>
          <w:lang w:val="es-ES"/>
        </w:rPr>
        <w:t xml:space="preserve"> </w:t>
      </w:r>
      <w:r w:rsidR="00B658C2" w:rsidRPr="00B658C2">
        <w:rPr>
          <w:rFonts w:ascii="Arial" w:hAnsi="Arial" w:cs="Arial"/>
        </w:rPr>
        <w:t xml:space="preserve">De conformidad con los hechos de la demanda, la señora Graciela Mosquera Mosquera, tenía una vivienda que adquirió mediante documento de compraventa de mejoras y derecho de posesión con fecha de entrega real y material del 13 de julio de 1988, autenticado en la Notaria Primera del Circuito de Cali, celebrado entre </w:t>
      </w:r>
      <w:r w:rsidR="001E451C" w:rsidRPr="00B658C2">
        <w:rPr>
          <w:rFonts w:ascii="Arial" w:hAnsi="Arial" w:cs="Arial"/>
        </w:rPr>
        <w:t>José</w:t>
      </w:r>
      <w:r w:rsidR="00B658C2" w:rsidRPr="00B658C2">
        <w:rPr>
          <w:rFonts w:ascii="Arial" w:hAnsi="Arial" w:cs="Arial"/>
        </w:rPr>
        <w:t xml:space="preserve"> Ovidio Loaiza y Julio Vidal </w:t>
      </w:r>
      <w:r w:rsidR="001E451C" w:rsidRPr="00B658C2">
        <w:rPr>
          <w:rFonts w:ascii="Arial" w:hAnsi="Arial" w:cs="Arial"/>
        </w:rPr>
        <w:t>López</w:t>
      </w:r>
      <w:r w:rsidR="00B658C2" w:rsidRPr="00B658C2">
        <w:rPr>
          <w:rFonts w:ascii="Arial" w:hAnsi="Arial" w:cs="Arial"/>
        </w:rPr>
        <w:t xml:space="preserve"> </w:t>
      </w:r>
      <w:r w:rsidR="001E451C" w:rsidRPr="00B658C2">
        <w:rPr>
          <w:rFonts w:ascii="Arial" w:hAnsi="Arial" w:cs="Arial"/>
        </w:rPr>
        <w:t>González</w:t>
      </w:r>
      <w:r w:rsidR="00B658C2" w:rsidRPr="00B658C2">
        <w:rPr>
          <w:rFonts w:ascii="Arial" w:hAnsi="Arial" w:cs="Arial"/>
        </w:rPr>
        <w:t xml:space="preserve">, la señora Mosquera, a través de Acta de declaración bajo juramento presentó para su protocolización y archivo, el Acta No. 238 del 24 de noviembre de 2006, declaración juramentada de construcciones y mejoras realizadas sobre el inmueble. La parte actora manifiesta que, el señor Julio Cesar </w:t>
      </w:r>
      <w:r w:rsidR="001E451C" w:rsidRPr="00B658C2">
        <w:rPr>
          <w:rFonts w:ascii="Arial" w:hAnsi="Arial" w:cs="Arial"/>
        </w:rPr>
        <w:t>López</w:t>
      </w:r>
      <w:r w:rsidR="00B658C2" w:rsidRPr="00B658C2">
        <w:rPr>
          <w:rFonts w:ascii="Arial" w:hAnsi="Arial" w:cs="Arial"/>
        </w:rPr>
        <w:t xml:space="preserve"> Mosquera, hijo de la señora Mosquera, desarrollaba en la vivienda arriba mencionado un taller de mecánica para arreglo y mantenimiento de motocicletas y vehículos, generando ingresos mensuales por valor de $1.200.000, que ayudaban al mantenimiento del hogar que conformaba con su madre. En diciembre de 2011, la Gobernación del Valle del Cauca y la Corporación Autónoma Regional del Valle del Cauca (CVC), postularon ante el Fondo de Adaptación el “Plan Jarillón del </w:t>
      </w:r>
      <w:r w:rsidR="00B658C2" w:rsidRPr="00B658C2">
        <w:rPr>
          <w:rFonts w:ascii="Arial" w:hAnsi="Arial" w:cs="Arial"/>
        </w:rPr>
        <w:lastRenderedPageBreak/>
        <w:t xml:space="preserve">Rio Cauca y Obras Complementarias – PJAOC”, hoy Plan Jarillón de Cali, y fue seleccionado el 02 de febrero de 2012, con el fin de que involucra recuperar la estructura del dique, demoliendo las construcciones de los pobladores allí ubicados y reasentarlos en apartamentos y viviendas de interés </w:t>
      </w:r>
      <w:r w:rsidR="00A3518A">
        <w:rPr>
          <w:rFonts w:ascii="Arial" w:hAnsi="Arial" w:cs="Arial"/>
        </w:rPr>
        <w:t xml:space="preserve">prioritario. </w:t>
      </w:r>
    </w:p>
    <w:p w14:paraId="0939197D" w14:textId="77777777" w:rsidR="007E0B9C" w:rsidRDefault="007E0B9C" w:rsidP="0004408B">
      <w:pPr>
        <w:spacing w:after="0" w:line="312" w:lineRule="auto"/>
        <w:jc w:val="both"/>
        <w:rPr>
          <w:rFonts w:ascii="Arial" w:hAnsi="Arial" w:cs="Arial"/>
        </w:rPr>
      </w:pPr>
    </w:p>
    <w:p w14:paraId="2A34E44A" w14:textId="2EFDF88E" w:rsidR="007E0B9C" w:rsidRDefault="00377450" w:rsidP="0004408B">
      <w:pPr>
        <w:spacing w:after="0" w:line="312" w:lineRule="auto"/>
        <w:jc w:val="both"/>
        <w:rPr>
          <w:rFonts w:ascii="Arial" w:hAnsi="Arial" w:cs="Arial"/>
          <w:lang w:val="es-ES"/>
        </w:rPr>
      </w:pPr>
      <w:r>
        <w:rPr>
          <w:rFonts w:ascii="Arial" w:hAnsi="Arial" w:cs="Arial"/>
          <w:lang w:val="es-ES"/>
        </w:rPr>
        <w:t xml:space="preserve">El </w:t>
      </w:r>
      <w:r w:rsidRPr="00377450">
        <w:rPr>
          <w:rFonts w:ascii="Arial" w:hAnsi="Arial" w:cs="Arial"/>
          <w:lang w:val="es-ES"/>
        </w:rPr>
        <w:t>día 15 de noviembre de 2016, a las 10:30 A.M</w:t>
      </w:r>
      <w:r>
        <w:rPr>
          <w:rFonts w:ascii="Arial" w:hAnsi="Arial" w:cs="Arial"/>
          <w:lang w:val="es-ES"/>
        </w:rPr>
        <w:t xml:space="preserve"> </w:t>
      </w:r>
      <w:r w:rsidRPr="00377450">
        <w:rPr>
          <w:rFonts w:ascii="Arial" w:hAnsi="Arial" w:cs="Arial"/>
          <w:lang w:val="es-ES"/>
        </w:rPr>
        <w:t>la señora Graciela</w:t>
      </w:r>
      <w:r>
        <w:rPr>
          <w:rFonts w:ascii="Arial" w:hAnsi="Arial" w:cs="Arial"/>
          <w:lang w:val="es-ES"/>
        </w:rPr>
        <w:t xml:space="preserve"> </w:t>
      </w:r>
      <w:r w:rsidRPr="00377450">
        <w:rPr>
          <w:rFonts w:ascii="Arial" w:hAnsi="Arial" w:cs="Arial"/>
          <w:lang w:val="es-ES"/>
        </w:rPr>
        <w:t xml:space="preserve">Mosquera Mosquera, junto con sus familiares se encontraron rodeados de un dispositivo de muchos uniformados de la policía entre los que se estaban, el Escuadrón Móvil Antidisturbios, ESMAD, efectivos de la Policía Metropolitana, el Grupo de Operaciones Especiales de la </w:t>
      </w:r>
      <w:r w:rsidR="001E451C" w:rsidRPr="00377450">
        <w:rPr>
          <w:rFonts w:ascii="Arial" w:hAnsi="Arial" w:cs="Arial"/>
          <w:lang w:val="es-ES"/>
        </w:rPr>
        <w:t>Policía</w:t>
      </w:r>
      <w:r w:rsidRPr="00377450">
        <w:rPr>
          <w:rFonts w:ascii="Arial" w:hAnsi="Arial" w:cs="Arial"/>
          <w:lang w:val="es-ES"/>
        </w:rPr>
        <w:t xml:space="preserve"> GOES, La </w:t>
      </w:r>
      <w:proofErr w:type="spellStart"/>
      <w:r w:rsidRPr="00377450">
        <w:rPr>
          <w:rFonts w:ascii="Arial" w:hAnsi="Arial" w:cs="Arial"/>
          <w:lang w:val="es-ES"/>
        </w:rPr>
        <w:t>Sijin</w:t>
      </w:r>
      <w:proofErr w:type="spellEnd"/>
      <w:r w:rsidRPr="00377450">
        <w:rPr>
          <w:rFonts w:ascii="Arial" w:hAnsi="Arial" w:cs="Arial"/>
          <w:lang w:val="es-ES"/>
        </w:rPr>
        <w:t>, la Dirección de Carabineros, agentes de civil de organismos de seguridad del Estado sin identificar, y personal de la CVC y de las Empresas Municipales de Cali. Situación que provocó un malestar general en la salud de la señora GRACIELA; razón suficiente para que su hija LUZ MARINA FALLA MOSQUERA la sacara de la casa inmediatamente.</w:t>
      </w:r>
      <w:r w:rsidR="00E055CC">
        <w:rPr>
          <w:rFonts w:ascii="Arial" w:hAnsi="Arial" w:cs="Arial"/>
          <w:lang w:val="es-ES"/>
        </w:rPr>
        <w:t xml:space="preserve"> </w:t>
      </w:r>
      <w:r w:rsidRPr="00377450">
        <w:rPr>
          <w:rFonts w:ascii="Arial" w:hAnsi="Arial" w:cs="Arial"/>
          <w:lang w:val="es-ES"/>
        </w:rPr>
        <w:t xml:space="preserve">Minutos después, procedieron a demoler la vivienda de </w:t>
      </w:r>
      <w:r w:rsidR="003F2B48">
        <w:rPr>
          <w:rFonts w:ascii="Arial" w:hAnsi="Arial" w:cs="Arial"/>
          <w:lang w:val="es-ES"/>
        </w:rPr>
        <w:t>los demandantes</w:t>
      </w:r>
      <w:r w:rsidRPr="00377450">
        <w:rPr>
          <w:rFonts w:ascii="Arial" w:hAnsi="Arial" w:cs="Arial"/>
          <w:lang w:val="es-ES"/>
        </w:rPr>
        <w:t xml:space="preserve">. Esto sucede sin que se adelantara un proceso legal en su contra, del mismo modo que no le dejaron un acta de demolición a su nombre que diera cuenta de la operación realizada. Meses después la señora </w:t>
      </w:r>
      <w:r w:rsidR="005923B4" w:rsidRPr="00377450">
        <w:rPr>
          <w:rFonts w:ascii="Arial" w:hAnsi="Arial" w:cs="Arial"/>
          <w:lang w:val="es-ES"/>
        </w:rPr>
        <w:t xml:space="preserve">Luz Marina Falla Mosquera </w:t>
      </w:r>
      <w:r w:rsidRPr="00377450">
        <w:rPr>
          <w:rFonts w:ascii="Arial" w:hAnsi="Arial" w:cs="Arial"/>
          <w:lang w:val="es-ES"/>
        </w:rPr>
        <w:t xml:space="preserve">solicitó acta de demolición y solo le entregaron un documento que relaciona viviendas demolidas, donde se incluye el número que antes les </w:t>
      </w:r>
      <w:r w:rsidR="00E055CC" w:rsidRPr="00377450">
        <w:rPr>
          <w:rFonts w:ascii="Arial" w:hAnsi="Arial" w:cs="Arial"/>
          <w:lang w:val="es-ES"/>
        </w:rPr>
        <w:t>habían</w:t>
      </w:r>
      <w:r w:rsidRPr="00377450">
        <w:rPr>
          <w:rFonts w:ascii="Arial" w:hAnsi="Arial" w:cs="Arial"/>
          <w:lang w:val="es-ES"/>
        </w:rPr>
        <w:t xml:space="preserve"> asignado 245105, pero el mismo no tiene las formalidades de un</w:t>
      </w:r>
      <w:r w:rsidR="00E055CC">
        <w:rPr>
          <w:rFonts w:ascii="Arial" w:hAnsi="Arial" w:cs="Arial"/>
          <w:lang w:val="es-ES"/>
        </w:rPr>
        <w:t xml:space="preserve"> </w:t>
      </w:r>
      <w:r w:rsidRPr="00377450">
        <w:rPr>
          <w:rFonts w:ascii="Arial" w:hAnsi="Arial" w:cs="Arial"/>
          <w:lang w:val="es-ES"/>
        </w:rPr>
        <w:t>acta de esa diligencia.</w:t>
      </w:r>
    </w:p>
    <w:p w14:paraId="4B1F1A50" w14:textId="77777777" w:rsidR="006B6DCA" w:rsidRPr="009A3CB8" w:rsidRDefault="006B6DCA" w:rsidP="0004408B">
      <w:pPr>
        <w:spacing w:after="0" w:line="312" w:lineRule="auto"/>
        <w:jc w:val="both"/>
        <w:rPr>
          <w:rFonts w:ascii="Arial" w:hAnsi="Arial" w:cs="Arial"/>
          <w:color w:val="5A6573"/>
          <w:spacing w:val="2"/>
          <w:shd w:val="clear" w:color="auto" w:fill="FFFFFF"/>
        </w:rPr>
      </w:pPr>
    </w:p>
    <w:p w14:paraId="77EF7F6A" w14:textId="0F7D081A" w:rsidR="00500CF5" w:rsidRPr="009A3CB8" w:rsidRDefault="0032364E" w:rsidP="0004408B">
      <w:pPr>
        <w:spacing w:after="0" w:line="312" w:lineRule="auto"/>
        <w:jc w:val="both"/>
        <w:rPr>
          <w:rFonts w:ascii="Arial" w:hAnsi="Arial" w:cs="Arial"/>
          <w:spacing w:val="2"/>
          <w:shd w:val="clear" w:color="auto" w:fill="FFFFFF"/>
        </w:rPr>
      </w:pPr>
      <w:r w:rsidRPr="009A3CB8">
        <w:rPr>
          <w:rFonts w:ascii="Arial" w:hAnsi="Arial" w:cs="Arial"/>
          <w:b/>
          <w:bCs/>
          <w:lang w:val="es-ES"/>
        </w:rPr>
        <w:t>PRETENSIONES:</w:t>
      </w:r>
      <w:r w:rsidRPr="009A3CB8">
        <w:rPr>
          <w:rFonts w:ascii="Arial" w:hAnsi="Arial" w:cs="Arial"/>
          <w:lang w:val="es-ES"/>
        </w:rPr>
        <w:t xml:space="preserve"> </w:t>
      </w:r>
      <w:r w:rsidR="00500CF5" w:rsidRPr="009A3CB8">
        <w:rPr>
          <w:rFonts w:ascii="Arial" w:hAnsi="Arial" w:cs="Arial"/>
          <w:spacing w:val="2"/>
          <w:shd w:val="clear" w:color="auto" w:fill="FFFFFF"/>
        </w:rPr>
        <w:t xml:space="preserve">Las pretensiones de la demanda van encaminadas a obtener </w:t>
      </w:r>
      <w:r w:rsidR="00AC096F">
        <w:rPr>
          <w:rFonts w:ascii="Arial" w:hAnsi="Arial" w:cs="Arial"/>
          <w:spacing w:val="2"/>
          <w:shd w:val="clear" w:color="auto" w:fill="FFFFFF"/>
        </w:rPr>
        <w:t>el reconocimiento y</w:t>
      </w:r>
      <w:r w:rsidR="00500CF5" w:rsidRPr="009A3CB8">
        <w:rPr>
          <w:rFonts w:ascii="Arial" w:hAnsi="Arial" w:cs="Arial"/>
          <w:spacing w:val="2"/>
          <w:shd w:val="clear" w:color="auto" w:fill="FFFFFF"/>
        </w:rPr>
        <w:t xml:space="preserve"> pago de:</w:t>
      </w:r>
    </w:p>
    <w:p w14:paraId="286FD5A8" w14:textId="77777777" w:rsidR="007F081F" w:rsidRDefault="007F081F" w:rsidP="0004408B">
      <w:pPr>
        <w:spacing w:after="0" w:line="312" w:lineRule="auto"/>
        <w:jc w:val="both"/>
        <w:rPr>
          <w:rFonts w:ascii="Arial" w:hAnsi="Arial" w:cs="Arial"/>
          <w:spacing w:val="2"/>
          <w:shd w:val="clear" w:color="auto" w:fill="FFFFFF"/>
        </w:rPr>
      </w:pPr>
    </w:p>
    <w:p w14:paraId="2F679EC0" w14:textId="6DD07919" w:rsidR="00494E38" w:rsidRPr="0004408B" w:rsidRDefault="001C5991" w:rsidP="004112A8">
      <w:pPr>
        <w:pStyle w:val="Prrafodelista"/>
        <w:numPr>
          <w:ilvl w:val="0"/>
          <w:numId w:val="19"/>
        </w:numPr>
        <w:spacing w:after="0" w:line="312" w:lineRule="auto"/>
        <w:ind w:left="284" w:hanging="284"/>
        <w:rPr>
          <w:rFonts w:ascii="Arial" w:hAnsi="Arial" w:cs="Arial"/>
        </w:rPr>
      </w:pPr>
      <w:r w:rsidRPr="0004408B">
        <w:rPr>
          <w:rFonts w:ascii="Arial" w:hAnsi="Arial" w:cs="Arial"/>
          <w:b/>
          <w:bCs/>
          <w:lang w:eastAsia="es-CO"/>
        </w:rPr>
        <w:t>Por Lucro cesante</w:t>
      </w:r>
      <w:r w:rsidRPr="0004408B">
        <w:rPr>
          <w:rFonts w:ascii="Arial" w:hAnsi="Arial" w:cs="Arial"/>
          <w:b/>
          <w:bCs/>
        </w:rPr>
        <w:t xml:space="preserve">: </w:t>
      </w:r>
      <w:r w:rsidR="00494E38" w:rsidRPr="0004408B">
        <w:rPr>
          <w:rFonts w:ascii="Arial" w:hAnsi="Arial" w:cs="Arial"/>
          <w:b/>
          <w:bCs/>
          <w:lang w:eastAsia="es-CO"/>
        </w:rPr>
        <w:t>$37.250.000</w:t>
      </w:r>
      <w:r w:rsidR="0004408B" w:rsidRPr="0004408B">
        <w:rPr>
          <w:rFonts w:ascii="Arial" w:hAnsi="Arial" w:cs="Arial"/>
          <w:b/>
          <w:bCs/>
          <w:lang w:eastAsia="es-CO"/>
        </w:rPr>
        <w:t>.</w:t>
      </w:r>
      <w:r w:rsidR="0004408B">
        <w:rPr>
          <w:rFonts w:ascii="Arial" w:hAnsi="Arial" w:cs="Arial"/>
          <w:b/>
          <w:bCs/>
          <w:lang w:eastAsia="es-CO"/>
        </w:rPr>
        <w:t xml:space="preserve"> </w:t>
      </w:r>
      <w:r w:rsidR="0004408B" w:rsidRPr="0004408B">
        <w:rPr>
          <w:rFonts w:ascii="Arial" w:hAnsi="Arial" w:cs="Arial"/>
        </w:rPr>
        <w:t>En favor de todos los demandantes:</w:t>
      </w:r>
    </w:p>
    <w:p w14:paraId="52076ED2" w14:textId="77777777" w:rsidR="0004408B" w:rsidRDefault="0004408B" w:rsidP="0004408B">
      <w:pPr>
        <w:spacing w:after="0" w:line="312" w:lineRule="auto"/>
        <w:jc w:val="both"/>
        <w:rPr>
          <w:rFonts w:ascii="Arial" w:hAnsi="Arial" w:cs="Arial"/>
          <w:spacing w:val="2"/>
          <w:shd w:val="clear" w:color="auto" w:fill="FFFFFF"/>
        </w:rPr>
      </w:pPr>
    </w:p>
    <w:p w14:paraId="73CB24EB" w14:textId="71C29CD4" w:rsidR="0004408B" w:rsidRPr="0004408B" w:rsidRDefault="0004408B" w:rsidP="0004408B">
      <w:pPr>
        <w:spacing w:after="0" w:line="312" w:lineRule="auto"/>
        <w:jc w:val="both"/>
        <w:rPr>
          <w:rFonts w:ascii="Arial" w:hAnsi="Arial" w:cs="Arial"/>
          <w:spacing w:val="2"/>
          <w:shd w:val="clear" w:color="auto" w:fill="FFFFFF"/>
        </w:rPr>
      </w:pPr>
      <w:r w:rsidRPr="0004408B">
        <w:rPr>
          <w:rFonts w:ascii="Arial" w:hAnsi="Arial" w:cs="Arial"/>
          <w:spacing w:val="2"/>
          <w:shd w:val="clear" w:color="auto" w:fill="FFFFFF"/>
        </w:rPr>
        <w:t xml:space="preserve">Griselda Mosquera Mosquera </w:t>
      </w:r>
    </w:p>
    <w:p w14:paraId="53543CE3" w14:textId="3881FA9C" w:rsidR="0004408B" w:rsidRPr="0004408B" w:rsidRDefault="0004408B" w:rsidP="0004408B">
      <w:pPr>
        <w:spacing w:after="0" w:line="312" w:lineRule="auto"/>
        <w:jc w:val="both"/>
        <w:rPr>
          <w:rFonts w:ascii="Arial" w:hAnsi="Arial" w:cs="Arial"/>
          <w:spacing w:val="2"/>
          <w:shd w:val="clear" w:color="auto" w:fill="FFFFFF"/>
        </w:rPr>
      </w:pPr>
      <w:r w:rsidRPr="0004408B">
        <w:rPr>
          <w:rFonts w:ascii="Arial" w:hAnsi="Arial" w:cs="Arial"/>
          <w:spacing w:val="2"/>
          <w:shd w:val="clear" w:color="auto" w:fill="FFFFFF"/>
        </w:rPr>
        <w:t xml:space="preserve">Julio Cesar López Mosquera </w:t>
      </w:r>
    </w:p>
    <w:p w14:paraId="61B0B17F" w14:textId="6D780551" w:rsidR="0004408B" w:rsidRPr="0004408B" w:rsidRDefault="0004408B" w:rsidP="0004408B">
      <w:pPr>
        <w:spacing w:after="0" w:line="312" w:lineRule="auto"/>
        <w:jc w:val="both"/>
        <w:rPr>
          <w:rFonts w:ascii="Arial" w:hAnsi="Arial" w:cs="Arial"/>
          <w:spacing w:val="2"/>
          <w:shd w:val="clear" w:color="auto" w:fill="FFFFFF"/>
        </w:rPr>
      </w:pPr>
      <w:r w:rsidRPr="0004408B">
        <w:rPr>
          <w:rFonts w:ascii="Arial" w:hAnsi="Arial" w:cs="Arial"/>
          <w:spacing w:val="2"/>
          <w:shd w:val="clear" w:color="auto" w:fill="FFFFFF"/>
        </w:rPr>
        <w:t xml:space="preserve">Luz Marina Falla Mosquera </w:t>
      </w:r>
    </w:p>
    <w:p w14:paraId="52963797" w14:textId="3070DBAE" w:rsidR="0004408B" w:rsidRPr="0004408B" w:rsidRDefault="0004408B" w:rsidP="0004408B">
      <w:pPr>
        <w:spacing w:after="0" w:line="312" w:lineRule="auto"/>
        <w:jc w:val="both"/>
        <w:rPr>
          <w:rFonts w:ascii="Arial" w:hAnsi="Arial" w:cs="Arial"/>
          <w:spacing w:val="2"/>
          <w:shd w:val="clear" w:color="auto" w:fill="FFFFFF"/>
        </w:rPr>
      </w:pPr>
      <w:r w:rsidRPr="0004408B">
        <w:rPr>
          <w:rFonts w:ascii="Arial" w:hAnsi="Arial" w:cs="Arial"/>
          <w:spacing w:val="2"/>
          <w:shd w:val="clear" w:color="auto" w:fill="FFFFFF"/>
        </w:rPr>
        <w:t xml:space="preserve">Jorge Iván Pérez Acosta </w:t>
      </w:r>
    </w:p>
    <w:p w14:paraId="67DF8F9E" w14:textId="74A8615F" w:rsidR="0004408B" w:rsidRPr="0004408B" w:rsidRDefault="0004408B" w:rsidP="0004408B">
      <w:pPr>
        <w:spacing w:after="0" w:line="312" w:lineRule="auto"/>
        <w:jc w:val="both"/>
        <w:rPr>
          <w:rFonts w:ascii="Arial" w:hAnsi="Arial" w:cs="Arial"/>
          <w:spacing w:val="2"/>
          <w:shd w:val="clear" w:color="auto" w:fill="FFFFFF"/>
        </w:rPr>
      </w:pPr>
      <w:proofErr w:type="spellStart"/>
      <w:r w:rsidRPr="0004408B">
        <w:rPr>
          <w:rFonts w:ascii="Arial" w:hAnsi="Arial" w:cs="Arial"/>
          <w:spacing w:val="2"/>
          <w:shd w:val="clear" w:color="auto" w:fill="FFFFFF"/>
        </w:rPr>
        <w:t>Jhonatan</w:t>
      </w:r>
      <w:proofErr w:type="spellEnd"/>
      <w:r w:rsidRPr="0004408B">
        <w:rPr>
          <w:rFonts w:ascii="Arial" w:hAnsi="Arial" w:cs="Arial"/>
          <w:spacing w:val="2"/>
          <w:shd w:val="clear" w:color="auto" w:fill="FFFFFF"/>
        </w:rPr>
        <w:t xml:space="preserve"> Andrés Pérez Acosta </w:t>
      </w:r>
    </w:p>
    <w:p w14:paraId="0E231AE3" w14:textId="77777777" w:rsidR="0004408B" w:rsidRPr="0004408B" w:rsidRDefault="0004408B" w:rsidP="0004408B">
      <w:pPr>
        <w:spacing w:after="0" w:line="312" w:lineRule="auto"/>
        <w:rPr>
          <w:rFonts w:ascii="Arial" w:hAnsi="Arial" w:cs="Arial"/>
          <w:b/>
          <w:bCs/>
        </w:rPr>
      </w:pPr>
    </w:p>
    <w:p w14:paraId="4962E765" w14:textId="01CCBB13" w:rsidR="0004408B" w:rsidRPr="0004408B" w:rsidRDefault="00494E38" w:rsidP="0004408B">
      <w:pPr>
        <w:pStyle w:val="Prrafodelista"/>
        <w:numPr>
          <w:ilvl w:val="0"/>
          <w:numId w:val="19"/>
        </w:numPr>
        <w:spacing w:after="0" w:line="312" w:lineRule="auto"/>
        <w:ind w:left="284" w:hanging="284"/>
        <w:rPr>
          <w:rFonts w:ascii="Arial" w:hAnsi="Arial" w:cs="Arial"/>
          <w:b/>
          <w:bCs/>
        </w:rPr>
      </w:pPr>
      <w:r>
        <w:rPr>
          <w:rFonts w:ascii="Arial" w:hAnsi="Arial" w:cs="Arial"/>
          <w:b/>
          <w:bCs/>
          <w:lang w:eastAsia="es-CO"/>
        </w:rPr>
        <w:t>Por daño emergente: $151.185.564</w:t>
      </w:r>
    </w:p>
    <w:p w14:paraId="5511B5FF" w14:textId="77777777" w:rsidR="0004408B" w:rsidRDefault="0004408B" w:rsidP="0004408B">
      <w:pPr>
        <w:spacing w:after="0" w:line="312" w:lineRule="auto"/>
        <w:rPr>
          <w:rFonts w:ascii="Arial" w:hAnsi="Arial" w:cs="Arial"/>
          <w:spacing w:val="2"/>
          <w:shd w:val="clear" w:color="auto" w:fill="FFFFFF"/>
        </w:rPr>
      </w:pPr>
    </w:p>
    <w:p w14:paraId="4E0BD2F1" w14:textId="27309B26" w:rsidR="0004408B" w:rsidRPr="0004408B" w:rsidRDefault="0004408B" w:rsidP="0004408B">
      <w:pPr>
        <w:spacing w:after="0" w:line="312" w:lineRule="auto"/>
        <w:rPr>
          <w:rFonts w:ascii="Arial" w:hAnsi="Arial" w:cs="Arial"/>
          <w:b/>
          <w:bCs/>
        </w:rPr>
      </w:pPr>
      <w:r w:rsidRPr="0004408B">
        <w:rPr>
          <w:rFonts w:ascii="Arial" w:hAnsi="Arial" w:cs="Arial"/>
          <w:spacing w:val="2"/>
          <w:shd w:val="clear" w:color="auto" w:fill="FFFFFF"/>
        </w:rPr>
        <w:t xml:space="preserve">Griselda Mosquera Mosquera </w:t>
      </w:r>
      <w:r w:rsidRPr="0004408B">
        <w:rPr>
          <w:rFonts w:ascii="Arial" w:hAnsi="Arial" w:cs="Arial"/>
          <w:lang w:eastAsia="es-CO"/>
        </w:rPr>
        <w:t>$151.185.564</w:t>
      </w:r>
    </w:p>
    <w:p w14:paraId="4D779E68" w14:textId="77777777" w:rsidR="00494E38" w:rsidRPr="00494E38" w:rsidRDefault="00494E38" w:rsidP="0004408B">
      <w:pPr>
        <w:pStyle w:val="Prrafodelista"/>
        <w:spacing w:after="0" w:line="312" w:lineRule="auto"/>
        <w:ind w:left="284"/>
        <w:rPr>
          <w:rFonts w:ascii="Arial" w:hAnsi="Arial" w:cs="Arial"/>
          <w:b/>
          <w:bCs/>
        </w:rPr>
      </w:pPr>
    </w:p>
    <w:p w14:paraId="55A1EC95" w14:textId="282C6AF4" w:rsidR="00180BE7" w:rsidRPr="009A3CB8" w:rsidRDefault="000B43AC" w:rsidP="0004408B">
      <w:pPr>
        <w:pStyle w:val="Prrafodelista"/>
        <w:numPr>
          <w:ilvl w:val="0"/>
          <w:numId w:val="19"/>
        </w:numPr>
        <w:spacing w:after="0" w:line="312" w:lineRule="auto"/>
        <w:ind w:left="284" w:hanging="284"/>
        <w:rPr>
          <w:rFonts w:ascii="Arial" w:hAnsi="Arial" w:cs="Arial"/>
          <w:b/>
          <w:bCs/>
        </w:rPr>
      </w:pPr>
      <w:r>
        <w:rPr>
          <w:rFonts w:ascii="Arial" w:hAnsi="Arial" w:cs="Arial"/>
          <w:b/>
          <w:bCs/>
          <w:lang w:eastAsia="es-CO"/>
        </w:rPr>
        <w:t>P</w:t>
      </w:r>
      <w:r w:rsidR="00BE1B31" w:rsidRPr="009A3CB8">
        <w:rPr>
          <w:rFonts w:ascii="Arial" w:hAnsi="Arial" w:cs="Arial"/>
          <w:b/>
          <w:bCs/>
          <w:lang w:eastAsia="es-CO"/>
        </w:rPr>
        <w:t>or perjuicios morales</w:t>
      </w:r>
      <w:r w:rsidR="007F081F" w:rsidRPr="009A3CB8">
        <w:rPr>
          <w:rFonts w:ascii="Arial" w:hAnsi="Arial" w:cs="Arial"/>
          <w:b/>
          <w:bCs/>
        </w:rPr>
        <w:t xml:space="preserve">: </w:t>
      </w:r>
      <w:r w:rsidR="009D41D8">
        <w:rPr>
          <w:rFonts w:ascii="Arial" w:hAnsi="Arial" w:cs="Arial"/>
          <w:b/>
          <w:bCs/>
          <w:lang w:eastAsia="es-CO"/>
        </w:rPr>
        <w:t>10</w:t>
      </w:r>
      <w:r w:rsidR="000A15D9" w:rsidRPr="009A3CB8">
        <w:rPr>
          <w:rFonts w:ascii="Arial" w:hAnsi="Arial" w:cs="Arial"/>
          <w:b/>
          <w:bCs/>
          <w:lang w:eastAsia="es-CO"/>
        </w:rPr>
        <w:t xml:space="preserve">0 </w:t>
      </w:r>
      <w:r w:rsidR="007F081F" w:rsidRPr="009A3CB8">
        <w:rPr>
          <w:rFonts w:ascii="Arial" w:hAnsi="Arial" w:cs="Arial"/>
          <w:b/>
          <w:bCs/>
          <w:lang w:eastAsia="es-CO"/>
        </w:rPr>
        <w:t>SMLMV</w:t>
      </w:r>
    </w:p>
    <w:p w14:paraId="122409BD" w14:textId="77777777" w:rsidR="00DA1BFB" w:rsidRPr="009A3CB8" w:rsidRDefault="00DA1BFB" w:rsidP="0004408B">
      <w:pPr>
        <w:pStyle w:val="Prrafodelista"/>
        <w:spacing w:after="0" w:line="312" w:lineRule="auto"/>
        <w:rPr>
          <w:rFonts w:ascii="Arial" w:hAnsi="Arial" w:cs="Arial"/>
          <w:b/>
          <w:bCs/>
        </w:rPr>
      </w:pPr>
    </w:p>
    <w:p w14:paraId="2646BBE1" w14:textId="5B6FC1B6" w:rsidR="00494E38" w:rsidRPr="009A3CB8" w:rsidRDefault="00494E38" w:rsidP="0004408B">
      <w:pPr>
        <w:spacing w:after="0" w:line="312" w:lineRule="auto"/>
        <w:jc w:val="both"/>
        <w:rPr>
          <w:rFonts w:ascii="Arial" w:hAnsi="Arial" w:cs="Arial"/>
          <w:spacing w:val="2"/>
          <w:shd w:val="clear" w:color="auto" w:fill="FFFFFF"/>
        </w:rPr>
      </w:pPr>
      <w:r>
        <w:rPr>
          <w:rFonts w:ascii="Arial" w:hAnsi="Arial" w:cs="Arial"/>
          <w:spacing w:val="2"/>
          <w:shd w:val="clear" w:color="auto" w:fill="FFFFFF"/>
        </w:rPr>
        <w:t>Griselda Mosquera Mosquera</w:t>
      </w:r>
      <w:r w:rsidRPr="009A3CB8">
        <w:rPr>
          <w:rFonts w:ascii="Arial" w:hAnsi="Arial" w:cs="Arial"/>
          <w:spacing w:val="2"/>
          <w:shd w:val="clear" w:color="auto" w:fill="FFFFFF"/>
        </w:rPr>
        <w:t xml:space="preserve"> </w:t>
      </w:r>
      <w:r>
        <w:rPr>
          <w:rFonts w:ascii="Arial" w:hAnsi="Arial" w:cs="Arial"/>
          <w:spacing w:val="2"/>
          <w:shd w:val="clear" w:color="auto" w:fill="FFFFFF"/>
        </w:rPr>
        <w:t>20SMLMV</w:t>
      </w:r>
    </w:p>
    <w:p w14:paraId="02A27AA9" w14:textId="39635AE9" w:rsidR="00494E38" w:rsidRPr="009A3CB8" w:rsidRDefault="00494E38" w:rsidP="0004408B">
      <w:pPr>
        <w:spacing w:after="0" w:line="312" w:lineRule="auto"/>
        <w:jc w:val="both"/>
        <w:rPr>
          <w:rFonts w:ascii="Arial" w:hAnsi="Arial" w:cs="Arial"/>
          <w:spacing w:val="2"/>
          <w:shd w:val="clear" w:color="auto" w:fill="FFFFFF"/>
        </w:rPr>
      </w:pPr>
      <w:r>
        <w:rPr>
          <w:rFonts w:ascii="Arial" w:hAnsi="Arial" w:cs="Arial"/>
          <w:spacing w:val="2"/>
          <w:shd w:val="clear" w:color="auto" w:fill="FFFFFF"/>
        </w:rPr>
        <w:t>Julio Cesar López Mosquera</w:t>
      </w:r>
      <w:r w:rsidRPr="009A3CB8">
        <w:rPr>
          <w:rFonts w:ascii="Arial" w:hAnsi="Arial" w:cs="Arial"/>
          <w:spacing w:val="2"/>
          <w:shd w:val="clear" w:color="auto" w:fill="FFFFFF"/>
        </w:rPr>
        <w:t xml:space="preserve"> </w:t>
      </w:r>
      <w:r>
        <w:rPr>
          <w:rFonts w:ascii="Arial" w:hAnsi="Arial" w:cs="Arial"/>
          <w:spacing w:val="2"/>
          <w:shd w:val="clear" w:color="auto" w:fill="FFFFFF"/>
        </w:rPr>
        <w:t>20SMLMV</w:t>
      </w:r>
    </w:p>
    <w:p w14:paraId="2E4869A8" w14:textId="6278CB7B" w:rsidR="00494E38" w:rsidRPr="009A3CB8" w:rsidRDefault="00494E38" w:rsidP="0004408B">
      <w:pPr>
        <w:spacing w:after="0" w:line="312" w:lineRule="auto"/>
        <w:jc w:val="both"/>
        <w:rPr>
          <w:rFonts w:ascii="Arial" w:hAnsi="Arial" w:cs="Arial"/>
          <w:spacing w:val="2"/>
          <w:shd w:val="clear" w:color="auto" w:fill="FFFFFF"/>
        </w:rPr>
      </w:pPr>
      <w:r>
        <w:rPr>
          <w:rFonts w:ascii="Arial" w:hAnsi="Arial" w:cs="Arial"/>
          <w:spacing w:val="2"/>
          <w:shd w:val="clear" w:color="auto" w:fill="FFFFFF"/>
        </w:rPr>
        <w:t>Luz Marina Falla Mosquera</w:t>
      </w:r>
      <w:r w:rsidRPr="009A3CB8">
        <w:rPr>
          <w:rFonts w:ascii="Arial" w:hAnsi="Arial" w:cs="Arial"/>
          <w:spacing w:val="2"/>
          <w:shd w:val="clear" w:color="auto" w:fill="FFFFFF"/>
        </w:rPr>
        <w:t xml:space="preserve"> </w:t>
      </w:r>
      <w:r>
        <w:rPr>
          <w:rFonts w:ascii="Arial" w:hAnsi="Arial" w:cs="Arial"/>
          <w:spacing w:val="2"/>
          <w:shd w:val="clear" w:color="auto" w:fill="FFFFFF"/>
        </w:rPr>
        <w:t>20SMLMV</w:t>
      </w:r>
    </w:p>
    <w:p w14:paraId="2B0A17B8" w14:textId="160EC846" w:rsidR="00494E38" w:rsidRDefault="00494E38" w:rsidP="0004408B">
      <w:pPr>
        <w:spacing w:after="0" w:line="312" w:lineRule="auto"/>
        <w:jc w:val="both"/>
        <w:rPr>
          <w:rFonts w:ascii="Arial" w:hAnsi="Arial" w:cs="Arial"/>
          <w:spacing w:val="2"/>
          <w:shd w:val="clear" w:color="auto" w:fill="FFFFFF"/>
        </w:rPr>
      </w:pPr>
      <w:r>
        <w:rPr>
          <w:rFonts w:ascii="Arial" w:hAnsi="Arial" w:cs="Arial"/>
          <w:spacing w:val="2"/>
          <w:shd w:val="clear" w:color="auto" w:fill="FFFFFF"/>
        </w:rPr>
        <w:t>Jorge Iván Pérez Acosta</w:t>
      </w:r>
      <w:r w:rsidRPr="009A3CB8">
        <w:rPr>
          <w:rFonts w:ascii="Arial" w:hAnsi="Arial" w:cs="Arial"/>
          <w:spacing w:val="2"/>
          <w:shd w:val="clear" w:color="auto" w:fill="FFFFFF"/>
        </w:rPr>
        <w:t xml:space="preserve"> </w:t>
      </w:r>
      <w:r>
        <w:rPr>
          <w:rFonts w:ascii="Arial" w:hAnsi="Arial" w:cs="Arial"/>
          <w:spacing w:val="2"/>
          <w:shd w:val="clear" w:color="auto" w:fill="FFFFFF"/>
        </w:rPr>
        <w:t>20SMLMV</w:t>
      </w:r>
    </w:p>
    <w:p w14:paraId="3D3CB57A" w14:textId="53D27CE0" w:rsidR="00494E38" w:rsidRPr="009A3CB8" w:rsidRDefault="00494E38" w:rsidP="0004408B">
      <w:pPr>
        <w:spacing w:after="0" w:line="312" w:lineRule="auto"/>
        <w:jc w:val="both"/>
        <w:rPr>
          <w:rFonts w:ascii="Arial" w:hAnsi="Arial" w:cs="Arial"/>
          <w:spacing w:val="2"/>
          <w:shd w:val="clear" w:color="auto" w:fill="FFFFFF"/>
        </w:rPr>
      </w:pPr>
      <w:proofErr w:type="spellStart"/>
      <w:r>
        <w:rPr>
          <w:rFonts w:ascii="Arial" w:hAnsi="Arial" w:cs="Arial"/>
          <w:spacing w:val="2"/>
          <w:shd w:val="clear" w:color="auto" w:fill="FFFFFF"/>
        </w:rPr>
        <w:t>Jhonatan</w:t>
      </w:r>
      <w:proofErr w:type="spellEnd"/>
      <w:r>
        <w:rPr>
          <w:rFonts w:ascii="Arial" w:hAnsi="Arial" w:cs="Arial"/>
          <w:spacing w:val="2"/>
          <w:shd w:val="clear" w:color="auto" w:fill="FFFFFF"/>
        </w:rPr>
        <w:t xml:space="preserve"> Andrés Pérez Acosta 20SMLMV</w:t>
      </w:r>
    </w:p>
    <w:p w14:paraId="7D943C5C" w14:textId="77777777" w:rsidR="000C0D81" w:rsidRPr="009A3CB8" w:rsidRDefault="000C0D81" w:rsidP="0004408B">
      <w:pPr>
        <w:spacing w:after="0" w:line="312" w:lineRule="auto"/>
        <w:jc w:val="both"/>
        <w:rPr>
          <w:rFonts w:ascii="Arial" w:hAnsi="Arial" w:cs="Arial"/>
          <w:spacing w:val="2"/>
          <w:shd w:val="clear" w:color="auto" w:fill="FFFFFF"/>
        </w:rPr>
      </w:pPr>
    </w:p>
    <w:p w14:paraId="7A48D41F" w14:textId="4264676F" w:rsidR="000C0D81" w:rsidRPr="009A3CB8" w:rsidRDefault="000B43AC" w:rsidP="0004408B">
      <w:pPr>
        <w:pStyle w:val="Prrafodelista"/>
        <w:numPr>
          <w:ilvl w:val="0"/>
          <w:numId w:val="19"/>
        </w:numPr>
        <w:spacing w:after="0" w:line="312" w:lineRule="auto"/>
        <w:ind w:left="284" w:hanging="284"/>
        <w:rPr>
          <w:rFonts w:ascii="Arial" w:hAnsi="Arial" w:cs="Arial"/>
          <w:b/>
          <w:bCs/>
        </w:rPr>
      </w:pPr>
      <w:r>
        <w:rPr>
          <w:rFonts w:ascii="Arial" w:hAnsi="Arial" w:cs="Arial"/>
          <w:b/>
          <w:bCs/>
          <w:lang w:eastAsia="es-CO"/>
        </w:rPr>
        <w:t>P</w:t>
      </w:r>
      <w:r w:rsidR="000C0D81" w:rsidRPr="009A3CB8">
        <w:rPr>
          <w:rFonts w:ascii="Arial" w:hAnsi="Arial" w:cs="Arial"/>
          <w:b/>
          <w:bCs/>
          <w:lang w:eastAsia="es-CO"/>
        </w:rPr>
        <w:t xml:space="preserve">or </w:t>
      </w:r>
      <w:r w:rsidR="009D41D8">
        <w:rPr>
          <w:rFonts w:ascii="Arial" w:hAnsi="Arial" w:cs="Arial"/>
          <w:b/>
          <w:bCs/>
          <w:lang w:eastAsia="es-CO"/>
        </w:rPr>
        <w:t>derechos constitucional y convencionalmente protegidos: 20 SMLMV</w:t>
      </w:r>
    </w:p>
    <w:p w14:paraId="5855316A" w14:textId="77777777" w:rsidR="00805708" w:rsidRPr="00813A66" w:rsidRDefault="00805708" w:rsidP="0004408B">
      <w:pPr>
        <w:spacing w:after="0" w:line="312" w:lineRule="auto"/>
        <w:jc w:val="both"/>
        <w:rPr>
          <w:rFonts w:ascii="Arial" w:eastAsia="Times New Roman" w:hAnsi="Arial" w:cs="Arial"/>
          <w:spacing w:val="2"/>
          <w:lang w:val="en-US" w:eastAsia="es-CO"/>
        </w:rPr>
      </w:pPr>
    </w:p>
    <w:p w14:paraId="7D207BF4" w14:textId="334E509F" w:rsidR="002001FB" w:rsidRPr="009A3CB8" w:rsidRDefault="00BB1FC1" w:rsidP="0004408B">
      <w:pPr>
        <w:spacing w:after="0" w:line="312" w:lineRule="auto"/>
        <w:jc w:val="both"/>
        <w:rPr>
          <w:rFonts w:ascii="Arial" w:hAnsi="Arial" w:cs="Arial"/>
          <w:lang w:val="es-ES"/>
        </w:rPr>
      </w:pPr>
      <w:r w:rsidRPr="009A3CB8">
        <w:rPr>
          <w:rFonts w:ascii="Arial" w:hAnsi="Arial" w:cs="Arial"/>
          <w:spacing w:val="2"/>
          <w:shd w:val="clear" w:color="auto" w:fill="FFFFFF"/>
        </w:rPr>
        <w:t xml:space="preserve">+ </w:t>
      </w:r>
      <w:r w:rsidR="00500CF5" w:rsidRPr="009A3CB8">
        <w:rPr>
          <w:rFonts w:ascii="Arial" w:hAnsi="Arial" w:cs="Arial"/>
          <w:spacing w:val="2"/>
          <w:shd w:val="clear" w:color="auto" w:fill="FFFFFF"/>
        </w:rPr>
        <w:t>pago de intereses</w:t>
      </w:r>
      <w:r w:rsidR="007F081F" w:rsidRPr="009A3CB8">
        <w:rPr>
          <w:rFonts w:ascii="Arial" w:hAnsi="Arial" w:cs="Arial"/>
          <w:spacing w:val="2"/>
          <w:shd w:val="clear" w:color="auto" w:fill="FFFFFF"/>
        </w:rPr>
        <w:t xml:space="preserve"> y</w:t>
      </w:r>
      <w:r w:rsidR="00500CF5" w:rsidRPr="009A3CB8">
        <w:rPr>
          <w:rFonts w:ascii="Arial" w:hAnsi="Arial" w:cs="Arial"/>
          <w:spacing w:val="2"/>
          <w:shd w:val="clear" w:color="auto" w:fill="FFFFFF"/>
        </w:rPr>
        <w:t xml:space="preserve"> costas </w:t>
      </w:r>
      <w:r w:rsidR="007F081F" w:rsidRPr="009A3CB8">
        <w:rPr>
          <w:rFonts w:ascii="Arial" w:hAnsi="Arial" w:cs="Arial"/>
          <w:spacing w:val="2"/>
          <w:shd w:val="clear" w:color="auto" w:fill="FFFFFF"/>
        </w:rPr>
        <w:t xml:space="preserve">del proceso. </w:t>
      </w:r>
    </w:p>
    <w:p w14:paraId="5AB2F4B0" w14:textId="77777777" w:rsidR="0032364E" w:rsidRPr="009A3CB8" w:rsidRDefault="0032364E" w:rsidP="0004408B">
      <w:pPr>
        <w:spacing w:after="0" w:line="312" w:lineRule="auto"/>
        <w:jc w:val="both"/>
        <w:rPr>
          <w:rFonts w:ascii="Arial" w:hAnsi="Arial" w:cs="Arial"/>
          <w:lang w:val="es-ES"/>
        </w:rPr>
      </w:pPr>
    </w:p>
    <w:p w14:paraId="6EF3ED67" w14:textId="09786058" w:rsidR="0032364E" w:rsidRPr="009A3CB8" w:rsidRDefault="0032364E" w:rsidP="0004408B">
      <w:pPr>
        <w:pStyle w:val="Prrafodelista"/>
        <w:spacing w:after="0" w:line="312" w:lineRule="auto"/>
        <w:ind w:left="567"/>
        <w:jc w:val="both"/>
        <w:rPr>
          <w:rFonts w:ascii="Arial" w:hAnsi="Arial" w:cs="Arial"/>
          <w:b/>
          <w:bCs/>
          <w:u w:val="single"/>
          <w:lang w:val="es-ES"/>
        </w:rPr>
      </w:pPr>
      <w:r w:rsidRPr="009A3CB8">
        <w:rPr>
          <w:rFonts w:ascii="Arial" w:hAnsi="Arial" w:cs="Arial"/>
          <w:b/>
          <w:bCs/>
          <w:u w:val="single"/>
          <w:lang w:val="es-ES"/>
        </w:rPr>
        <w:t xml:space="preserve">TOTAL: $ </w:t>
      </w:r>
      <w:r w:rsidR="00242AE1">
        <w:rPr>
          <w:rFonts w:ascii="Arial" w:hAnsi="Arial" w:cs="Arial"/>
          <w:b/>
          <w:bCs/>
          <w:u w:val="single"/>
          <w:lang w:val="es-ES"/>
        </w:rPr>
        <w:t>287</w:t>
      </w:r>
      <w:r w:rsidR="0066553A">
        <w:rPr>
          <w:rFonts w:ascii="Arial" w:hAnsi="Arial" w:cs="Arial"/>
          <w:b/>
          <w:bCs/>
          <w:u w:val="single"/>
          <w:lang w:val="es-ES"/>
        </w:rPr>
        <w:t>.809.484</w:t>
      </w:r>
      <w:r w:rsidR="00B22740" w:rsidRPr="009A3CB8">
        <w:rPr>
          <w:rFonts w:ascii="Arial" w:hAnsi="Arial" w:cs="Arial"/>
          <w:b/>
          <w:bCs/>
          <w:u w:val="single"/>
          <w:lang w:val="es-ES"/>
        </w:rPr>
        <w:t xml:space="preserve"> </w:t>
      </w:r>
      <w:r w:rsidR="00653910" w:rsidRPr="009A3CB8">
        <w:rPr>
          <w:rFonts w:ascii="Arial" w:hAnsi="Arial" w:cs="Arial"/>
          <w:b/>
          <w:bCs/>
          <w:u w:val="single"/>
          <w:lang w:val="es-ES"/>
        </w:rPr>
        <w:t>– AÑO 202</w:t>
      </w:r>
      <w:r w:rsidR="004A2873" w:rsidRPr="009A3CB8">
        <w:rPr>
          <w:rFonts w:ascii="Arial" w:hAnsi="Arial" w:cs="Arial"/>
          <w:b/>
          <w:bCs/>
          <w:u w:val="single"/>
          <w:lang w:val="es-ES"/>
        </w:rPr>
        <w:t>1</w:t>
      </w:r>
      <w:r w:rsidR="00653910" w:rsidRPr="009A3CB8">
        <w:rPr>
          <w:rFonts w:ascii="Arial" w:hAnsi="Arial" w:cs="Arial"/>
          <w:b/>
          <w:bCs/>
          <w:u w:val="single"/>
          <w:lang w:val="es-ES"/>
        </w:rPr>
        <w:t>.</w:t>
      </w:r>
    </w:p>
    <w:p w14:paraId="4D22A93D" w14:textId="77777777" w:rsidR="001F5E8F" w:rsidRPr="009A3CB8" w:rsidRDefault="001F5E8F" w:rsidP="0004408B">
      <w:pPr>
        <w:spacing w:after="0" w:line="312" w:lineRule="auto"/>
        <w:jc w:val="both"/>
        <w:rPr>
          <w:rFonts w:ascii="Arial" w:hAnsi="Arial" w:cs="Arial"/>
          <w:bdr w:val="none" w:sz="0" w:space="0" w:color="auto" w:frame="1"/>
          <w:shd w:val="clear" w:color="auto" w:fill="FFFFFF"/>
        </w:rPr>
      </w:pPr>
    </w:p>
    <w:p w14:paraId="3A62D97F" w14:textId="77777777" w:rsidR="00B23AFD" w:rsidRPr="009A3CB8" w:rsidRDefault="00B23AFD" w:rsidP="009B0C2C">
      <w:pPr>
        <w:pStyle w:val="Prrafodelista"/>
        <w:numPr>
          <w:ilvl w:val="0"/>
          <w:numId w:val="5"/>
        </w:numPr>
        <w:shd w:val="clear" w:color="auto" w:fill="FFFFFF"/>
        <w:spacing w:after="0" w:line="312" w:lineRule="auto"/>
        <w:ind w:left="284" w:hanging="283"/>
        <w:jc w:val="center"/>
        <w:textAlignment w:val="baseline"/>
        <w:rPr>
          <w:rFonts w:ascii="Arial" w:hAnsi="Arial" w:cs="Arial"/>
          <w:lang w:val="es-ES"/>
        </w:rPr>
      </w:pPr>
      <w:r w:rsidRPr="009A3CB8">
        <w:rPr>
          <w:rFonts w:ascii="Arial" w:hAnsi="Arial" w:cs="Arial"/>
          <w:b/>
          <w:bCs/>
          <w:u w:val="single"/>
          <w:lang w:val="es-ES"/>
        </w:rPr>
        <w:t>CONTINGENCIA</w:t>
      </w:r>
    </w:p>
    <w:p w14:paraId="7D3EB613" w14:textId="77777777" w:rsidR="00B23AFD" w:rsidRPr="009A3CB8" w:rsidRDefault="00B23AFD" w:rsidP="0004408B">
      <w:pPr>
        <w:spacing w:after="0" w:line="312" w:lineRule="auto"/>
        <w:jc w:val="both"/>
        <w:rPr>
          <w:rFonts w:ascii="Arial" w:hAnsi="Arial" w:cs="Arial"/>
          <w:b/>
          <w:bCs/>
          <w:lang w:val="es-ES"/>
        </w:rPr>
      </w:pPr>
    </w:p>
    <w:p w14:paraId="0D3A85CF" w14:textId="059EB7DC" w:rsidR="001237B8" w:rsidRPr="009A3CB8" w:rsidRDefault="00B23AFD" w:rsidP="0004408B">
      <w:pPr>
        <w:shd w:val="clear" w:color="auto" w:fill="FFFFFF"/>
        <w:spacing w:after="0" w:line="312" w:lineRule="auto"/>
        <w:jc w:val="both"/>
        <w:textAlignment w:val="baseline"/>
        <w:rPr>
          <w:rFonts w:ascii="Arial" w:eastAsia="Times New Roman" w:hAnsi="Arial" w:cs="Arial"/>
          <w:bdr w:val="none" w:sz="0" w:space="0" w:color="auto" w:frame="1"/>
          <w:shd w:val="clear" w:color="auto" w:fill="FFFFFF"/>
          <w:lang w:eastAsia="es-CO"/>
        </w:rPr>
      </w:pPr>
      <w:r w:rsidRPr="009A3CB8">
        <w:rPr>
          <w:rFonts w:ascii="Arial" w:eastAsia="Times New Roman" w:hAnsi="Arial" w:cs="Arial"/>
          <w:b/>
          <w:bCs/>
          <w:u w:val="single"/>
          <w:bdr w:val="none" w:sz="0" w:space="0" w:color="auto" w:frame="1"/>
          <w:lang w:eastAsia="es-CO"/>
        </w:rPr>
        <w:t>CALIFICACIÓN: </w:t>
      </w:r>
      <w:r w:rsidRPr="009A3CB8">
        <w:rPr>
          <w:rFonts w:ascii="Arial" w:eastAsia="Times New Roman" w:hAnsi="Arial" w:cs="Arial"/>
          <w:bdr w:val="none" w:sz="0" w:space="0" w:color="auto" w:frame="1"/>
          <w:shd w:val="clear" w:color="auto" w:fill="FFFFFF"/>
          <w:lang w:eastAsia="es-CO"/>
        </w:rPr>
        <w:t xml:space="preserve">La contingencia se </w:t>
      </w:r>
      <w:r w:rsidR="0095192D" w:rsidRPr="009A3CB8">
        <w:rPr>
          <w:rFonts w:ascii="Arial" w:eastAsia="Times New Roman" w:hAnsi="Arial" w:cs="Arial"/>
          <w:bdr w:val="none" w:sz="0" w:space="0" w:color="auto" w:frame="1"/>
          <w:shd w:val="clear" w:color="auto" w:fill="FFFFFF"/>
          <w:lang w:eastAsia="es-CO"/>
        </w:rPr>
        <w:t>califica como</w:t>
      </w:r>
      <w:r w:rsidR="001237B8" w:rsidRPr="009A3CB8">
        <w:rPr>
          <w:rFonts w:ascii="Arial" w:eastAsia="Times New Roman" w:hAnsi="Arial" w:cs="Arial"/>
          <w:bdr w:val="none" w:sz="0" w:space="0" w:color="auto" w:frame="1"/>
          <w:shd w:val="clear" w:color="auto" w:fill="FFFFFF"/>
          <w:lang w:eastAsia="es-CO"/>
        </w:rPr>
        <w:t xml:space="preserve"> </w:t>
      </w:r>
      <w:r w:rsidR="0066553A">
        <w:rPr>
          <w:rFonts w:ascii="Arial" w:hAnsi="Arial" w:cs="Arial"/>
          <w:b/>
          <w:bCs/>
        </w:rPr>
        <w:t>PROBABLE</w:t>
      </w:r>
      <w:r w:rsidR="001237B8" w:rsidRPr="009A3CB8">
        <w:rPr>
          <w:rFonts w:ascii="Arial" w:eastAsia="Times New Roman" w:hAnsi="Arial" w:cs="Arial"/>
          <w:bdr w:val="none" w:sz="0" w:space="0" w:color="auto" w:frame="1"/>
          <w:shd w:val="clear" w:color="auto" w:fill="FFFFFF"/>
          <w:lang w:eastAsia="es-CO"/>
        </w:rPr>
        <w:t xml:space="preserve">, </w:t>
      </w:r>
      <w:r w:rsidR="00325B5A" w:rsidRPr="009A3CB8">
        <w:rPr>
          <w:rFonts w:ascii="Arial" w:eastAsia="Times New Roman" w:hAnsi="Arial" w:cs="Arial"/>
          <w:bdr w:val="none" w:sz="0" w:space="0" w:color="auto" w:frame="1"/>
          <w:shd w:val="clear" w:color="auto" w:fill="FFFFFF"/>
          <w:lang w:eastAsia="es-CO"/>
        </w:rPr>
        <w:t xml:space="preserve">toda vez </w:t>
      </w:r>
      <w:r w:rsidR="00950872" w:rsidRPr="009A3CB8">
        <w:rPr>
          <w:rFonts w:ascii="Arial" w:eastAsia="Times New Roman" w:hAnsi="Arial" w:cs="Arial"/>
          <w:bdr w:val="none" w:sz="0" w:space="0" w:color="auto" w:frame="1"/>
          <w:shd w:val="clear" w:color="auto" w:fill="FFFFFF"/>
          <w:lang w:eastAsia="es-CO"/>
        </w:rPr>
        <w:t>que,</w:t>
      </w:r>
      <w:r w:rsidR="00325B5A" w:rsidRPr="009A3CB8">
        <w:rPr>
          <w:rFonts w:ascii="Arial" w:eastAsia="Times New Roman" w:hAnsi="Arial" w:cs="Arial"/>
          <w:bdr w:val="none" w:sz="0" w:space="0" w:color="auto" w:frame="1"/>
          <w:shd w:val="clear" w:color="auto" w:fill="FFFFFF"/>
          <w:lang w:eastAsia="es-CO"/>
        </w:rPr>
        <w:t xml:space="preserve"> </w:t>
      </w:r>
      <w:r w:rsidR="0095192D" w:rsidRPr="009A3CB8">
        <w:rPr>
          <w:rFonts w:ascii="Arial" w:eastAsia="Times New Roman" w:hAnsi="Arial" w:cs="Arial"/>
          <w:bdr w:val="none" w:sz="0" w:space="0" w:color="auto" w:frame="1"/>
          <w:shd w:val="clear" w:color="auto" w:fill="FFFFFF"/>
          <w:lang w:eastAsia="es-CO"/>
        </w:rPr>
        <w:t xml:space="preserve">el contrato de seguro </w:t>
      </w:r>
      <w:r w:rsidR="00E70EB7" w:rsidRPr="009A3CB8">
        <w:rPr>
          <w:rFonts w:ascii="Arial" w:eastAsia="Times New Roman" w:hAnsi="Arial" w:cs="Arial"/>
          <w:bdr w:val="none" w:sz="0" w:space="0" w:color="auto" w:frame="1"/>
          <w:shd w:val="clear" w:color="auto" w:fill="FFFFFF"/>
          <w:lang w:eastAsia="es-CO"/>
        </w:rPr>
        <w:t>presta</w:t>
      </w:r>
      <w:r w:rsidR="0095192D" w:rsidRPr="009A3CB8">
        <w:rPr>
          <w:rFonts w:ascii="Arial" w:eastAsia="Times New Roman" w:hAnsi="Arial" w:cs="Arial"/>
          <w:bdr w:val="none" w:sz="0" w:space="0" w:color="auto" w:frame="1"/>
          <w:shd w:val="clear" w:color="auto" w:fill="FFFFFF"/>
          <w:lang w:eastAsia="es-CO"/>
        </w:rPr>
        <w:t xml:space="preserve"> cobertura </w:t>
      </w:r>
      <w:r w:rsidR="008013D1">
        <w:rPr>
          <w:rFonts w:ascii="Arial" w:eastAsia="Times New Roman" w:hAnsi="Arial" w:cs="Arial"/>
          <w:bdr w:val="none" w:sz="0" w:space="0" w:color="auto" w:frame="1"/>
          <w:shd w:val="clear" w:color="auto" w:fill="FFFFFF"/>
          <w:lang w:eastAsia="es-CO"/>
        </w:rPr>
        <w:t xml:space="preserve">material </w:t>
      </w:r>
      <w:r w:rsidR="0095250D">
        <w:rPr>
          <w:rFonts w:ascii="Arial" w:eastAsia="Times New Roman" w:hAnsi="Arial" w:cs="Arial"/>
          <w:bdr w:val="none" w:sz="0" w:space="0" w:color="auto" w:frame="1"/>
          <w:shd w:val="clear" w:color="auto" w:fill="FFFFFF"/>
          <w:lang w:eastAsia="es-CO"/>
        </w:rPr>
        <w:t xml:space="preserve">y </w:t>
      </w:r>
      <w:r w:rsidR="0095192D" w:rsidRPr="009A3CB8">
        <w:rPr>
          <w:rFonts w:ascii="Arial" w:eastAsia="Times New Roman" w:hAnsi="Arial" w:cs="Arial"/>
          <w:bdr w:val="none" w:sz="0" w:space="0" w:color="auto" w:frame="1"/>
          <w:shd w:val="clear" w:color="auto" w:fill="FFFFFF"/>
          <w:lang w:eastAsia="es-CO"/>
        </w:rPr>
        <w:t>temporal</w:t>
      </w:r>
      <w:r w:rsidR="0057260D">
        <w:rPr>
          <w:rFonts w:ascii="Arial" w:eastAsia="Times New Roman" w:hAnsi="Arial" w:cs="Arial"/>
          <w:bdr w:val="none" w:sz="0" w:space="0" w:color="auto" w:frame="1"/>
          <w:shd w:val="clear" w:color="auto" w:fill="FFFFFF"/>
          <w:lang w:eastAsia="es-CO"/>
        </w:rPr>
        <w:t xml:space="preserve">, </w:t>
      </w:r>
      <w:r w:rsidR="0066553A">
        <w:rPr>
          <w:rFonts w:ascii="Arial" w:eastAsia="Times New Roman" w:hAnsi="Arial" w:cs="Arial"/>
          <w:bdr w:val="none" w:sz="0" w:space="0" w:color="auto" w:frame="1"/>
          <w:shd w:val="clear" w:color="auto" w:fill="FFFFFF"/>
          <w:lang w:eastAsia="es-CO"/>
        </w:rPr>
        <w:t xml:space="preserve">y se </w:t>
      </w:r>
      <w:r w:rsidR="00416C87">
        <w:rPr>
          <w:rFonts w:ascii="Arial" w:eastAsia="Times New Roman" w:hAnsi="Arial" w:cs="Arial"/>
          <w:bdr w:val="none" w:sz="0" w:space="0" w:color="auto" w:frame="1"/>
          <w:shd w:val="clear" w:color="auto" w:fill="FFFFFF"/>
          <w:lang w:eastAsia="es-CO"/>
        </w:rPr>
        <w:t xml:space="preserve">profirió sentencia de primera instancia desfavorable. </w:t>
      </w:r>
    </w:p>
    <w:p w14:paraId="4A173C89" w14:textId="77777777" w:rsidR="001237B8" w:rsidRPr="009A3CB8" w:rsidRDefault="001237B8" w:rsidP="0004408B">
      <w:pPr>
        <w:shd w:val="clear" w:color="auto" w:fill="FFFFFF"/>
        <w:spacing w:after="0" w:line="312" w:lineRule="auto"/>
        <w:jc w:val="both"/>
        <w:textAlignment w:val="baseline"/>
        <w:rPr>
          <w:rFonts w:ascii="Arial" w:eastAsia="Times New Roman" w:hAnsi="Arial" w:cs="Arial"/>
          <w:bdr w:val="none" w:sz="0" w:space="0" w:color="auto" w:frame="1"/>
          <w:shd w:val="clear" w:color="auto" w:fill="FFFFFF"/>
          <w:lang w:eastAsia="es-CO"/>
        </w:rPr>
      </w:pPr>
    </w:p>
    <w:p w14:paraId="34B399CC" w14:textId="5138906F" w:rsidR="0021706B" w:rsidRDefault="00E41AE1" w:rsidP="0021706B">
      <w:pPr>
        <w:spacing w:after="0" w:line="312" w:lineRule="auto"/>
        <w:jc w:val="both"/>
        <w:rPr>
          <w:rFonts w:ascii="Arial" w:hAnsi="Arial" w:cs="Arial"/>
        </w:rPr>
      </w:pPr>
      <w:r>
        <w:rPr>
          <w:rStyle w:val="contentpasted0"/>
          <w:rFonts w:ascii="Arial" w:hAnsi="Arial" w:cs="Arial"/>
          <w:color w:val="000000"/>
          <w:bdr w:val="none" w:sz="0" w:space="0" w:color="auto" w:frame="1"/>
        </w:rPr>
        <w:t>L</w:t>
      </w:r>
      <w:r w:rsidR="00E70EB7" w:rsidRPr="009A3CB8">
        <w:rPr>
          <w:rStyle w:val="contentpasted0"/>
          <w:rFonts w:ascii="Arial" w:hAnsi="Arial" w:cs="Arial"/>
          <w:color w:val="000000"/>
          <w:bdr w:val="none" w:sz="0" w:space="0" w:color="auto" w:frame="1"/>
        </w:rPr>
        <w:t>a </w:t>
      </w:r>
      <w:r w:rsidR="0008780B" w:rsidRPr="0000490B">
        <w:rPr>
          <w:rFonts w:ascii="Arial" w:hAnsi="Arial" w:cs="Arial"/>
        </w:rPr>
        <w:t xml:space="preserve">Póliza de </w:t>
      </w:r>
      <w:r w:rsidR="00FF6193">
        <w:rPr>
          <w:rFonts w:ascii="Arial" w:hAnsi="Arial" w:cs="Arial"/>
        </w:rPr>
        <w:t xml:space="preserve">Responsabilidad Civil Extracontractual No. </w:t>
      </w:r>
      <w:r w:rsidR="00166F69">
        <w:rPr>
          <w:rFonts w:ascii="Arial" w:hAnsi="Arial" w:cs="Arial"/>
        </w:rPr>
        <w:t xml:space="preserve">1501216001931 </w:t>
      </w:r>
      <w:r w:rsidR="00E70EB7" w:rsidRPr="009A3CB8">
        <w:rPr>
          <w:rStyle w:val="contentpasted0"/>
          <w:rFonts w:ascii="Arial" w:hAnsi="Arial" w:cs="Arial"/>
          <w:color w:val="000000"/>
          <w:bdr w:val="none" w:sz="0" w:space="0" w:color="auto" w:frame="1"/>
        </w:rPr>
        <w:t xml:space="preserve">cuyo tomador es </w:t>
      </w:r>
      <w:r w:rsidR="00166F69">
        <w:rPr>
          <w:rStyle w:val="contentpasted0"/>
          <w:rFonts w:ascii="Arial" w:hAnsi="Arial" w:cs="Arial"/>
          <w:color w:val="000000"/>
          <w:bdr w:val="none" w:sz="0" w:space="0" w:color="auto" w:frame="1"/>
        </w:rPr>
        <w:t>el Distrito Especial de Santiago de Cali</w:t>
      </w:r>
      <w:r w:rsidR="00E70EB7" w:rsidRPr="009A3CB8">
        <w:rPr>
          <w:rFonts w:ascii="Arial" w:hAnsi="Arial" w:cs="Arial"/>
          <w:b/>
          <w:bCs/>
        </w:rPr>
        <w:t xml:space="preserve"> </w:t>
      </w:r>
      <w:r w:rsidR="00E70EB7" w:rsidRPr="009A3CB8">
        <w:rPr>
          <w:rStyle w:val="contentpasted0"/>
          <w:rFonts w:ascii="Arial" w:hAnsi="Arial" w:cs="Arial"/>
          <w:color w:val="000000"/>
          <w:bdr w:val="none" w:sz="0" w:space="0" w:color="auto" w:frame="1"/>
        </w:rPr>
        <w:t>ofrece cobertura temporal</w:t>
      </w:r>
      <w:r w:rsidR="0095250D">
        <w:rPr>
          <w:rStyle w:val="contentpasted0"/>
          <w:rFonts w:ascii="Arial" w:hAnsi="Arial" w:cs="Arial"/>
          <w:color w:val="000000"/>
          <w:bdr w:val="none" w:sz="0" w:space="0" w:color="auto" w:frame="1"/>
        </w:rPr>
        <w:t xml:space="preserve"> y material</w:t>
      </w:r>
      <w:r w:rsidR="00E70EB7" w:rsidRPr="009A3CB8">
        <w:rPr>
          <w:rStyle w:val="contentpasted0"/>
          <w:rFonts w:ascii="Arial" w:hAnsi="Arial" w:cs="Arial"/>
          <w:color w:val="000000"/>
          <w:bdr w:val="none" w:sz="0" w:space="0" w:color="auto" w:frame="1"/>
        </w:rPr>
        <w:t xml:space="preserve"> de acuerdo </w:t>
      </w:r>
      <w:r w:rsidR="00704175">
        <w:rPr>
          <w:rStyle w:val="contentpasted0"/>
          <w:rFonts w:ascii="Arial" w:hAnsi="Arial" w:cs="Arial"/>
          <w:color w:val="000000"/>
          <w:bdr w:val="none" w:sz="0" w:space="0" w:color="auto" w:frame="1"/>
        </w:rPr>
        <w:t>con los hechos y pretensiones señalados en la demanda</w:t>
      </w:r>
      <w:r w:rsidR="00E70EB7" w:rsidRPr="009A3CB8">
        <w:rPr>
          <w:rStyle w:val="contentpasted0"/>
          <w:rFonts w:ascii="Arial" w:hAnsi="Arial" w:cs="Arial"/>
          <w:color w:val="000000"/>
          <w:bdr w:val="none" w:sz="0" w:space="0" w:color="auto" w:frame="1"/>
        </w:rPr>
        <w:t xml:space="preserve">. Frente a la cobertura temporal, debe decirse que su modalidad es </w:t>
      </w:r>
      <w:r w:rsidR="00166F69">
        <w:rPr>
          <w:rStyle w:val="contentpasted0"/>
          <w:rFonts w:ascii="Arial" w:hAnsi="Arial" w:cs="Arial"/>
          <w:color w:val="000000"/>
          <w:bdr w:val="none" w:sz="0" w:space="0" w:color="auto" w:frame="1"/>
        </w:rPr>
        <w:t xml:space="preserve">ocurrencia </w:t>
      </w:r>
      <w:r w:rsidR="00E70EB7" w:rsidRPr="009A3CB8">
        <w:rPr>
          <w:rStyle w:val="contentpasted0"/>
          <w:rFonts w:ascii="Arial" w:hAnsi="Arial" w:cs="Arial"/>
          <w:color w:val="000000"/>
          <w:bdr w:val="none" w:sz="0" w:space="0" w:color="auto" w:frame="1"/>
        </w:rPr>
        <w:t>la cual ampara la responsabilidad civil derivada de daños causados a terceros durante la vigencia de la póliza.</w:t>
      </w:r>
      <w:r w:rsidR="00E70EB7" w:rsidRPr="009A3CB8">
        <w:rPr>
          <w:rStyle w:val="contentpasted0"/>
          <w:rFonts w:ascii="Arial" w:hAnsi="Arial" w:cs="Arial"/>
          <w:color w:val="0D0D0D"/>
          <w:bdr w:val="none" w:sz="0" w:space="0" w:color="auto" w:frame="1"/>
        </w:rPr>
        <w:t> </w:t>
      </w:r>
      <w:r w:rsidR="0021706B" w:rsidRPr="00B8747A">
        <w:rPr>
          <w:rFonts w:ascii="Arial" w:hAnsi="Arial" w:cs="Arial"/>
          <w:lang w:val="es-ES"/>
        </w:rPr>
        <w:t xml:space="preserve">En consecuencia, el contrato de seguro presta cobertura por su temporalidad, toda vez que, el hecho ocurrió </w:t>
      </w:r>
      <w:r w:rsidR="0021706B">
        <w:rPr>
          <w:rFonts w:ascii="Arial" w:hAnsi="Arial" w:cs="Arial"/>
          <w:lang w:val="es-ES"/>
        </w:rPr>
        <w:t>15 de noviembre de 2016</w:t>
      </w:r>
      <w:r w:rsidR="0021706B" w:rsidRPr="00B8747A">
        <w:rPr>
          <w:rFonts w:ascii="Arial" w:hAnsi="Arial" w:cs="Arial"/>
          <w:lang w:val="es-ES"/>
        </w:rPr>
        <w:t xml:space="preserve"> y la vigencia de la póliza comprende desde </w:t>
      </w:r>
      <w:r w:rsidR="0021706B">
        <w:rPr>
          <w:rFonts w:ascii="Arial" w:hAnsi="Arial" w:cs="Arial"/>
          <w:lang w:val="es-ES"/>
        </w:rPr>
        <w:t xml:space="preserve">el </w:t>
      </w:r>
      <w:r w:rsidR="00A852C4">
        <w:rPr>
          <w:rFonts w:ascii="Arial" w:hAnsi="Arial" w:cs="Arial"/>
        </w:rPr>
        <w:t>17 de marzo de 2016 al 2 de diciembre de 2016.</w:t>
      </w:r>
    </w:p>
    <w:p w14:paraId="07730E43" w14:textId="77777777" w:rsidR="0021706B" w:rsidRPr="00B8747A" w:rsidRDefault="0021706B" w:rsidP="0021706B">
      <w:pPr>
        <w:spacing w:after="0" w:line="312" w:lineRule="auto"/>
        <w:jc w:val="both"/>
        <w:rPr>
          <w:rFonts w:ascii="Arial" w:hAnsi="Arial" w:cs="Arial"/>
        </w:rPr>
      </w:pPr>
    </w:p>
    <w:p w14:paraId="3C3A28DD" w14:textId="1AE654F7" w:rsidR="00416C87" w:rsidRPr="00BF3493" w:rsidRDefault="00416C87" w:rsidP="00416C87">
      <w:pPr>
        <w:shd w:val="clear" w:color="auto" w:fill="FFFFFF"/>
        <w:spacing w:after="0" w:line="312" w:lineRule="auto"/>
        <w:jc w:val="both"/>
        <w:textAlignment w:val="baseline"/>
        <w:rPr>
          <w:rFonts w:ascii="Arial" w:eastAsia="Times New Roman" w:hAnsi="Arial" w:cs="Arial"/>
          <w:color w:val="000000"/>
          <w:bdr w:val="none" w:sz="0" w:space="0" w:color="auto" w:frame="1"/>
          <w:shd w:val="clear" w:color="auto" w:fill="FFFFFF"/>
          <w:lang w:val="es-ES" w:eastAsia="es-CO"/>
        </w:rPr>
      </w:pPr>
      <w:r w:rsidRPr="00D90742">
        <w:rPr>
          <w:rFonts w:ascii="Arial" w:eastAsia="Times New Roman" w:hAnsi="Arial" w:cs="Arial"/>
          <w:color w:val="000000"/>
          <w:bdr w:val="none" w:sz="0" w:space="0" w:color="auto" w:frame="1"/>
          <w:shd w:val="clear" w:color="auto" w:fill="FFFFFF"/>
          <w:lang w:val="es-ES" w:eastAsia="es-CO"/>
        </w:rPr>
        <w:t>Teniendo en cuenta que el contrato de seguros presta cobertura material y temporal, la contingencia es probable, toda vez que</w:t>
      </w:r>
      <w:r w:rsidRPr="00A26F2F">
        <w:rPr>
          <w:rFonts w:ascii="Arial" w:eastAsia="Times New Roman" w:hAnsi="Arial" w:cs="Arial"/>
          <w:color w:val="000000"/>
          <w:bdr w:val="none" w:sz="0" w:space="0" w:color="auto" w:frame="1"/>
          <w:shd w:val="clear" w:color="auto" w:fill="FFFFFF"/>
          <w:lang w:val="es-ES" w:eastAsia="es-CO"/>
        </w:rPr>
        <w:t>,</w:t>
      </w:r>
      <w:r w:rsidRPr="00D90742">
        <w:rPr>
          <w:rFonts w:ascii="Arial" w:eastAsia="Times New Roman" w:hAnsi="Arial" w:cs="Arial"/>
          <w:color w:val="000000"/>
          <w:bdr w:val="none" w:sz="0" w:space="0" w:color="auto" w:frame="1"/>
          <w:shd w:val="clear" w:color="auto" w:fill="FFFFFF"/>
          <w:lang w:val="es-ES" w:eastAsia="es-CO"/>
        </w:rPr>
        <w:t> </w:t>
      </w:r>
      <w:r>
        <w:rPr>
          <w:rFonts w:ascii="Arial" w:eastAsia="Times New Roman" w:hAnsi="Arial" w:cs="Arial"/>
          <w:color w:val="000000"/>
          <w:bdr w:val="none" w:sz="0" w:space="0" w:color="auto" w:frame="1"/>
          <w:shd w:val="clear" w:color="auto" w:fill="FFFFFF"/>
          <w:lang w:val="es-ES" w:eastAsia="es-CO"/>
        </w:rPr>
        <w:t xml:space="preserve">se profirió sentencia de primera instancia </w:t>
      </w:r>
      <w:r w:rsidR="00C12573">
        <w:rPr>
          <w:rFonts w:ascii="Arial" w:eastAsia="Times New Roman" w:hAnsi="Arial" w:cs="Arial"/>
          <w:color w:val="000000"/>
          <w:bdr w:val="none" w:sz="0" w:space="0" w:color="auto" w:frame="1"/>
          <w:shd w:val="clear" w:color="auto" w:fill="FFFFFF"/>
          <w:lang w:val="es-ES" w:eastAsia="es-CO"/>
        </w:rPr>
        <w:t xml:space="preserve">desfavorable porque se </w:t>
      </w:r>
      <w:r>
        <w:rPr>
          <w:rFonts w:ascii="Arial" w:eastAsia="Times New Roman" w:hAnsi="Arial" w:cs="Arial"/>
          <w:color w:val="000000"/>
          <w:bdr w:val="none" w:sz="0" w:space="0" w:color="auto" w:frame="1"/>
          <w:shd w:val="clear" w:color="auto" w:fill="FFFFFF"/>
          <w:lang w:val="es-ES" w:eastAsia="es-CO"/>
        </w:rPr>
        <w:t xml:space="preserve">acreditó la responsabilidad de la entidad asegurada, sin que existan elementos </w:t>
      </w:r>
      <w:r w:rsidR="00C12573">
        <w:rPr>
          <w:rFonts w:ascii="Arial" w:eastAsia="Times New Roman" w:hAnsi="Arial" w:cs="Arial"/>
          <w:color w:val="000000"/>
          <w:bdr w:val="none" w:sz="0" w:space="0" w:color="auto" w:frame="1"/>
          <w:shd w:val="clear" w:color="auto" w:fill="FFFFFF"/>
          <w:lang w:val="es-ES" w:eastAsia="es-CO"/>
        </w:rPr>
        <w:t xml:space="preserve">fácticos o jurídicos para que el H. Tribunal Administrativo del Valle del Cauca revoque la decisión. </w:t>
      </w:r>
      <w:r w:rsidR="00FD1C0E">
        <w:rPr>
          <w:rFonts w:ascii="Arial" w:eastAsia="Times New Roman" w:hAnsi="Arial" w:cs="Arial"/>
          <w:color w:val="000000"/>
          <w:bdr w:val="none" w:sz="0" w:space="0" w:color="auto" w:frame="1"/>
          <w:shd w:val="clear" w:color="auto" w:fill="FFFFFF"/>
          <w:lang w:val="es-ES" w:eastAsia="es-CO"/>
        </w:rPr>
        <w:t>El material probatorio obrante en el plenario dejó en evidencia q</w:t>
      </w:r>
      <w:r w:rsidR="00967069">
        <w:rPr>
          <w:rFonts w:ascii="Arial" w:eastAsia="Times New Roman" w:hAnsi="Arial" w:cs="Arial"/>
          <w:color w:val="000000"/>
          <w:bdr w:val="none" w:sz="0" w:space="0" w:color="auto" w:frame="1"/>
          <w:shd w:val="clear" w:color="auto" w:fill="FFFFFF"/>
          <w:lang w:val="es-ES" w:eastAsia="es-CO"/>
        </w:rPr>
        <w:t xml:space="preserve">ue el ente territorial </w:t>
      </w:r>
      <w:r w:rsidR="00A61930">
        <w:rPr>
          <w:rFonts w:ascii="Arial" w:eastAsia="Times New Roman" w:hAnsi="Arial" w:cs="Arial"/>
          <w:color w:val="000000"/>
          <w:bdr w:val="none" w:sz="0" w:space="0" w:color="auto" w:frame="1"/>
          <w:shd w:val="clear" w:color="auto" w:fill="FFFFFF"/>
          <w:lang w:val="es-ES" w:eastAsia="es-CO"/>
        </w:rPr>
        <w:t xml:space="preserve">realizó </w:t>
      </w:r>
      <w:r w:rsidR="000F5A69">
        <w:rPr>
          <w:rFonts w:ascii="Arial" w:eastAsia="Times New Roman" w:hAnsi="Arial" w:cs="Arial"/>
          <w:color w:val="000000"/>
          <w:bdr w:val="none" w:sz="0" w:space="0" w:color="auto" w:frame="1"/>
          <w:shd w:val="clear" w:color="auto" w:fill="FFFFFF"/>
          <w:lang w:val="es-ES" w:eastAsia="es-CO"/>
        </w:rPr>
        <w:t xml:space="preserve">el procedimiento del desalojo de la vivienda donde residían los demandantes sin cumplir las garantías mínimas del debido </w:t>
      </w:r>
      <w:r w:rsidR="009A6862">
        <w:rPr>
          <w:rFonts w:ascii="Arial" w:eastAsia="Times New Roman" w:hAnsi="Arial" w:cs="Arial"/>
          <w:color w:val="000000"/>
          <w:bdr w:val="none" w:sz="0" w:space="0" w:color="auto" w:frame="1"/>
          <w:shd w:val="clear" w:color="auto" w:fill="FFFFFF"/>
          <w:lang w:val="es-ES" w:eastAsia="es-CO"/>
        </w:rPr>
        <w:t xml:space="preserve">proceso lo cual </w:t>
      </w:r>
      <w:r w:rsidR="005D60E1">
        <w:rPr>
          <w:rFonts w:ascii="Arial" w:eastAsia="Times New Roman" w:hAnsi="Arial" w:cs="Arial"/>
          <w:color w:val="000000"/>
          <w:bdr w:val="none" w:sz="0" w:space="0" w:color="auto" w:frame="1"/>
          <w:shd w:val="clear" w:color="auto" w:fill="FFFFFF"/>
          <w:lang w:val="es-ES" w:eastAsia="es-CO"/>
        </w:rPr>
        <w:t>de acuerdo con</w:t>
      </w:r>
      <w:r w:rsidR="009A6862">
        <w:rPr>
          <w:rFonts w:ascii="Arial" w:eastAsia="Times New Roman" w:hAnsi="Arial" w:cs="Arial"/>
          <w:color w:val="000000"/>
          <w:bdr w:val="none" w:sz="0" w:space="0" w:color="auto" w:frame="1"/>
          <w:shd w:val="clear" w:color="auto" w:fill="FFFFFF"/>
          <w:lang w:val="es-ES" w:eastAsia="es-CO"/>
        </w:rPr>
        <w:t xml:space="preserve"> la jurisprudencia de la Corte Constitucional conlleva a la afectación de derechos fundamentales. Esto con razón a </w:t>
      </w:r>
      <w:r w:rsidR="003A437A">
        <w:rPr>
          <w:rFonts w:ascii="Arial" w:eastAsia="Times New Roman" w:hAnsi="Arial" w:cs="Arial"/>
          <w:color w:val="000000"/>
          <w:bdr w:val="none" w:sz="0" w:space="0" w:color="auto" w:frame="1"/>
          <w:shd w:val="clear" w:color="auto" w:fill="FFFFFF"/>
          <w:lang w:val="es-ES" w:eastAsia="es-CO"/>
        </w:rPr>
        <w:t>que el Distrito incumplió con las reglas del Decreto No. 411.0.20.0480 de 2016</w:t>
      </w:r>
      <w:r w:rsidR="009426AD">
        <w:rPr>
          <w:rFonts w:ascii="Arial" w:eastAsia="Times New Roman" w:hAnsi="Arial" w:cs="Arial"/>
          <w:color w:val="000000"/>
          <w:bdr w:val="none" w:sz="0" w:space="0" w:color="auto" w:frame="1"/>
          <w:shd w:val="clear" w:color="auto" w:fill="FFFFFF"/>
          <w:lang w:val="es-ES" w:eastAsia="es-CO"/>
        </w:rPr>
        <w:t xml:space="preserve"> </w:t>
      </w:r>
      <w:r w:rsidR="00EA38AE">
        <w:rPr>
          <w:rFonts w:ascii="Arial" w:eastAsia="Times New Roman" w:hAnsi="Arial" w:cs="Arial"/>
          <w:color w:val="000000"/>
          <w:bdr w:val="none" w:sz="0" w:space="0" w:color="auto" w:frame="1"/>
          <w:shd w:val="clear" w:color="auto" w:fill="FFFFFF"/>
          <w:lang w:val="es-ES" w:eastAsia="es-CO"/>
        </w:rPr>
        <w:t>y omitió realizar</w:t>
      </w:r>
      <w:r w:rsidR="004D3696">
        <w:rPr>
          <w:rFonts w:ascii="Arial" w:eastAsia="Times New Roman" w:hAnsi="Arial" w:cs="Arial"/>
          <w:color w:val="000000"/>
          <w:bdr w:val="none" w:sz="0" w:space="0" w:color="auto" w:frame="1"/>
          <w:shd w:val="clear" w:color="auto" w:fill="FFFFFF"/>
          <w:lang w:val="es-ES" w:eastAsia="es-CO"/>
        </w:rPr>
        <w:t xml:space="preserve"> </w:t>
      </w:r>
      <w:r w:rsidR="002F2A89">
        <w:rPr>
          <w:rFonts w:ascii="Arial" w:eastAsia="Times New Roman" w:hAnsi="Arial" w:cs="Arial"/>
          <w:color w:val="000000"/>
          <w:bdr w:val="none" w:sz="0" w:space="0" w:color="auto" w:frame="1"/>
          <w:shd w:val="clear" w:color="auto" w:fill="FFFFFF"/>
          <w:lang w:val="es-ES" w:eastAsia="es-CO"/>
        </w:rPr>
        <w:t>el trámite previsto en el inciso sexto del artículo décimo sexto</w:t>
      </w:r>
      <w:r w:rsidR="00E17B20">
        <w:rPr>
          <w:rFonts w:ascii="Arial" w:eastAsia="Times New Roman" w:hAnsi="Arial" w:cs="Arial"/>
          <w:color w:val="000000"/>
          <w:bdr w:val="none" w:sz="0" w:space="0" w:color="auto" w:frame="1"/>
          <w:shd w:val="clear" w:color="auto" w:fill="FFFFFF"/>
          <w:lang w:val="es-ES" w:eastAsia="es-CO"/>
        </w:rPr>
        <w:t xml:space="preserve"> </w:t>
      </w:r>
      <w:r w:rsidR="003B3F29">
        <w:rPr>
          <w:rFonts w:ascii="Arial" w:eastAsia="Times New Roman" w:hAnsi="Arial" w:cs="Arial"/>
          <w:color w:val="000000"/>
          <w:bdr w:val="none" w:sz="0" w:space="0" w:color="auto" w:frame="1"/>
          <w:shd w:val="clear" w:color="auto" w:fill="FFFFFF"/>
          <w:lang w:val="es-ES" w:eastAsia="es-CO"/>
        </w:rPr>
        <w:t>e</w:t>
      </w:r>
      <w:r w:rsidR="003B3F29" w:rsidRPr="003B3F29">
        <w:rPr>
          <w:rFonts w:ascii="Arial" w:eastAsia="Times New Roman" w:hAnsi="Arial" w:cs="Arial"/>
          <w:color w:val="000000"/>
          <w:bdr w:val="none" w:sz="0" w:space="0" w:color="auto" w:frame="1"/>
          <w:shd w:val="clear" w:color="auto" w:fill="FFFFFF"/>
          <w:lang w:eastAsia="es-CO"/>
        </w:rPr>
        <w:t>n el sentido de</w:t>
      </w:r>
      <w:r w:rsidR="00471F7E">
        <w:rPr>
          <w:rFonts w:ascii="Arial" w:eastAsia="Times New Roman" w:hAnsi="Arial" w:cs="Arial"/>
          <w:color w:val="000000"/>
          <w:bdr w:val="none" w:sz="0" w:space="0" w:color="auto" w:frame="1"/>
          <w:shd w:val="clear" w:color="auto" w:fill="FFFFFF"/>
          <w:lang w:eastAsia="es-CO"/>
        </w:rPr>
        <w:t xml:space="preserve"> </w:t>
      </w:r>
      <w:r w:rsidR="003B3F29" w:rsidRPr="003B3F29">
        <w:rPr>
          <w:rFonts w:ascii="Arial" w:eastAsia="Times New Roman" w:hAnsi="Arial" w:cs="Arial"/>
          <w:color w:val="000000"/>
          <w:bdr w:val="none" w:sz="0" w:space="0" w:color="auto" w:frame="1"/>
          <w:shd w:val="clear" w:color="auto" w:fill="FFFFFF"/>
          <w:lang w:eastAsia="es-CO"/>
        </w:rPr>
        <w:t>verificar las condiciones del inmueble reportado como propiedad de la señora LUZ MARINA FALLA MOSQUERA y en su lugar adelantó la demolición de la vivienda tan solo 15 días después del pronunciamiento efectuado el 1 de noviembre de 2016</w:t>
      </w:r>
      <w:r w:rsidR="00A756A4">
        <w:rPr>
          <w:rFonts w:ascii="Arial" w:eastAsia="Times New Roman" w:hAnsi="Arial" w:cs="Arial"/>
          <w:color w:val="000000"/>
          <w:bdr w:val="none" w:sz="0" w:space="0" w:color="auto" w:frame="1"/>
          <w:shd w:val="clear" w:color="auto" w:fill="FFFFFF"/>
          <w:lang w:eastAsia="es-CO"/>
        </w:rPr>
        <w:t xml:space="preserve">, </w:t>
      </w:r>
      <w:r w:rsidR="0032096D">
        <w:rPr>
          <w:rFonts w:ascii="Arial" w:eastAsia="Times New Roman" w:hAnsi="Arial" w:cs="Arial"/>
          <w:color w:val="000000"/>
          <w:bdr w:val="none" w:sz="0" w:space="0" w:color="auto" w:frame="1"/>
          <w:shd w:val="clear" w:color="auto" w:fill="FFFFFF"/>
          <w:lang w:eastAsia="es-CO"/>
        </w:rPr>
        <w:t xml:space="preserve">este </w:t>
      </w:r>
      <w:r w:rsidR="00A741AF">
        <w:rPr>
          <w:rFonts w:ascii="Arial" w:eastAsia="Times New Roman" w:hAnsi="Arial" w:cs="Arial"/>
          <w:color w:val="000000"/>
          <w:bdr w:val="none" w:sz="0" w:space="0" w:color="auto" w:frame="1"/>
          <w:shd w:val="clear" w:color="auto" w:fill="FFFFFF"/>
          <w:lang w:eastAsia="es-CO"/>
        </w:rPr>
        <w:t xml:space="preserve">último </w:t>
      </w:r>
      <w:r w:rsidR="00D11C15">
        <w:rPr>
          <w:rFonts w:ascii="Arial" w:eastAsia="Times New Roman" w:hAnsi="Arial" w:cs="Arial"/>
          <w:color w:val="000000"/>
          <w:bdr w:val="none" w:sz="0" w:space="0" w:color="auto" w:frame="1"/>
          <w:shd w:val="clear" w:color="auto" w:fill="FFFFFF"/>
          <w:lang w:val="es-ES" w:eastAsia="es-CO"/>
        </w:rPr>
        <w:t xml:space="preserve">el cual no </w:t>
      </w:r>
      <w:r w:rsidR="0032096D">
        <w:rPr>
          <w:rFonts w:ascii="Arial" w:eastAsia="Times New Roman" w:hAnsi="Arial" w:cs="Arial"/>
          <w:color w:val="000000"/>
          <w:bdr w:val="none" w:sz="0" w:space="0" w:color="auto" w:frame="1"/>
          <w:shd w:val="clear" w:color="auto" w:fill="FFFFFF"/>
          <w:lang w:val="es-ES" w:eastAsia="es-CO"/>
        </w:rPr>
        <w:t xml:space="preserve">cuenta con los elementos </w:t>
      </w:r>
      <w:r w:rsidR="000963CD">
        <w:rPr>
          <w:rFonts w:ascii="Arial" w:eastAsia="Times New Roman" w:hAnsi="Arial" w:cs="Arial"/>
          <w:color w:val="000000"/>
          <w:bdr w:val="none" w:sz="0" w:space="0" w:color="auto" w:frame="1"/>
          <w:shd w:val="clear" w:color="auto" w:fill="FFFFFF"/>
          <w:lang w:val="es-ES" w:eastAsia="es-CO"/>
        </w:rPr>
        <w:t>esenciales para ser</w:t>
      </w:r>
      <w:r w:rsidR="0032096D">
        <w:rPr>
          <w:rFonts w:ascii="Arial" w:eastAsia="Times New Roman" w:hAnsi="Arial" w:cs="Arial"/>
          <w:color w:val="000000"/>
          <w:bdr w:val="none" w:sz="0" w:space="0" w:color="auto" w:frame="1"/>
          <w:shd w:val="clear" w:color="auto" w:fill="FFFFFF"/>
          <w:lang w:val="es-ES" w:eastAsia="es-CO"/>
        </w:rPr>
        <w:t xml:space="preserve"> un acto administrativo</w:t>
      </w:r>
      <w:r w:rsidR="00B53211">
        <w:rPr>
          <w:rFonts w:ascii="Arial" w:eastAsia="Times New Roman" w:hAnsi="Arial" w:cs="Arial"/>
          <w:color w:val="000000"/>
          <w:bdr w:val="none" w:sz="0" w:space="0" w:color="auto" w:frame="1"/>
          <w:shd w:val="clear" w:color="auto" w:fill="FFFFFF"/>
          <w:lang w:val="es-ES" w:eastAsia="es-CO"/>
        </w:rPr>
        <w:t xml:space="preserve"> y</w:t>
      </w:r>
      <w:r w:rsidR="00DC4DC6">
        <w:rPr>
          <w:rFonts w:ascii="Arial" w:eastAsia="Times New Roman" w:hAnsi="Arial" w:cs="Arial"/>
          <w:color w:val="000000"/>
          <w:bdr w:val="none" w:sz="0" w:space="0" w:color="auto" w:frame="1"/>
          <w:shd w:val="clear" w:color="auto" w:fill="FFFFFF"/>
          <w:lang w:val="es-ES" w:eastAsia="es-CO"/>
        </w:rPr>
        <w:t xml:space="preserve"> ser controvertido por la parte implicada</w:t>
      </w:r>
      <w:r w:rsidR="0032096D">
        <w:rPr>
          <w:rFonts w:ascii="Arial" w:eastAsia="Times New Roman" w:hAnsi="Arial" w:cs="Arial"/>
          <w:color w:val="000000"/>
          <w:bdr w:val="none" w:sz="0" w:space="0" w:color="auto" w:frame="1"/>
          <w:shd w:val="clear" w:color="auto" w:fill="FFFFFF"/>
          <w:lang w:val="es-ES" w:eastAsia="es-CO"/>
        </w:rPr>
        <w:t>. En segundo lugar, el</w:t>
      </w:r>
      <w:r w:rsidR="002B559C">
        <w:rPr>
          <w:rFonts w:ascii="Arial" w:eastAsia="Times New Roman" w:hAnsi="Arial" w:cs="Arial"/>
          <w:color w:val="000000"/>
          <w:bdr w:val="none" w:sz="0" w:space="0" w:color="auto" w:frame="1"/>
          <w:shd w:val="clear" w:color="auto" w:fill="FFFFFF"/>
          <w:lang w:val="es-ES" w:eastAsia="es-CO"/>
        </w:rPr>
        <w:t xml:space="preserve"> Distrito no expidió un acto administrativo </w:t>
      </w:r>
      <w:r w:rsidR="00DE6417">
        <w:rPr>
          <w:rFonts w:ascii="Arial" w:eastAsia="Times New Roman" w:hAnsi="Arial" w:cs="Arial"/>
          <w:color w:val="000000"/>
          <w:bdr w:val="none" w:sz="0" w:space="0" w:color="auto" w:frame="1"/>
          <w:shd w:val="clear" w:color="auto" w:fill="FFFFFF"/>
          <w:lang w:val="es-ES" w:eastAsia="es-CO"/>
        </w:rPr>
        <w:t xml:space="preserve">debidamente motivado en el </w:t>
      </w:r>
      <w:r w:rsidR="001B2356">
        <w:rPr>
          <w:rFonts w:ascii="Arial" w:eastAsia="Times New Roman" w:hAnsi="Arial" w:cs="Arial"/>
          <w:color w:val="000000"/>
          <w:bdr w:val="none" w:sz="0" w:space="0" w:color="auto" w:frame="1"/>
          <w:shd w:val="clear" w:color="auto" w:fill="FFFFFF"/>
          <w:lang w:val="es-ES" w:eastAsia="es-CO"/>
        </w:rPr>
        <w:t xml:space="preserve">que se resolviera </w:t>
      </w:r>
      <w:r w:rsidR="0082498D">
        <w:rPr>
          <w:rFonts w:ascii="Arial" w:eastAsia="Times New Roman" w:hAnsi="Arial" w:cs="Arial"/>
          <w:color w:val="000000"/>
          <w:bdr w:val="none" w:sz="0" w:space="0" w:color="auto" w:frame="1"/>
          <w:shd w:val="clear" w:color="auto" w:fill="FFFFFF"/>
          <w:lang w:val="es-ES" w:eastAsia="es-CO"/>
        </w:rPr>
        <w:t xml:space="preserve">el derecho de acceder a </w:t>
      </w:r>
      <w:r w:rsidR="005E2E7D">
        <w:rPr>
          <w:rFonts w:ascii="Arial" w:eastAsia="Times New Roman" w:hAnsi="Arial" w:cs="Arial"/>
          <w:color w:val="000000"/>
          <w:bdr w:val="none" w:sz="0" w:space="0" w:color="auto" w:frame="1"/>
          <w:shd w:val="clear" w:color="auto" w:fill="FFFFFF"/>
          <w:lang w:val="es-ES" w:eastAsia="es-CO"/>
        </w:rPr>
        <w:t>una vivienda</w:t>
      </w:r>
      <w:r w:rsidR="0082498D">
        <w:rPr>
          <w:rFonts w:ascii="Arial" w:eastAsia="Times New Roman" w:hAnsi="Arial" w:cs="Arial"/>
          <w:color w:val="000000"/>
          <w:bdr w:val="none" w:sz="0" w:space="0" w:color="auto" w:frame="1"/>
          <w:shd w:val="clear" w:color="auto" w:fill="FFFFFF"/>
          <w:lang w:val="es-ES" w:eastAsia="es-CO"/>
        </w:rPr>
        <w:t xml:space="preserve"> de interés prioritario </w:t>
      </w:r>
      <w:r w:rsidR="009858BF">
        <w:rPr>
          <w:rFonts w:ascii="Arial" w:eastAsia="Times New Roman" w:hAnsi="Arial" w:cs="Arial"/>
          <w:color w:val="000000"/>
          <w:bdr w:val="none" w:sz="0" w:space="0" w:color="auto" w:frame="1"/>
          <w:shd w:val="clear" w:color="auto" w:fill="FFFFFF"/>
          <w:lang w:val="es-ES" w:eastAsia="es-CO"/>
        </w:rPr>
        <w:t>por</w:t>
      </w:r>
      <w:r w:rsidR="0082498D">
        <w:rPr>
          <w:rFonts w:ascii="Arial" w:eastAsia="Times New Roman" w:hAnsi="Arial" w:cs="Arial"/>
          <w:color w:val="000000"/>
          <w:bdr w:val="none" w:sz="0" w:space="0" w:color="auto" w:frame="1"/>
          <w:shd w:val="clear" w:color="auto" w:fill="FFFFFF"/>
          <w:lang w:val="es-ES" w:eastAsia="es-CO"/>
        </w:rPr>
        <w:t xml:space="preserve"> </w:t>
      </w:r>
      <w:r w:rsidR="00FC7789">
        <w:rPr>
          <w:rFonts w:ascii="Arial" w:eastAsia="Times New Roman" w:hAnsi="Arial" w:cs="Arial"/>
          <w:color w:val="000000"/>
          <w:bdr w:val="none" w:sz="0" w:space="0" w:color="auto" w:frame="1"/>
          <w:shd w:val="clear" w:color="auto" w:fill="FFFFFF"/>
          <w:lang w:val="es-ES" w:eastAsia="es-CO"/>
        </w:rPr>
        <w:t>lo</w:t>
      </w:r>
      <w:r w:rsidR="009858BF">
        <w:rPr>
          <w:rFonts w:ascii="Arial" w:eastAsia="Times New Roman" w:hAnsi="Arial" w:cs="Arial"/>
          <w:color w:val="000000"/>
          <w:bdr w:val="none" w:sz="0" w:space="0" w:color="auto" w:frame="1"/>
          <w:shd w:val="clear" w:color="auto" w:fill="FFFFFF"/>
          <w:lang w:val="es-ES" w:eastAsia="es-CO"/>
        </w:rPr>
        <w:t xml:space="preserve"> que los</w:t>
      </w:r>
      <w:r w:rsidR="00FC7789">
        <w:rPr>
          <w:rFonts w:ascii="Arial" w:eastAsia="Times New Roman" w:hAnsi="Arial" w:cs="Arial"/>
          <w:color w:val="000000"/>
          <w:bdr w:val="none" w:sz="0" w:space="0" w:color="auto" w:frame="1"/>
          <w:shd w:val="clear" w:color="auto" w:fill="FFFFFF"/>
          <w:lang w:val="es-ES" w:eastAsia="es-CO"/>
        </w:rPr>
        <w:t xml:space="preserve"> demandantes no pudieran controvertir esa decisión</w:t>
      </w:r>
      <w:r w:rsidR="009858BF">
        <w:rPr>
          <w:rFonts w:ascii="Arial" w:eastAsia="Times New Roman" w:hAnsi="Arial" w:cs="Arial"/>
          <w:color w:val="000000"/>
          <w:bdr w:val="none" w:sz="0" w:space="0" w:color="auto" w:frame="1"/>
          <w:shd w:val="clear" w:color="auto" w:fill="FFFFFF"/>
          <w:lang w:val="es-ES" w:eastAsia="es-CO"/>
        </w:rPr>
        <w:t xml:space="preserve">. </w:t>
      </w:r>
      <w:r w:rsidR="00FE4101">
        <w:rPr>
          <w:rFonts w:ascii="Arial" w:eastAsia="Times New Roman" w:hAnsi="Arial" w:cs="Arial"/>
          <w:color w:val="000000"/>
          <w:bdr w:val="none" w:sz="0" w:space="0" w:color="auto" w:frame="1"/>
          <w:shd w:val="clear" w:color="auto" w:fill="FFFFFF"/>
          <w:lang w:val="es-ES" w:eastAsia="es-CO"/>
        </w:rPr>
        <w:t xml:space="preserve">Así las cosas, </w:t>
      </w:r>
      <w:r w:rsidR="000963CD">
        <w:rPr>
          <w:rFonts w:ascii="Arial" w:eastAsia="Times New Roman" w:hAnsi="Arial" w:cs="Arial"/>
          <w:color w:val="000000"/>
          <w:bdr w:val="none" w:sz="0" w:space="0" w:color="auto" w:frame="1"/>
          <w:shd w:val="clear" w:color="auto" w:fill="FFFFFF"/>
          <w:lang w:val="es-ES" w:eastAsia="es-CO"/>
        </w:rPr>
        <w:t xml:space="preserve">ante la falta de aplicación de una normatividad y la </w:t>
      </w:r>
      <w:r w:rsidR="00FE4101">
        <w:rPr>
          <w:rFonts w:ascii="Arial" w:eastAsia="Times New Roman" w:hAnsi="Arial" w:cs="Arial"/>
          <w:color w:val="000000"/>
          <w:bdr w:val="none" w:sz="0" w:space="0" w:color="auto" w:frame="1"/>
          <w:shd w:val="clear" w:color="auto" w:fill="FFFFFF"/>
          <w:lang w:val="es-ES" w:eastAsia="es-CO"/>
        </w:rPr>
        <w:t xml:space="preserve">ausencia de expedición de un acto administrativo por parte de la Administración Municipal tal y como lo consagra la norma anteriormente citada, es altamente probable que el H. Tribunal </w:t>
      </w:r>
      <w:r w:rsidR="005E2E7D">
        <w:rPr>
          <w:rFonts w:ascii="Arial" w:eastAsia="Times New Roman" w:hAnsi="Arial" w:cs="Arial"/>
          <w:color w:val="000000"/>
          <w:bdr w:val="none" w:sz="0" w:space="0" w:color="auto" w:frame="1"/>
          <w:shd w:val="clear" w:color="auto" w:fill="FFFFFF"/>
          <w:lang w:val="es-ES" w:eastAsia="es-CO"/>
        </w:rPr>
        <w:t xml:space="preserve">confirme la decisión, máxime cuando </w:t>
      </w:r>
      <w:r w:rsidR="00BC0321">
        <w:rPr>
          <w:rFonts w:ascii="Arial" w:eastAsia="Times New Roman" w:hAnsi="Arial" w:cs="Arial"/>
          <w:color w:val="000000"/>
          <w:bdr w:val="none" w:sz="0" w:space="0" w:color="auto" w:frame="1"/>
          <w:shd w:val="clear" w:color="auto" w:fill="FFFFFF"/>
          <w:lang w:val="es-ES" w:eastAsia="es-CO"/>
        </w:rPr>
        <w:t xml:space="preserve">estos procedimientos </w:t>
      </w:r>
      <w:r w:rsidR="00794059">
        <w:rPr>
          <w:rFonts w:ascii="Arial" w:eastAsia="Times New Roman" w:hAnsi="Arial" w:cs="Arial"/>
          <w:color w:val="000000"/>
          <w:bdr w:val="none" w:sz="0" w:space="0" w:color="auto" w:frame="1"/>
          <w:shd w:val="clear" w:color="auto" w:fill="FFFFFF"/>
          <w:lang w:val="es-ES" w:eastAsia="es-CO"/>
        </w:rPr>
        <w:t>que</w:t>
      </w:r>
      <w:r w:rsidR="001F7AD3">
        <w:rPr>
          <w:rFonts w:ascii="Arial" w:eastAsia="Times New Roman" w:hAnsi="Arial" w:cs="Arial"/>
          <w:color w:val="000000"/>
          <w:bdr w:val="none" w:sz="0" w:space="0" w:color="auto" w:frame="1"/>
          <w:shd w:val="clear" w:color="auto" w:fill="FFFFFF"/>
          <w:lang w:val="es-ES" w:eastAsia="es-CO"/>
        </w:rPr>
        <w:t xml:space="preserve"> generan o </w:t>
      </w:r>
      <w:r w:rsidR="00B819F7">
        <w:rPr>
          <w:rFonts w:ascii="Arial" w:eastAsia="Times New Roman" w:hAnsi="Arial" w:cs="Arial"/>
          <w:color w:val="000000"/>
          <w:bdr w:val="none" w:sz="0" w:space="0" w:color="auto" w:frame="1"/>
          <w:shd w:val="clear" w:color="auto" w:fill="FFFFFF"/>
          <w:lang w:val="es-ES" w:eastAsia="es-CO"/>
        </w:rPr>
        <w:t>niegan</w:t>
      </w:r>
      <w:r w:rsidR="00BC0321">
        <w:rPr>
          <w:rFonts w:ascii="Arial" w:eastAsia="Times New Roman" w:hAnsi="Arial" w:cs="Arial"/>
          <w:color w:val="000000"/>
          <w:bdr w:val="none" w:sz="0" w:space="0" w:color="auto" w:frame="1"/>
          <w:shd w:val="clear" w:color="auto" w:fill="FFFFFF"/>
          <w:lang w:val="es-ES" w:eastAsia="es-CO"/>
        </w:rPr>
        <w:t xml:space="preserve"> derechos es vital que se garantice el debido proceso permitiendo que el involucrado </w:t>
      </w:r>
      <w:r w:rsidR="003B34F9">
        <w:rPr>
          <w:rFonts w:ascii="Arial" w:eastAsia="Times New Roman" w:hAnsi="Arial" w:cs="Arial"/>
          <w:color w:val="000000"/>
          <w:bdr w:val="none" w:sz="0" w:space="0" w:color="auto" w:frame="1"/>
          <w:shd w:val="clear" w:color="auto" w:fill="FFFFFF"/>
          <w:lang w:val="es-ES" w:eastAsia="es-CO"/>
        </w:rPr>
        <w:t xml:space="preserve">presente todos los reparos y pruebas que considere necesarios. </w:t>
      </w:r>
      <w:r w:rsidRPr="00D90742">
        <w:rPr>
          <w:rFonts w:ascii="Arial" w:eastAsia="Times New Roman" w:hAnsi="Arial" w:cs="Arial"/>
          <w:color w:val="000000"/>
          <w:bdr w:val="none" w:sz="0" w:space="0" w:color="auto" w:frame="1"/>
          <w:shd w:val="clear" w:color="auto" w:fill="FFFFFF"/>
          <w:lang w:val="es-ES" w:eastAsia="es-CO"/>
        </w:rPr>
        <w:t>Lo señalado, sin perjuicio del carácter contingente del proceso.</w:t>
      </w:r>
    </w:p>
    <w:p w14:paraId="4DFB4CA5" w14:textId="77777777" w:rsidR="00A852C4" w:rsidRDefault="00A852C4" w:rsidP="0021706B">
      <w:pPr>
        <w:spacing w:after="0" w:line="312" w:lineRule="auto"/>
        <w:jc w:val="both"/>
        <w:rPr>
          <w:rFonts w:ascii="Arial" w:hAnsi="Arial" w:cs="Arial"/>
        </w:rPr>
      </w:pPr>
    </w:p>
    <w:p w14:paraId="75D0709D" w14:textId="77777777" w:rsidR="001F5E8F" w:rsidRPr="009A3CB8" w:rsidRDefault="001F5E8F" w:rsidP="009B0C2C">
      <w:pPr>
        <w:pStyle w:val="Prrafodelista"/>
        <w:numPr>
          <w:ilvl w:val="0"/>
          <w:numId w:val="5"/>
        </w:numPr>
        <w:spacing w:after="0" w:line="312" w:lineRule="auto"/>
        <w:ind w:left="284" w:hanging="283"/>
        <w:jc w:val="center"/>
        <w:rPr>
          <w:rFonts w:ascii="Arial" w:hAnsi="Arial" w:cs="Arial"/>
          <w:b/>
          <w:bCs/>
          <w:u w:val="single"/>
          <w:lang w:val="es-ES"/>
        </w:rPr>
      </w:pPr>
      <w:r w:rsidRPr="009A3CB8">
        <w:rPr>
          <w:rFonts w:ascii="Arial" w:hAnsi="Arial" w:cs="Arial"/>
          <w:b/>
          <w:bCs/>
          <w:u w:val="single"/>
          <w:lang w:val="es-ES"/>
        </w:rPr>
        <w:t xml:space="preserve">LIQUIDACIÓN OBJETIVA </w:t>
      </w:r>
    </w:p>
    <w:p w14:paraId="587D3789" w14:textId="77777777" w:rsidR="001F5E8F" w:rsidRPr="009A3CB8" w:rsidRDefault="001F5E8F" w:rsidP="0004408B">
      <w:pPr>
        <w:spacing w:after="0" w:line="312" w:lineRule="auto"/>
        <w:jc w:val="both"/>
        <w:rPr>
          <w:rFonts w:ascii="Arial" w:hAnsi="Arial" w:cs="Arial"/>
          <w:b/>
          <w:bCs/>
          <w:lang w:val="es-ES"/>
        </w:rPr>
      </w:pPr>
    </w:p>
    <w:p w14:paraId="4FC6E3B1" w14:textId="77281729" w:rsidR="007D4F72" w:rsidRDefault="00125C46" w:rsidP="0004408B">
      <w:pPr>
        <w:spacing w:after="0" w:line="312" w:lineRule="auto"/>
        <w:jc w:val="both"/>
        <w:rPr>
          <w:rFonts w:ascii="Arial" w:hAnsi="Arial" w:cs="Arial"/>
          <w:lang w:val="es-ES"/>
        </w:rPr>
      </w:pPr>
      <w:r w:rsidRPr="009A3CB8">
        <w:rPr>
          <w:rFonts w:ascii="Arial" w:hAnsi="Arial" w:cs="Arial"/>
          <w:lang w:val="es-ES"/>
        </w:rPr>
        <w:t xml:space="preserve">La suma de </w:t>
      </w:r>
      <w:r w:rsidR="002E01B1" w:rsidRPr="009A3CB8">
        <w:rPr>
          <w:rFonts w:ascii="Arial" w:eastAsia="Times New Roman" w:hAnsi="Arial" w:cs="Arial"/>
          <w:b/>
          <w:bCs/>
          <w:color w:val="000000"/>
          <w:u w:val="single"/>
          <w:lang w:eastAsia="es-CO"/>
        </w:rPr>
        <w:t>$</w:t>
      </w:r>
      <w:r w:rsidR="009A2C56" w:rsidRPr="009A2C56">
        <w:rPr>
          <w:rFonts w:ascii="Arial" w:eastAsia="Times New Roman" w:hAnsi="Arial" w:cs="Arial"/>
          <w:b/>
          <w:bCs/>
          <w:color w:val="000000"/>
          <w:u w:val="single"/>
          <w:lang w:eastAsia="es-CO"/>
        </w:rPr>
        <w:t>8.463.000</w:t>
      </w:r>
      <w:r w:rsidRPr="009A3CB8">
        <w:rPr>
          <w:rFonts w:ascii="Arial" w:hAnsi="Arial" w:cs="Arial"/>
          <w:lang w:val="es-ES"/>
        </w:rPr>
        <w:t xml:space="preserve">. Se llegó a este valor de la siguiente manera: </w:t>
      </w:r>
    </w:p>
    <w:p w14:paraId="556F5E88" w14:textId="77777777" w:rsidR="001B7F85" w:rsidRPr="009A3CB8" w:rsidRDefault="001B7F85" w:rsidP="0004408B">
      <w:pPr>
        <w:spacing w:after="0" w:line="312" w:lineRule="auto"/>
        <w:jc w:val="both"/>
        <w:rPr>
          <w:rFonts w:ascii="Arial" w:hAnsi="Arial" w:cs="Arial"/>
          <w:lang w:val="es-ES"/>
        </w:rPr>
      </w:pPr>
    </w:p>
    <w:p w14:paraId="3122F9C1" w14:textId="79C9000B" w:rsidR="001B7F85" w:rsidRDefault="001B7F85" w:rsidP="001B7F85">
      <w:pPr>
        <w:shd w:val="clear" w:color="auto" w:fill="FFFFFF"/>
        <w:spacing w:after="0" w:line="312" w:lineRule="auto"/>
        <w:jc w:val="both"/>
        <w:rPr>
          <w:rFonts w:ascii="Arial" w:eastAsia="Times New Roman" w:hAnsi="Arial" w:cs="Arial"/>
          <w:color w:val="000000"/>
          <w:bdr w:val="none" w:sz="0" w:space="0" w:color="auto" w:frame="1"/>
          <w:shd w:val="clear" w:color="auto" w:fill="FFFFFF"/>
          <w:lang w:val="es-ES" w:eastAsia="es-CO"/>
        </w:rPr>
      </w:pPr>
      <w:r>
        <w:rPr>
          <w:rFonts w:ascii="Arial" w:eastAsia="Times New Roman" w:hAnsi="Arial" w:cs="Arial"/>
          <w:color w:val="000000"/>
          <w:bdr w:val="none" w:sz="0" w:space="0" w:color="auto" w:frame="1"/>
          <w:shd w:val="clear" w:color="auto" w:fill="FFFFFF"/>
          <w:lang w:val="es-ES" w:eastAsia="es-CO"/>
        </w:rPr>
        <w:lastRenderedPageBreak/>
        <w:t xml:space="preserve">Dentro del presente asunto ya se profirió </w:t>
      </w:r>
      <w:r w:rsidRPr="005B33BA">
        <w:rPr>
          <w:rFonts w:ascii="Arial" w:eastAsia="Times New Roman" w:hAnsi="Arial" w:cs="Arial"/>
          <w:color w:val="000000"/>
          <w:bdr w:val="none" w:sz="0" w:space="0" w:color="auto" w:frame="1"/>
          <w:shd w:val="clear" w:color="auto" w:fill="FFFFFF"/>
          <w:lang w:val="es-ES" w:eastAsia="es-CO"/>
        </w:rPr>
        <w:t>sentencia de primera instancia</w:t>
      </w:r>
      <w:r w:rsidR="00F31873">
        <w:rPr>
          <w:rFonts w:ascii="Arial" w:eastAsia="Times New Roman" w:hAnsi="Arial" w:cs="Arial"/>
          <w:color w:val="000000"/>
          <w:bdr w:val="none" w:sz="0" w:space="0" w:color="auto" w:frame="1"/>
          <w:shd w:val="clear" w:color="auto" w:fill="FFFFFF"/>
          <w:lang w:val="es-ES" w:eastAsia="es-CO"/>
        </w:rPr>
        <w:t xml:space="preserve"> No. 59 del 21 de abril de 2022</w:t>
      </w:r>
      <w:r>
        <w:rPr>
          <w:rFonts w:ascii="Arial" w:eastAsia="Times New Roman" w:hAnsi="Arial" w:cs="Arial"/>
          <w:color w:val="000000"/>
          <w:bdr w:val="none" w:sz="0" w:space="0" w:color="auto" w:frame="1"/>
          <w:shd w:val="clear" w:color="auto" w:fill="FFFFFF"/>
          <w:lang w:val="es-ES" w:eastAsia="es-CO"/>
        </w:rPr>
        <w:t xml:space="preserve"> la cual fue desfavorable y</w:t>
      </w:r>
      <w:r w:rsidRPr="005B33BA">
        <w:rPr>
          <w:rFonts w:ascii="Arial" w:eastAsia="Times New Roman" w:hAnsi="Arial" w:cs="Arial"/>
          <w:color w:val="000000"/>
          <w:bdr w:val="none" w:sz="0" w:space="0" w:color="auto" w:frame="1"/>
          <w:shd w:val="clear" w:color="auto" w:fill="FFFFFF"/>
          <w:lang w:val="es-ES" w:eastAsia="es-CO"/>
        </w:rPr>
        <w:t xml:space="preserve"> condenó </w:t>
      </w:r>
      <w:r w:rsidR="00214BAA">
        <w:rPr>
          <w:rFonts w:ascii="Arial" w:eastAsia="Times New Roman" w:hAnsi="Arial" w:cs="Arial"/>
          <w:color w:val="000000"/>
          <w:bdr w:val="none" w:sz="0" w:space="0" w:color="auto" w:frame="1"/>
          <w:shd w:val="clear" w:color="auto" w:fill="FFFFFF"/>
          <w:lang w:val="es-ES" w:eastAsia="es-CO"/>
        </w:rPr>
        <w:t xml:space="preserve">al Distrito </w:t>
      </w:r>
      <w:r w:rsidRPr="005B33BA">
        <w:rPr>
          <w:rFonts w:ascii="Arial" w:eastAsia="Times New Roman" w:hAnsi="Arial" w:cs="Arial"/>
          <w:color w:val="000000"/>
          <w:bdr w:val="none" w:sz="0" w:space="0" w:color="auto" w:frame="1"/>
          <w:shd w:val="clear" w:color="auto" w:fill="FFFFFF"/>
          <w:lang w:val="es-ES" w:eastAsia="es-CO"/>
        </w:rPr>
        <w:t xml:space="preserve">a indemnizar </w:t>
      </w:r>
      <w:r>
        <w:rPr>
          <w:rFonts w:ascii="Arial" w:eastAsia="Times New Roman" w:hAnsi="Arial" w:cs="Arial"/>
          <w:color w:val="000000"/>
          <w:bdr w:val="none" w:sz="0" w:space="0" w:color="auto" w:frame="1"/>
          <w:shd w:val="clear" w:color="auto" w:fill="FFFFFF"/>
          <w:lang w:val="es-ES" w:eastAsia="es-CO"/>
        </w:rPr>
        <w:t xml:space="preserve">a </w:t>
      </w:r>
      <w:r w:rsidRPr="005B33BA">
        <w:rPr>
          <w:rFonts w:ascii="Arial" w:eastAsia="Times New Roman" w:hAnsi="Arial" w:cs="Arial"/>
          <w:color w:val="000000"/>
          <w:bdr w:val="none" w:sz="0" w:space="0" w:color="auto" w:frame="1"/>
          <w:shd w:val="clear" w:color="auto" w:fill="FFFFFF"/>
          <w:lang w:val="es-ES" w:eastAsia="es-CO"/>
        </w:rPr>
        <w:t xml:space="preserve">los </w:t>
      </w:r>
      <w:r>
        <w:rPr>
          <w:rFonts w:ascii="Arial" w:eastAsia="Times New Roman" w:hAnsi="Arial" w:cs="Arial"/>
          <w:color w:val="000000"/>
          <w:bdr w:val="none" w:sz="0" w:space="0" w:color="auto" w:frame="1"/>
          <w:shd w:val="clear" w:color="auto" w:fill="FFFFFF"/>
          <w:lang w:val="es-ES" w:eastAsia="es-CO"/>
        </w:rPr>
        <w:t xml:space="preserve">demandantes en los </w:t>
      </w:r>
      <w:r w:rsidRPr="005B33BA">
        <w:rPr>
          <w:rFonts w:ascii="Arial" w:eastAsia="Times New Roman" w:hAnsi="Arial" w:cs="Arial"/>
          <w:color w:val="000000"/>
          <w:bdr w:val="none" w:sz="0" w:space="0" w:color="auto" w:frame="1"/>
          <w:shd w:val="clear" w:color="auto" w:fill="FFFFFF"/>
          <w:lang w:val="es-ES" w:eastAsia="es-CO"/>
        </w:rPr>
        <w:t>siguientes perjuicios:</w:t>
      </w:r>
    </w:p>
    <w:p w14:paraId="35102795" w14:textId="77777777" w:rsidR="00B819F7" w:rsidRDefault="00B819F7" w:rsidP="001B7F85">
      <w:pPr>
        <w:shd w:val="clear" w:color="auto" w:fill="FFFFFF"/>
        <w:spacing w:after="0" w:line="312" w:lineRule="auto"/>
        <w:jc w:val="both"/>
        <w:rPr>
          <w:rFonts w:ascii="Arial" w:eastAsia="Times New Roman" w:hAnsi="Arial" w:cs="Arial"/>
          <w:color w:val="000000"/>
          <w:bdr w:val="none" w:sz="0" w:space="0" w:color="auto" w:frame="1"/>
          <w:shd w:val="clear" w:color="auto" w:fill="FFFFFF"/>
          <w:lang w:val="es-ES" w:eastAsia="es-CO"/>
        </w:rPr>
      </w:pPr>
    </w:p>
    <w:p w14:paraId="14E5D809" w14:textId="282B745F" w:rsidR="00E84B92" w:rsidRDefault="00E84B92" w:rsidP="0004408B">
      <w:pPr>
        <w:pStyle w:val="Prrafodelista"/>
        <w:numPr>
          <w:ilvl w:val="0"/>
          <w:numId w:val="19"/>
        </w:numPr>
        <w:spacing w:after="0" w:line="312" w:lineRule="auto"/>
        <w:ind w:left="284" w:hanging="283"/>
        <w:jc w:val="both"/>
        <w:rPr>
          <w:rFonts w:ascii="Arial" w:hAnsi="Arial" w:cs="Arial"/>
          <w:b/>
          <w:bCs/>
          <w:lang w:val="es-ES"/>
        </w:rPr>
      </w:pPr>
      <w:r>
        <w:rPr>
          <w:rFonts w:ascii="Arial" w:hAnsi="Arial" w:cs="Arial"/>
          <w:b/>
          <w:bCs/>
          <w:lang w:val="es-ES"/>
        </w:rPr>
        <w:t>Daño moral: 0.</w:t>
      </w:r>
    </w:p>
    <w:p w14:paraId="221A35D6" w14:textId="77777777" w:rsidR="00E84B92" w:rsidRDefault="00E84B92" w:rsidP="00E84B92">
      <w:pPr>
        <w:spacing w:after="0" w:line="312" w:lineRule="auto"/>
        <w:jc w:val="both"/>
        <w:rPr>
          <w:rFonts w:ascii="Arial" w:hAnsi="Arial" w:cs="Arial"/>
          <w:b/>
          <w:bCs/>
          <w:lang w:val="es-ES"/>
        </w:rPr>
      </w:pPr>
    </w:p>
    <w:p w14:paraId="2A48C71E" w14:textId="43193091" w:rsidR="00E84B92" w:rsidRDefault="00E84B92" w:rsidP="00E84B92">
      <w:pPr>
        <w:spacing w:after="0" w:line="312" w:lineRule="auto"/>
        <w:jc w:val="both"/>
        <w:rPr>
          <w:rFonts w:ascii="Arial" w:hAnsi="Arial" w:cs="Arial"/>
          <w:lang w:val="es-ES"/>
        </w:rPr>
      </w:pPr>
      <w:r>
        <w:rPr>
          <w:rFonts w:ascii="Arial" w:hAnsi="Arial" w:cs="Arial"/>
          <w:lang w:val="es-ES"/>
        </w:rPr>
        <w:t xml:space="preserve">No se reconoce </w:t>
      </w:r>
      <w:r w:rsidR="005B3F70">
        <w:rPr>
          <w:rFonts w:ascii="Arial" w:hAnsi="Arial" w:cs="Arial"/>
          <w:lang w:val="es-ES"/>
        </w:rPr>
        <w:t xml:space="preserve">toda vez que </w:t>
      </w:r>
      <w:r w:rsidR="00566329">
        <w:rPr>
          <w:rFonts w:ascii="Arial" w:hAnsi="Arial" w:cs="Arial"/>
          <w:lang w:val="es-ES"/>
        </w:rPr>
        <w:t>para los eventos de daño moral derivado de la pérdida de bienes materiales no se presume su causación</w:t>
      </w:r>
      <w:r w:rsidR="00DC1C14">
        <w:rPr>
          <w:rFonts w:ascii="Arial" w:hAnsi="Arial" w:cs="Arial"/>
          <w:lang w:val="es-ES"/>
        </w:rPr>
        <w:t xml:space="preserve">, por lo que debe si o si acreditarse, situación que brilla </w:t>
      </w:r>
      <w:r w:rsidR="00364C71">
        <w:rPr>
          <w:rFonts w:ascii="Arial" w:hAnsi="Arial" w:cs="Arial"/>
          <w:lang w:val="es-ES"/>
        </w:rPr>
        <w:t>p</w:t>
      </w:r>
      <w:r w:rsidR="00DC1C14">
        <w:rPr>
          <w:rFonts w:ascii="Arial" w:hAnsi="Arial" w:cs="Arial"/>
          <w:lang w:val="es-ES"/>
        </w:rPr>
        <w:t xml:space="preserve">or su ausencia toda vez que </w:t>
      </w:r>
      <w:r w:rsidR="00F25687">
        <w:rPr>
          <w:rFonts w:ascii="Arial" w:hAnsi="Arial" w:cs="Arial"/>
          <w:lang w:val="es-ES"/>
        </w:rPr>
        <w:t xml:space="preserve">dentro del plenario no fue acreditado por la parte actora. </w:t>
      </w:r>
    </w:p>
    <w:p w14:paraId="169E91F7" w14:textId="77777777" w:rsidR="00715EED" w:rsidRDefault="00715EED" w:rsidP="00E84B92">
      <w:pPr>
        <w:spacing w:after="0" w:line="312" w:lineRule="auto"/>
        <w:jc w:val="both"/>
        <w:rPr>
          <w:rFonts w:ascii="Arial" w:hAnsi="Arial" w:cs="Arial"/>
          <w:lang w:val="es-ES"/>
        </w:rPr>
      </w:pPr>
    </w:p>
    <w:p w14:paraId="7D6B0DCE" w14:textId="50048DB3" w:rsidR="00715EED" w:rsidRDefault="00DC1C14" w:rsidP="00715EED">
      <w:pPr>
        <w:pStyle w:val="Prrafodelista"/>
        <w:numPr>
          <w:ilvl w:val="0"/>
          <w:numId w:val="19"/>
        </w:numPr>
        <w:spacing w:after="0" w:line="312" w:lineRule="auto"/>
        <w:ind w:left="284" w:hanging="283"/>
        <w:jc w:val="both"/>
        <w:rPr>
          <w:rFonts w:ascii="Arial" w:hAnsi="Arial" w:cs="Arial"/>
          <w:b/>
          <w:bCs/>
          <w:lang w:val="es-ES"/>
        </w:rPr>
      </w:pPr>
      <w:r>
        <w:rPr>
          <w:rFonts w:ascii="Arial" w:hAnsi="Arial" w:cs="Arial"/>
          <w:b/>
          <w:bCs/>
          <w:lang w:eastAsia="es-CO"/>
        </w:rPr>
        <w:t>P</w:t>
      </w:r>
      <w:r w:rsidRPr="009A3CB8">
        <w:rPr>
          <w:rFonts w:ascii="Arial" w:hAnsi="Arial" w:cs="Arial"/>
          <w:b/>
          <w:bCs/>
          <w:lang w:eastAsia="es-CO"/>
        </w:rPr>
        <w:t xml:space="preserve">or </w:t>
      </w:r>
      <w:r>
        <w:rPr>
          <w:rFonts w:ascii="Arial" w:hAnsi="Arial" w:cs="Arial"/>
          <w:b/>
          <w:bCs/>
          <w:lang w:eastAsia="es-CO"/>
        </w:rPr>
        <w:t>derechos constitucional y convencionalmente protegidos:</w:t>
      </w:r>
      <w:r w:rsidR="00715EED">
        <w:rPr>
          <w:rFonts w:ascii="Arial" w:hAnsi="Arial" w:cs="Arial"/>
          <w:b/>
          <w:bCs/>
          <w:lang w:val="es-ES"/>
        </w:rPr>
        <w:t xml:space="preserve"> 0.</w:t>
      </w:r>
    </w:p>
    <w:p w14:paraId="5F4E3D43" w14:textId="77777777" w:rsidR="00715EED" w:rsidRDefault="00715EED" w:rsidP="00E84B92">
      <w:pPr>
        <w:spacing w:after="0" w:line="312" w:lineRule="auto"/>
        <w:jc w:val="both"/>
        <w:rPr>
          <w:rFonts w:ascii="Arial" w:hAnsi="Arial" w:cs="Arial"/>
          <w:lang w:val="es-ES"/>
        </w:rPr>
      </w:pPr>
    </w:p>
    <w:p w14:paraId="38FE6E1B" w14:textId="2BF5A8CC" w:rsidR="00715EED" w:rsidRDefault="008A6451" w:rsidP="00E84B92">
      <w:pPr>
        <w:spacing w:after="0" w:line="312" w:lineRule="auto"/>
        <w:jc w:val="both"/>
        <w:rPr>
          <w:rFonts w:ascii="Arial" w:hAnsi="Arial" w:cs="Arial"/>
          <w:lang w:val="es-ES"/>
        </w:rPr>
      </w:pPr>
      <w:r>
        <w:rPr>
          <w:rFonts w:ascii="Arial" w:hAnsi="Arial" w:cs="Arial"/>
          <w:lang w:val="es-ES"/>
        </w:rPr>
        <w:t xml:space="preserve">Aunque el Ad Quo no emitió pronunciamiento alguno frente </w:t>
      </w:r>
      <w:r w:rsidR="009C3744">
        <w:rPr>
          <w:rFonts w:ascii="Arial" w:hAnsi="Arial" w:cs="Arial"/>
          <w:lang w:val="es-ES"/>
        </w:rPr>
        <w:t xml:space="preserve">a este perjuicio, </w:t>
      </w:r>
      <w:proofErr w:type="gramStart"/>
      <w:r w:rsidR="009C3744">
        <w:rPr>
          <w:rFonts w:ascii="Arial" w:hAnsi="Arial" w:cs="Arial"/>
          <w:lang w:val="es-ES"/>
        </w:rPr>
        <w:t>de acuerdo a</w:t>
      </w:r>
      <w:proofErr w:type="gramEnd"/>
      <w:r w:rsidR="009C3744">
        <w:rPr>
          <w:rFonts w:ascii="Arial" w:hAnsi="Arial" w:cs="Arial"/>
          <w:lang w:val="es-ES"/>
        </w:rPr>
        <w:t xml:space="preserve"> lo evidenciado en el proceso no se acreditó la causación de afectación a bienes constitucionalmente protegidos por lo que no se reconoce. </w:t>
      </w:r>
    </w:p>
    <w:p w14:paraId="31F2D5B3" w14:textId="77777777" w:rsidR="008A6451" w:rsidRDefault="008A6451" w:rsidP="00E84B92">
      <w:pPr>
        <w:spacing w:after="0" w:line="312" w:lineRule="auto"/>
        <w:jc w:val="both"/>
        <w:rPr>
          <w:rFonts w:ascii="Arial" w:hAnsi="Arial" w:cs="Arial"/>
          <w:lang w:val="es-ES"/>
        </w:rPr>
      </w:pPr>
    </w:p>
    <w:p w14:paraId="0C1B8CFF" w14:textId="77777777" w:rsidR="00715EED" w:rsidRDefault="00715EED" w:rsidP="00715EED">
      <w:pPr>
        <w:pStyle w:val="Prrafodelista"/>
        <w:numPr>
          <w:ilvl w:val="0"/>
          <w:numId w:val="19"/>
        </w:numPr>
        <w:spacing w:after="0" w:line="312" w:lineRule="auto"/>
        <w:ind w:left="284" w:hanging="283"/>
        <w:jc w:val="both"/>
        <w:rPr>
          <w:rFonts w:ascii="Arial" w:hAnsi="Arial" w:cs="Arial"/>
          <w:b/>
          <w:bCs/>
          <w:lang w:val="es-ES"/>
        </w:rPr>
      </w:pPr>
      <w:r>
        <w:rPr>
          <w:rFonts w:ascii="Arial" w:hAnsi="Arial" w:cs="Arial"/>
          <w:b/>
          <w:bCs/>
          <w:lang w:val="es-ES"/>
        </w:rPr>
        <w:t>Lucro cesante: 0.</w:t>
      </w:r>
    </w:p>
    <w:p w14:paraId="17FCD94C" w14:textId="77777777" w:rsidR="00715EED" w:rsidRDefault="00715EED" w:rsidP="00715EED">
      <w:pPr>
        <w:spacing w:after="0" w:line="312" w:lineRule="auto"/>
        <w:jc w:val="both"/>
        <w:rPr>
          <w:rFonts w:ascii="Arial" w:hAnsi="Arial" w:cs="Arial"/>
          <w:b/>
          <w:bCs/>
          <w:lang w:val="es-ES"/>
        </w:rPr>
      </w:pPr>
    </w:p>
    <w:p w14:paraId="5A28F719" w14:textId="77777777" w:rsidR="00715EED" w:rsidRPr="00E2059E" w:rsidRDefault="00715EED" w:rsidP="00715EED">
      <w:pPr>
        <w:spacing w:after="0" w:line="312" w:lineRule="auto"/>
        <w:jc w:val="both"/>
        <w:rPr>
          <w:rFonts w:ascii="Arial" w:hAnsi="Arial" w:cs="Arial"/>
          <w:lang w:val="es-ES"/>
        </w:rPr>
      </w:pPr>
      <w:r>
        <w:rPr>
          <w:rFonts w:ascii="Arial" w:hAnsi="Arial" w:cs="Arial"/>
          <w:lang w:val="es-ES"/>
        </w:rPr>
        <w:t xml:space="preserve">No se reconoce toda vez que se declaró la falta de legitimación en la causa por activa del señor Julio Cesar López Mosquera porque no se encontró en el registro en las bases de datos oficiales como integrante del Hogar de los aquí reclamantes, por lo que de plano fue rechazado por el despacho, ya que este perjuicio tiene su génesis en los ingresos que percibía este demandante y al estar por fuera del proceso no podrá reconocerse ningún perjuicio derivado de su supuesta actividad económica. </w:t>
      </w:r>
    </w:p>
    <w:p w14:paraId="69398AFA" w14:textId="77777777" w:rsidR="00E84B92" w:rsidRPr="00E84B92" w:rsidRDefault="00E84B92" w:rsidP="00E84B92">
      <w:pPr>
        <w:spacing w:after="0" w:line="312" w:lineRule="auto"/>
        <w:jc w:val="both"/>
        <w:rPr>
          <w:rFonts w:ascii="Arial" w:hAnsi="Arial" w:cs="Arial"/>
          <w:lang w:val="es-ES"/>
        </w:rPr>
      </w:pPr>
    </w:p>
    <w:p w14:paraId="4A9F459A" w14:textId="713A2EE5" w:rsidR="007D4F72" w:rsidRPr="009A3CB8" w:rsidRDefault="00F25687" w:rsidP="0004408B">
      <w:pPr>
        <w:pStyle w:val="Prrafodelista"/>
        <w:numPr>
          <w:ilvl w:val="0"/>
          <w:numId w:val="19"/>
        </w:numPr>
        <w:spacing w:after="0" w:line="312" w:lineRule="auto"/>
        <w:ind w:left="284" w:hanging="283"/>
        <w:jc w:val="both"/>
        <w:rPr>
          <w:rFonts w:ascii="Arial" w:hAnsi="Arial" w:cs="Arial"/>
          <w:b/>
          <w:bCs/>
          <w:lang w:val="es-ES"/>
        </w:rPr>
      </w:pPr>
      <w:r>
        <w:rPr>
          <w:rFonts w:ascii="Arial" w:hAnsi="Arial" w:cs="Arial"/>
          <w:b/>
          <w:bCs/>
          <w:lang w:val="es-ES"/>
        </w:rPr>
        <w:t xml:space="preserve">Perjuicios inmateriales: </w:t>
      </w:r>
      <w:r w:rsidR="001C0B9D">
        <w:rPr>
          <w:rFonts w:ascii="Arial" w:hAnsi="Arial" w:cs="Arial"/>
          <w:b/>
          <w:bCs/>
          <w:lang w:val="es-ES"/>
        </w:rPr>
        <w:t xml:space="preserve">71 SMLMV equivalentes a </w:t>
      </w:r>
      <w:r w:rsidR="00BB3437">
        <w:rPr>
          <w:rFonts w:ascii="Arial" w:hAnsi="Arial" w:cs="Arial"/>
          <w:b/>
          <w:bCs/>
          <w:lang w:val="es-ES"/>
        </w:rPr>
        <w:t>$</w:t>
      </w:r>
      <w:r w:rsidR="001C0B9D">
        <w:rPr>
          <w:rFonts w:ascii="Arial" w:hAnsi="Arial" w:cs="Arial"/>
          <w:b/>
          <w:bCs/>
          <w:lang w:val="es-ES"/>
        </w:rPr>
        <w:t>94.300.000 salario 2024.</w:t>
      </w:r>
    </w:p>
    <w:p w14:paraId="725ECDF8" w14:textId="77777777" w:rsidR="007D4F72" w:rsidRPr="009A3CB8" w:rsidRDefault="007D4F72" w:rsidP="0004408B">
      <w:pPr>
        <w:spacing w:after="0" w:line="312" w:lineRule="auto"/>
        <w:jc w:val="both"/>
        <w:rPr>
          <w:rFonts w:ascii="Arial" w:hAnsi="Arial" w:cs="Arial"/>
          <w:lang w:val="es-ES"/>
        </w:rPr>
      </w:pPr>
    </w:p>
    <w:p w14:paraId="1852A827" w14:textId="525296CF" w:rsidR="00C564BF" w:rsidRDefault="00C564BF" w:rsidP="0004408B">
      <w:pPr>
        <w:spacing w:after="0" w:line="312" w:lineRule="auto"/>
        <w:jc w:val="both"/>
        <w:rPr>
          <w:rFonts w:ascii="Arial" w:hAnsi="Arial" w:cs="Arial"/>
        </w:rPr>
      </w:pPr>
      <w:r>
        <w:rPr>
          <w:rFonts w:ascii="Arial" w:hAnsi="Arial" w:cs="Arial"/>
        </w:rPr>
        <w:t xml:space="preserve">Se reconoce por cuanto se </w:t>
      </w:r>
      <w:r w:rsidRPr="00C564BF">
        <w:rPr>
          <w:rFonts w:ascii="Arial" w:hAnsi="Arial" w:cs="Arial"/>
        </w:rPr>
        <w:t xml:space="preserve">evidencia que los perjuicios efectivamente causados a los accionantes corresponden a la imposibilidad de acceder a los beneficios compensatorios del Decreto </w:t>
      </w:r>
      <w:proofErr w:type="spellStart"/>
      <w:r w:rsidRPr="00C564BF">
        <w:rPr>
          <w:rFonts w:ascii="Arial" w:hAnsi="Arial" w:cs="Arial"/>
        </w:rPr>
        <w:t>N°</w:t>
      </w:r>
      <w:proofErr w:type="spellEnd"/>
      <w:r w:rsidRPr="00C564BF">
        <w:rPr>
          <w:rFonts w:ascii="Arial" w:hAnsi="Arial" w:cs="Arial"/>
        </w:rPr>
        <w:t xml:space="preserve"> 411.0.20.0480 de 2016 y no pueden extenderse a las afectaciones que tradicionalmente se reconocen en los eventos de afectación de los derechos de propiedad o posesión</w:t>
      </w:r>
      <w:r w:rsidR="006C0C2D">
        <w:rPr>
          <w:rFonts w:ascii="Arial" w:hAnsi="Arial" w:cs="Arial"/>
        </w:rPr>
        <w:t>.</w:t>
      </w:r>
    </w:p>
    <w:p w14:paraId="3C7C8E56" w14:textId="77777777" w:rsidR="006C0C2D" w:rsidRDefault="006C0C2D" w:rsidP="0004408B">
      <w:pPr>
        <w:spacing w:after="0" w:line="312" w:lineRule="auto"/>
        <w:jc w:val="both"/>
        <w:rPr>
          <w:rFonts w:ascii="Arial" w:hAnsi="Arial" w:cs="Arial"/>
        </w:rPr>
      </w:pPr>
    </w:p>
    <w:p w14:paraId="06123341" w14:textId="116D418D" w:rsidR="006C0C2D" w:rsidRDefault="006C0C2D" w:rsidP="0004408B">
      <w:pPr>
        <w:spacing w:after="0" w:line="312" w:lineRule="auto"/>
        <w:jc w:val="both"/>
        <w:rPr>
          <w:rFonts w:ascii="Arial" w:hAnsi="Arial" w:cs="Arial"/>
        </w:rPr>
      </w:pPr>
      <w:r w:rsidRPr="006C0C2D">
        <w:rPr>
          <w:rFonts w:ascii="Arial" w:hAnsi="Arial" w:cs="Arial"/>
        </w:rPr>
        <w:t xml:space="preserve">En consecuencia, el monto de la indemnización a reconocer a favor de los accionantes debe ajustarse al valor de la vivienda de interés prioritario determinado en el artículo décimo quinto del Capítulo IV del Decreto </w:t>
      </w:r>
      <w:proofErr w:type="spellStart"/>
      <w:r w:rsidRPr="006C0C2D">
        <w:rPr>
          <w:rFonts w:ascii="Arial" w:hAnsi="Arial" w:cs="Arial"/>
        </w:rPr>
        <w:t>N°</w:t>
      </w:r>
      <w:proofErr w:type="spellEnd"/>
      <w:r w:rsidRPr="006C0C2D">
        <w:rPr>
          <w:rFonts w:ascii="Arial" w:hAnsi="Arial" w:cs="Arial"/>
        </w:rPr>
        <w:t xml:space="preserve"> 411.0.20.0480 de 2016</w:t>
      </w:r>
      <w:r>
        <w:rPr>
          <w:rStyle w:val="Refdenotaalpie"/>
          <w:rFonts w:ascii="Arial" w:hAnsi="Arial" w:cs="Arial"/>
        </w:rPr>
        <w:footnoteReference w:id="1"/>
      </w:r>
      <w:r w:rsidRPr="006C0C2D">
        <w:rPr>
          <w:rFonts w:ascii="Arial" w:hAnsi="Arial" w:cs="Arial"/>
        </w:rPr>
        <w:t xml:space="preserve"> en setenta (70) SMLMV</w:t>
      </w:r>
    </w:p>
    <w:p w14:paraId="300EFAB6" w14:textId="77777777" w:rsidR="00476D03" w:rsidRDefault="00476D03" w:rsidP="0004408B">
      <w:pPr>
        <w:spacing w:after="0" w:line="312" w:lineRule="auto"/>
        <w:jc w:val="both"/>
        <w:rPr>
          <w:rFonts w:ascii="Arial" w:hAnsi="Arial" w:cs="Arial"/>
        </w:rPr>
      </w:pPr>
    </w:p>
    <w:p w14:paraId="05537A09" w14:textId="6A736762" w:rsidR="006C0C2D" w:rsidRDefault="00476D03" w:rsidP="0004408B">
      <w:pPr>
        <w:spacing w:after="0" w:line="312" w:lineRule="auto"/>
        <w:jc w:val="both"/>
        <w:rPr>
          <w:rFonts w:ascii="Arial" w:hAnsi="Arial" w:cs="Arial"/>
        </w:rPr>
      </w:pPr>
      <w:r w:rsidRPr="00476D03">
        <w:rPr>
          <w:rFonts w:ascii="Arial" w:hAnsi="Arial" w:cs="Arial"/>
        </w:rPr>
        <w:lastRenderedPageBreak/>
        <w:t xml:space="preserve">Aunado a lo anterior, se considera procedente reconocer el valor destinado a cánones de arrendamiento, pero en los términos previstos en el literal b) artículo vigésimo quinto del Decreto </w:t>
      </w:r>
      <w:proofErr w:type="spellStart"/>
      <w:r w:rsidRPr="00476D03">
        <w:rPr>
          <w:rFonts w:ascii="Arial" w:hAnsi="Arial" w:cs="Arial"/>
        </w:rPr>
        <w:t>N°</w:t>
      </w:r>
      <w:proofErr w:type="spellEnd"/>
      <w:r w:rsidRPr="00476D03">
        <w:rPr>
          <w:rFonts w:ascii="Arial" w:hAnsi="Arial" w:cs="Arial"/>
        </w:rPr>
        <w:t xml:space="preserve"> 411.0.20.0480 de 2016</w:t>
      </w:r>
      <w:r>
        <w:rPr>
          <w:rStyle w:val="Refdenotaalpie"/>
          <w:rFonts w:ascii="Arial" w:hAnsi="Arial" w:cs="Arial"/>
        </w:rPr>
        <w:footnoteReference w:id="2"/>
      </w:r>
      <w:r w:rsidR="004629F9">
        <w:rPr>
          <w:rFonts w:ascii="Arial" w:hAnsi="Arial" w:cs="Arial"/>
        </w:rPr>
        <w:t>.</w:t>
      </w:r>
    </w:p>
    <w:p w14:paraId="2FF24CFC" w14:textId="77777777" w:rsidR="004629F9" w:rsidRDefault="004629F9" w:rsidP="0004408B">
      <w:pPr>
        <w:spacing w:after="0" w:line="312" w:lineRule="auto"/>
        <w:jc w:val="both"/>
        <w:rPr>
          <w:rFonts w:ascii="Arial" w:hAnsi="Arial" w:cs="Arial"/>
        </w:rPr>
      </w:pPr>
    </w:p>
    <w:p w14:paraId="35C481F0" w14:textId="77777777" w:rsidR="004629F9" w:rsidRDefault="004629F9" w:rsidP="004629F9">
      <w:pPr>
        <w:spacing w:after="0" w:line="312" w:lineRule="auto"/>
        <w:jc w:val="both"/>
        <w:rPr>
          <w:rFonts w:ascii="Arial" w:hAnsi="Arial" w:cs="Arial"/>
        </w:rPr>
      </w:pPr>
      <w:r w:rsidRPr="004629F9">
        <w:rPr>
          <w:rFonts w:ascii="Arial" w:hAnsi="Arial" w:cs="Arial"/>
        </w:rPr>
        <w:t xml:space="preserve">En aplicación de esta regla los accionantes tendrían derecho al reconocimiento de 3 meses de cánones de arrendamiento equivalentes al 0.30 de un SMLMV por cada mes, los cuales para efectos indemnizatorios se ajustarán a un (1) SMLMV. </w:t>
      </w:r>
    </w:p>
    <w:p w14:paraId="056AF4F6" w14:textId="77777777" w:rsidR="004629F9" w:rsidRPr="004629F9" w:rsidRDefault="004629F9" w:rsidP="004629F9">
      <w:pPr>
        <w:spacing w:after="0" w:line="312" w:lineRule="auto"/>
        <w:jc w:val="both"/>
        <w:rPr>
          <w:rFonts w:ascii="Arial" w:hAnsi="Arial" w:cs="Arial"/>
        </w:rPr>
      </w:pPr>
    </w:p>
    <w:p w14:paraId="395D5133" w14:textId="4EB995AD" w:rsidR="004629F9" w:rsidRDefault="004629F9" w:rsidP="004629F9">
      <w:pPr>
        <w:spacing w:after="0" w:line="312" w:lineRule="auto"/>
        <w:jc w:val="both"/>
        <w:rPr>
          <w:rFonts w:ascii="Arial" w:hAnsi="Arial" w:cs="Arial"/>
        </w:rPr>
      </w:pPr>
      <w:r w:rsidRPr="004629F9">
        <w:rPr>
          <w:rFonts w:ascii="Arial" w:hAnsi="Arial" w:cs="Arial"/>
        </w:rPr>
        <w:t>Conforme a los parámetros expuestos se considera pertinente conceder a los accionantes una indemnización equivalente a setenta y un (71) salarios mínimos legales mensuales vigentes los cuales serán distribuidos de manera conjunta a favor de cada uno de los integrantes del núcleo familiar:</w:t>
      </w:r>
    </w:p>
    <w:p w14:paraId="197881FB" w14:textId="77777777" w:rsidR="004629F9" w:rsidRDefault="004629F9" w:rsidP="004629F9">
      <w:pPr>
        <w:spacing w:after="0" w:line="312" w:lineRule="auto"/>
        <w:jc w:val="both"/>
        <w:rPr>
          <w:rFonts w:ascii="Arial" w:hAnsi="Arial" w:cs="Arial"/>
        </w:rPr>
      </w:pPr>
    </w:p>
    <w:tbl>
      <w:tblPr>
        <w:tblStyle w:val="Tablaconcuadrcula"/>
        <w:tblW w:w="0" w:type="auto"/>
        <w:tblLook w:val="04A0" w:firstRow="1" w:lastRow="0" w:firstColumn="1" w:lastColumn="0" w:noHBand="0" w:noVBand="1"/>
      </w:tblPr>
      <w:tblGrid>
        <w:gridCol w:w="4106"/>
        <w:gridCol w:w="2410"/>
        <w:gridCol w:w="3106"/>
      </w:tblGrid>
      <w:tr w:rsidR="00635B1A" w14:paraId="49918A5D" w14:textId="77777777" w:rsidTr="005D7327">
        <w:tc>
          <w:tcPr>
            <w:tcW w:w="4106" w:type="dxa"/>
          </w:tcPr>
          <w:p w14:paraId="77D42D6B" w14:textId="129750FB" w:rsidR="00635B1A" w:rsidRPr="00635B1A" w:rsidRDefault="00635B1A" w:rsidP="004629F9">
            <w:pPr>
              <w:spacing w:line="312" w:lineRule="auto"/>
              <w:jc w:val="both"/>
              <w:rPr>
                <w:rFonts w:ascii="Arial" w:hAnsi="Arial" w:cs="Arial"/>
                <w:b/>
                <w:bCs/>
              </w:rPr>
            </w:pPr>
            <w:r w:rsidRPr="00635B1A">
              <w:rPr>
                <w:rFonts w:ascii="Arial" w:hAnsi="Arial" w:cs="Arial"/>
                <w:b/>
                <w:bCs/>
              </w:rPr>
              <w:t>DEMANDANTE</w:t>
            </w:r>
          </w:p>
        </w:tc>
        <w:tc>
          <w:tcPr>
            <w:tcW w:w="2410" w:type="dxa"/>
          </w:tcPr>
          <w:p w14:paraId="21DF54AA" w14:textId="2C5F8A2A" w:rsidR="00635B1A" w:rsidRPr="00635B1A" w:rsidRDefault="00635B1A" w:rsidP="004629F9">
            <w:pPr>
              <w:spacing w:line="312" w:lineRule="auto"/>
              <w:jc w:val="both"/>
              <w:rPr>
                <w:rFonts w:ascii="Arial" w:hAnsi="Arial" w:cs="Arial"/>
                <w:b/>
                <w:bCs/>
              </w:rPr>
            </w:pPr>
            <w:r w:rsidRPr="00635B1A">
              <w:rPr>
                <w:rFonts w:ascii="Arial" w:hAnsi="Arial" w:cs="Arial"/>
                <w:b/>
                <w:bCs/>
              </w:rPr>
              <w:t>CONDICION</w:t>
            </w:r>
          </w:p>
        </w:tc>
        <w:tc>
          <w:tcPr>
            <w:tcW w:w="3106" w:type="dxa"/>
          </w:tcPr>
          <w:p w14:paraId="0FBFBBBA" w14:textId="6E34DA09" w:rsidR="00635B1A" w:rsidRPr="00635B1A" w:rsidRDefault="00635B1A" w:rsidP="004629F9">
            <w:pPr>
              <w:spacing w:line="312" w:lineRule="auto"/>
              <w:jc w:val="both"/>
              <w:rPr>
                <w:rFonts w:ascii="Arial" w:hAnsi="Arial" w:cs="Arial"/>
                <w:b/>
                <w:bCs/>
              </w:rPr>
            </w:pPr>
            <w:r w:rsidRPr="00635B1A">
              <w:rPr>
                <w:rFonts w:ascii="Arial" w:hAnsi="Arial" w:cs="Arial"/>
                <w:b/>
                <w:bCs/>
              </w:rPr>
              <w:t>PERJUICIOS MATERIALES</w:t>
            </w:r>
          </w:p>
        </w:tc>
      </w:tr>
      <w:tr w:rsidR="00635B1A" w14:paraId="02AFB075" w14:textId="77777777" w:rsidTr="005D7327">
        <w:tc>
          <w:tcPr>
            <w:tcW w:w="4106" w:type="dxa"/>
          </w:tcPr>
          <w:p w14:paraId="6F75E9AC" w14:textId="1BD438A6" w:rsidR="00635B1A" w:rsidRDefault="00635B1A" w:rsidP="004629F9">
            <w:pPr>
              <w:spacing w:line="312" w:lineRule="auto"/>
              <w:jc w:val="both"/>
              <w:rPr>
                <w:rFonts w:ascii="Arial" w:hAnsi="Arial" w:cs="Arial"/>
              </w:rPr>
            </w:pPr>
            <w:r>
              <w:rPr>
                <w:rFonts w:ascii="Arial" w:hAnsi="Arial" w:cs="Arial"/>
              </w:rPr>
              <w:t xml:space="preserve">GRACIELA MOSQUERA </w:t>
            </w:r>
            <w:proofErr w:type="spellStart"/>
            <w:r>
              <w:rPr>
                <w:rFonts w:ascii="Arial" w:hAnsi="Arial" w:cs="Arial"/>
              </w:rPr>
              <w:t>MOSQUERA</w:t>
            </w:r>
            <w:proofErr w:type="spellEnd"/>
          </w:p>
        </w:tc>
        <w:tc>
          <w:tcPr>
            <w:tcW w:w="2410" w:type="dxa"/>
          </w:tcPr>
          <w:p w14:paraId="19926E29" w14:textId="2AEB71E7" w:rsidR="00635B1A" w:rsidRDefault="00635B1A" w:rsidP="004629F9">
            <w:pPr>
              <w:spacing w:line="312" w:lineRule="auto"/>
              <w:jc w:val="both"/>
              <w:rPr>
                <w:rFonts w:ascii="Arial" w:hAnsi="Arial" w:cs="Arial"/>
              </w:rPr>
            </w:pPr>
            <w:r>
              <w:rPr>
                <w:rFonts w:ascii="Arial" w:hAnsi="Arial" w:cs="Arial"/>
              </w:rPr>
              <w:t>Víctima Directa</w:t>
            </w:r>
          </w:p>
        </w:tc>
        <w:tc>
          <w:tcPr>
            <w:tcW w:w="3106" w:type="dxa"/>
          </w:tcPr>
          <w:p w14:paraId="2198EC58" w14:textId="43CC5840" w:rsidR="00635B1A" w:rsidRDefault="00635B1A" w:rsidP="004629F9">
            <w:pPr>
              <w:spacing w:line="312" w:lineRule="auto"/>
              <w:jc w:val="both"/>
              <w:rPr>
                <w:rFonts w:ascii="Arial" w:hAnsi="Arial" w:cs="Arial"/>
              </w:rPr>
            </w:pPr>
            <w:r>
              <w:rPr>
                <w:rFonts w:ascii="Arial" w:hAnsi="Arial" w:cs="Arial"/>
              </w:rPr>
              <w:t>17.75 SMLMV</w:t>
            </w:r>
          </w:p>
        </w:tc>
      </w:tr>
      <w:tr w:rsidR="00635B1A" w14:paraId="362DC9D4" w14:textId="77777777" w:rsidTr="005D7327">
        <w:tc>
          <w:tcPr>
            <w:tcW w:w="4106" w:type="dxa"/>
          </w:tcPr>
          <w:p w14:paraId="29112CBB" w14:textId="00AB1A5C" w:rsidR="00635B1A" w:rsidRDefault="00635B1A" w:rsidP="00635B1A">
            <w:pPr>
              <w:spacing w:line="312" w:lineRule="auto"/>
              <w:jc w:val="both"/>
              <w:rPr>
                <w:rFonts w:ascii="Arial" w:hAnsi="Arial" w:cs="Arial"/>
              </w:rPr>
            </w:pPr>
            <w:r>
              <w:rPr>
                <w:rFonts w:ascii="Arial" w:hAnsi="Arial" w:cs="Arial"/>
              </w:rPr>
              <w:t>LUZ MARINA FALLA MOSQUERA</w:t>
            </w:r>
          </w:p>
        </w:tc>
        <w:tc>
          <w:tcPr>
            <w:tcW w:w="2410" w:type="dxa"/>
          </w:tcPr>
          <w:p w14:paraId="12EDCC91" w14:textId="27C777A3" w:rsidR="00635B1A" w:rsidRDefault="00635B1A" w:rsidP="00635B1A">
            <w:pPr>
              <w:spacing w:line="312" w:lineRule="auto"/>
              <w:jc w:val="both"/>
              <w:rPr>
                <w:rFonts w:ascii="Arial" w:hAnsi="Arial" w:cs="Arial"/>
              </w:rPr>
            </w:pPr>
            <w:r>
              <w:rPr>
                <w:rFonts w:ascii="Arial" w:hAnsi="Arial" w:cs="Arial"/>
              </w:rPr>
              <w:t>Víctima Directa</w:t>
            </w:r>
          </w:p>
        </w:tc>
        <w:tc>
          <w:tcPr>
            <w:tcW w:w="3106" w:type="dxa"/>
          </w:tcPr>
          <w:p w14:paraId="47CD9DDC" w14:textId="6A94786E" w:rsidR="00635B1A" w:rsidRDefault="00635B1A" w:rsidP="00635B1A">
            <w:pPr>
              <w:spacing w:line="312" w:lineRule="auto"/>
              <w:jc w:val="both"/>
              <w:rPr>
                <w:rFonts w:ascii="Arial" w:hAnsi="Arial" w:cs="Arial"/>
              </w:rPr>
            </w:pPr>
            <w:r>
              <w:rPr>
                <w:rFonts w:ascii="Arial" w:hAnsi="Arial" w:cs="Arial"/>
              </w:rPr>
              <w:t>17.75 SMLMV</w:t>
            </w:r>
          </w:p>
        </w:tc>
      </w:tr>
      <w:tr w:rsidR="00635B1A" w14:paraId="76AA3B80" w14:textId="77777777" w:rsidTr="005D7327">
        <w:tc>
          <w:tcPr>
            <w:tcW w:w="4106" w:type="dxa"/>
          </w:tcPr>
          <w:p w14:paraId="15A499BE" w14:textId="5EF9E819" w:rsidR="00635B1A" w:rsidRDefault="00635B1A" w:rsidP="00635B1A">
            <w:pPr>
              <w:spacing w:line="312" w:lineRule="auto"/>
              <w:jc w:val="both"/>
              <w:rPr>
                <w:rFonts w:ascii="Arial" w:hAnsi="Arial" w:cs="Arial"/>
              </w:rPr>
            </w:pPr>
            <w:r>
              <w:rPr>
                <w:rFonts w:ascii="Arial" w:hAnsi="Arial" w:cs="Arial"/>
              </w:rPr>
              <w:t>JORGE IBAN PÉREZ ACOSTA</w:t>
            </w:r>
          </w:p>
        </w:tc>
        <w:tc>
          <w:tcPr>
            <w:tcW w:w="2410" w:type="dxa"/>
          </w:tcPr>
          <w:p w14:paraId="66AACBB0" w14:textId="116570C7" w:rsidR="00635B1A" w:rsidRDefault="00635B1A" w:rsidP="00635B1A">
            <w:pPr>
              <w:spacing w:line="312" w:lineRule="auto"/>
              <w:jc w:val="both"/>
              <w:rPr>
                <w:rFonts w:ascii="Arial" w:hAnsi="Arial" w:cs="Arial"/>
              </w:rPr>
            </w:pPr>
            <w:r>
              <w:rPr>
                <w:rFonts w:ascii="Arial" w:hAnsi="Arial" w:cs="Arial"/>
              </w:rPr>
              <w:t>Víctima Directa</w:t>
            </w:r>
          </w:p>
        </w:tc>
        <w:tc>
          <w:tcPr>
            <w:tcW w:w="3106" w:type="dxa"/>
          </w:tcPr>
          <w:p w14:paraId="41550B95" w14:textId="607F28D0" w:rsidR="00635B1A" w:rsidRDefault="00635B1A" w:rsidP="00635B1A">
            <w:pPr>
              <w:spacing w:line="312" w:lineRule="auto"/>
              <w:jc w:val="both"/>
              <w:rPr>
                <w:rFonts w:ascii="Arial" w:hAnsi="Arial" w:cs="Arial"/>
              </w:rPr>
            </w:pPr>
            <w:r>
              <w:rPr>
                <w:rFonts w:ascii="Arial" w:hAnsi="Arial" w:cs="Arial"/>
              </w:rPr>
              <w:t>17.75 SMLMV</w:t>
            </w:r>
          </w:p>
        </w:tc>
      </w:tr>
      <w:tr w:rsidR="00635B1A" w14:paraId="5A40E29F" w14:textId="77777777" w:rsidTr="005D7327">
        <w:tc>
          <w:tcPr>
            <w:tcW w:w="4106" w:type="dxa"/>
          </w:tcPr>
          <w:p w14:paraId="7BB99EAC" w14:textId="7C9B0B3A" w:rsidR="00635B1A" w:rsidRDefault="00635B1A" w:rsidP="00635B1A">
            <w:pPr>
              <w:spacing w:line="312" w:lineRule="auto"/>
              <w:jc w:val="both"/>
              <w:rPr>
                <w:rFonts w:ascii="Arial" w:hAnsi="Arial" w:cs="Arial"/>
              </w:rPr>
            </w:pPr>
            <w:r>
              <w:rPr>
                <w:rFonts w:ascii="Arial" w:hAnsi="Arial" w:cs="Arial"/>
              </w:rPr>
              <w:t>JHONATAN ANDRÉS PÉREZ FALLA</w:t>
            </w:r>
          </w:p>
        </w:tc>
        <w:tc>
          <w:tcPr>
            <w:tcW w:w="2410" w:type="dxa"/>
          </w:tcPr>
          <w:p w14:paraId="1B093262" w14:textId="28F339DA" w:rsidR="00635B1A" w:rsidRDefault="00635B1A" w:rsidP="00635B1A">
            <w:pPr>
              <w:spacing w:line="312" w:lineRule="auto"/>
              <w:jc w:val="both"/>
              <w:rPr>
                <w:rFonts w:ascii="Arial" w:hAnsi="Arial" w:cs="Arial"/>
              </w:rPr>
            </w:pPr>
            <w:r>
              <w:rPr>
                <w:rFonts w:ascii="Arial" w:hAnsi="Arial" w:cs="Arial"/>
              </w:rPr>
              <w:t>Víctima Directa</w:t>
            </w:r>
          </w:p>
        </w:tc>
        <w:tc>
          <w:tcPr>
            <w:tcW w:w="3106" w:type="dxa"/>
          </w:tcPr>
          <w:p w14:paraId="4ADEA3DB" w14:textId="69D41F73" w:rsidR="00635B1A" w:rsidRDefault="00635B1A" w:rsidP="00635B1A">
            <w:pPr>
              <w:spacing w:line="312" w:lineRule="auto"/>
              <w:jc w:val="both"/>
              <w:rPr>
                <w:rFonts w:ascii="Arial" w:hAnsi="Arial" w:cs="Arial"/>
              </w:rPr>
            </w:pPr>
            <w:r>
              <w:rPr>
                <w:rFonts w:ascii="Arial" w:hAnsi="Arial" w:cs="Arial"/>
              </w:rPr>
              <w:t>17.75 SMLMV</w:t>
            </w:r>
          </w:p>
        </w:tc>
      </w:tr>
      <w:tr w:rsidR="007B4DAB" w14:paraId="02643772" w14:textId="77777777" w:rsidTr="005D7327">
        <w:tc>
          <w:tcPr>
            <w:tcW w:w="4106" w:type="dxa"/>
          </w:tcPr>
          <w:p w14:paraId="42F429F7" w14:textId="32C9DC96" w:rsidR="007B4DAB" w:rsidRDefault="007B4DAB" w:rsidP="009A2C56">
            <w:pPr>
              <w:spacing w:line="312" w:lineRule="auto"/>
              <w:jc w:val="right"/>
              <w:rPr>
                <w:rFonts w:ascii="Arial" w:hAnsi="Arial" w:cs="Arial"/>
              </w:rPr>
            </w:pPr>
            <w:r>
              <w:rPr>
                <w:rFonts w:ascii="Arial" w:hAnsi="Arial" w:cs="Arial"/>
              </w:rPr>
              <w:t>TOTAL</w:t>
            </w:r>
          </w:p>
        </w:tc>
        <w:tc>
          <w:tcPr>
            <w:tcW w:w="5516" w:type="dxa"/>
            <w:gridSpan w:val="2"/>
          </w:tcPr>
          <w:p w14:paraId="4D9FB15E" w14:textId="0EF20A64" w:rsidR="007B4DAB" w:rsidRDefault="005D7327" w:rsidP="00635B1A">
            <w:pPr>
              <w:spacing w:line="312" w:lineRule="auto"/>
              <w:jc w:val="both"/>
              <w:rPr>
                <w:rFonts w:ascii="Arial" w:hAnsi="Arial" w:cs="Arial"/>
              </w:rPr>
            </w:pPr>
            <w:r>
              <w:rPr>
                <w:rFonts w:ascii="Arial" w:hAnsi="Arial" w:cs="Arial"/>
              </w:rPr>
              <w:t>71 SMLMV equivalentes a $92.300.000 SMLMV 2024</w:t>
            </w:r>
          </w:p>
        </w:tc>
      </w:tr>
    </w:tbl>
    <w:p w14:paraId="2CF05DFF" w14:textId="77777777" w:rsidR="004629F9" w:rsidRPr="009A3CB8" w:rsidRDefault="004629F9" w:rsidP="004629F9">
      <w:pPr>
        <w:spacing w:after="0" w:line="312" w:lineRule="auto"/>
        <w:jc w:val="both"/>
        <w:rPr>
          <w:rFonts w:ascii="Arial" w:hAnsi="Arial" w:cs="Arial"/>
        </w:rPr>
      </w:pPr>
    </w:p>
    <w:p w14:paraId="6F9E7062" w14:textId="3C8EA6F6" w:rsidR="00684399" w:rsidRPr="009A3CB8" w:rsidRDefault="00D0654B" w:rsidP="0004408B">
      <w:pPr>
        <w:shd w:val="clear" w:color="auto" w:fill="FFFFFF"/>
        <w:spacing w:after="0" w:line="312" w:lineRule="auto"/>
        <w:jc w:val="both"/>
        <w:rPr>
          <w:rFonts w:ascii="Arial" w:eastAsia="Times New Roman" w:hAnsi="Arial" w:cs="Arial"/>
          <w:color w:val="000000"/>
          <w:lang w:eastAsia="es-CO"/>
        </w:rPr>
      </w:pPr>
      <w:r>
        <w:rPr>
          <w:rFonts w:ascii="Arial" w:eastAsia="Times New Roman" w:hAnsi="Arial" w:cs="Arial"/>
          <w:color w:val="000000"/>
          <w:lang w:eastAsia="es-CO"/>
        </w:rPr>
        <w:t xml:space="preserve">  </w:t>
      </w:r>
    </w:p>
    <w:p w14:paraId="3AA1AF7F" w14:textId="080CD7C6" w:rsidR="00DA628F" w:rsidRPr="009A3CB8" w:rsidRDefault="000F5B68" w:rsidP="0004408B">
      <w:pPr>
        <w:pStyle w:val="Prrafodelista"/>
        <w:numPr>
          <w:ilvl w:val="0"/>
          <w:numId w:val="19"/>
        </w:numPr>
        <w:shd w:val="clear" w:color="auto" w:fill="FFFFFF"/>
        <w:spacing w:after="0" w:line="312" w:lineRule="auto"/>
        <w:ind w:left="284" w:hanging="283"/>
        <w:jc w:val="both"/>
        <w:rPr>
          <w:rFonts w:ascii="Arial" w:eastAsia="Times New Roman" w:hAnsi="Arial" w:cs="Arial"/>
          <w:color w:val="000000"/>
          <w:lang w:eastAsia="es-CO"/>
        </w:rPr>
      </w:pPr>
      <w:r w:rsidRPr="009A3CB8">
        <w:rPr>
          <w:rFonts w:ascii="Arial" w:eastAsia="Times New Roman" w:hAnsi="Arial" w:cs="Arial"/>
          <w:b/>
          <w:bCs/>
          <w:color w:val="000000"/>
          <w:lang w:eastAsia="es-CO"/>
        </w:rPr>
        <w:t>Deducible:</w:t>
      </w:r>
      <w:r w:rsidR="0089527D" w:rsidRPr="009A3CB8">
        <w:rPr>
          <w:rFonts w:ascii="Arial" w:eastAsia="Times New Roman" w:hAnsi="Arial" w:cs="Arial"/>
          <w:b/>
          <w:bCs/>
          <w:color w:val="000000"/>
          <w:lang w:eastAsia="es-CO"/>
        </w:rPr>
        <w:t xml:space="preserve"> </w:t>
      </w:r>
      <w:r w:rsidR="00236FF0" w:rsidRPr="009A3CB8">
        <w:rPr>
          <w:rFonts w:ascii="Arial" w:eastAsia="Times New Roman" w:hAnsi="Arial" w:cs="Arial"/>
          <w:color w:val="000000"/>
          <w:lang w:eastAsia="es-CO"/>
        </w:rPr>
        <w:t>Se pactó un deducible de</w:t>
      </w:r>
      <w:r w:rsidR="00236FF0" w:rsidRPr="009A3CB8">
        <w:rPr>
          <w:rFonts w:ascii="Arial" w:eastAsia="Times New Roman" w:hAnsi="Arial" w:cs="Arial"/>
          <w:b/>
          <w:bCs/>
          <w:color w:val="000000"/>
          <w:lang w:eastAsia="es-CO"/>
        </w:rPr>
        <w:t xml:space="preserve"> </w:t>
      </w:r>
      <w:r w:rsidR="008B2E89" w:rsidRPr="009A3CB8">
        <w:rPr>
          <w:rFonts w:ascii="Arial" w:eastAsia="Times New Roman" w:hAnsi="Arial" w:cs="Arial"/>
          <w:color w:val="000000"/>
          <w:lang w:eastAsia="es-CO"/>
        </w:rPr>
        <w:t>1</w:t>
      </w:r>
      <w:r w:rsidR="00EE4097">
        <w:rPr>
          <w:rFonts w:ascii="Arial" w:eastAsia="Times New Roman" w:hAnsi="Arial" w:cs="Arial"/>
          <w:color w:val="000000"/>
          <w:lang w:eastAsia="es-CO"/>
        </w:rPr>
        <w:t>5</w:t>
      </w:r>
      <w:r w:rsidR="005A16F9" w:rsidRPr="009A3CB8">
        <w:rPr>
          <w:rFonts w:ascii="Arial" w:eastAsia="Times New Roman" w:hAnsi="Arial" w:cs="Arial"/>
          <w:color w:val="000000"/>
          <w:lang w:eastAsia="es-CO"/>
        </w:rPr>
        <w:t xml:space="preserve">% mínimo </w:t>
      </w:r>
      <w:r w:rsidR="00EE4097">
        <w:rPr>
          <w:rFonts w:ascii="Arial" w:eastAsia="Times New Roman" w:hAnsi="Arial" w:cs="Arial"/>
          <w:color w:val="000000"/>
          <w:lang w:eastAsia="es-CO"/>
        </w:rPr>
        <w:t>40</w:t>
      </w:r>
      <w:r w:rsidR="008B2E89" w:rsidRPr="009A3CB8">
        <w:rPr>
          <w:rFonts w:ascii="Arial" w:eastAsia="Times New Roman" w:hAnsi="Arial" w:cs="Arial"/>
          <w:color w:val="000000"/>
          <w:lang w:eastAsia="es-CO"/>
        </w:rPr>
        <w:t xml:space="preserve"> </w:t>
      </w:r>
      <w:proofErr w:type="spellStart"/>
      <w:r w:rsidR="008848CE" w:rsidRPr="009A3CB8">
        <w:rPr>
          <w:rFonts w:ascii="Arial" w:eastAsia="Times New Roman" w:hAnsi="Arial" w:cs="Arial"/>
          <w:color w:val="000000"/>
          <w:lang w:eastAsia="es-CO"/>
        </w:rPr>
        <w:t>smlmv</w:t>
      </w:r>
      <w:proofErr w:type="spellEnd"/>
      <w:r w:rsidR="00F63D0A" w:rsidRPr="009A3CB8">
        <w:rPr>
          <w:rFonts w:ascii="Arial" w:eastAsia="Times New Roman" w:hAnsi="Arial" w:cs="Arial"/>
          <w:color w:val="000000"/>
          <w:lang w:eastAsia="es-CO"/>
        </w:rPr>
        <w:t>. Apli</w:t>
      </w:r>
      <w:r w:rsidR="00D61A4F">
        <w:rPr>
          <w:rFonts w:ascii="Arial" w:eastAsia="Times New Roman" w:hAnsi="Arial" w:cs="Arial"/>
          <w:color w:val="000000"/>
          <w:lang w:eastAsia="es-CO"/>
        </w:rPr>
        <w:t xml:space="preserve">can los 40 </w:t>
      </w:r>
      <w:proofErr w:type="spellStart"/>
      <w:r w:rsidR="00D61A4F">
        <w:rPr>
          <w:rFonts w:ascii="Arial" w:eastAsia="Times New Roman" w:hAnsi="Arial" w:cs="Arial"/>
          <w:color w:val="000000"/>
          <w:lang w:eastAsia="es-CO"/>
        </w:rPr>
        <w:t>smlmv</w:t>
      </w:r>
      <w:proofErr w:type="spellEnd"/>
      <w:r w:rsidR="00D61A4F">
        <w:rPr>
          <w:rFonts w:ascii="Arial" w:eastAsia="Times New Roman" w:hAnsi="Arial" w:cs="Arial"/>
          <w:color w:val="000000"/>
          <w:lang w:eastAsia="es-CO"/>
        </w:rPr>
        <w:t xml:space="preserve"> equivalentes a </w:t>
      </w:r>
      <w:r w:rsidR="000303A4">
        <w:rPr>
          <w:rFonts w:ascii="Arial" w:eastAsia="Times New Roman" w:hAnsi="Arial" w:cs="Arial"/>
          <w:color w:val="000000"/>
          <w:lang w:eastAsia="es-CO"/>
        </w:rPr>
        <w:t xml:space="preserve">$52.000.000 </w:t>
      </w:r>
      <w:r w:rsidR="00F63D0A" w:rsidRPr="009A3CB8">
        <w:rPr>
          <w:rFonts w:ascii="Arial" w:eastAsia="Times New Roman" w:hAnsi="Arial" w:cs="Arial"/>
          <w:color w:val="000000"/>
          <w:lang w:eastAsia="es-CO"/>
        </w:rPr>
        <w:t>por ser mayor, es decir que queda así:</w:t>
      </w:r>
    </w:p>
    <w:p w14:paraId="71E217A2" w14:textId="77777777" w:rsidR="00236FF0" w:rsidRPr="009A3CB8" w:rsidRDefault="00236FF0" w:rsidP="0004408B">
      <w:pPr>
        <w:shd w:val="clear" w:color="auto" w:fill="FFFFFF"/>
        <w:spacing w:after="0" w:line="312" w:lineRule="auto"/>
        <w:jc w:val="both"/>
        <w:rPr>
          <w:rFonts w:ascii="Arial" w:eastAsia="Times New Roman" w:hAnsi="Arial" w:cs="Arial"/>
          <w:color w:val="000000"/>
          <w:lang w:eastAsia="es-CO"/>
        </w:rPr>
      </w:pPr>
    </w:p>
    <w:p w14:paraId="0AEF52C2" w14:textId="156C2F7D" w:rsidR="009454B3" w:rsidRPr="009A3CB8" w:rsidRDefault="00F63D0A" w:rsidP="0004408B">
      <w:pPr>
        <w:shd w:val="clear" w:color="auto" w:fill="FFFFFF"/>
        <w:spacing w:after="0" w:line="312" w:lineRule="auto"/>
        <w:ind w:left="851"/>
        <w:jc w:val="both"/>
        <w:rPr>
          <w:rFonts w:ascii="Arial" w:eastAsia="Times New Roman" w:hAnsi="Arial" w:cs="Arial"/>
          <w:color w:val="000000"/>
          <w:lang w:eastAsia="es-CO"/>
        </w:rPr>
      </w:pPr>
      <w:r w:rsidRPr="009A3CB8">
        <w:rPr>
          <w:rFonts w:ascii="Arial" w:eastAsia="Times New Roman" w:hAnsi="Arial" w:cs="Arial"/>
          <w:color w:val="000000"/>
          <w:lang w:eastAsia="es-CO"/>
        </w:rPr>
        <w:t>$</w:t>
      </w:r>
      <w:r w:rsidR="000303A4">
        <w:rPr>
          <w:rFonts w:ascii="Arial" w:eastAsia="Times New Roman" w:hAnsi="Arial" w:cs="Arial"/>
          <w:color w:val="000000"/>
          <w:lang w:eastAsia="es-CO"/>
        </w:rPr>
        <w:t xml:space="preserve">92.300.000 – 40 </w:t>
      </w:r>
      <w:proofErr w:type="spellStart"/>
      <w:r w:rsidR="000303A4">
        <w:rPr>
          <w:rFonts w:ascii="Arial" w:eastAsia="Times New Roman" w:hAnsi="Arial" w:cs="Arial"/>
          <w:color w:val="000000"/>
          <w:lang w:eastAsia="es-CO"/>
        </w:rPr>
        <w:t>smlmv</w:t>
      </w:r>
      <w:proofErr w:type="spellEnd"/>
      <w:r w:rsidR="000303A4">
        <w:rPr>
          <w:rFonts w:ascii="Arial" w:eastAsia="Times New Roman" w:hAnsi="Arial" w:cs="Arial"/>
          <w:color w:val="000000"/>
          <w:lang w:eastAsia="es-CO"/>
        </w:rPr>
        <w:t xml:space="preserve"> (</w:t>
      </w:r>
      <w:r w:rsidR="00CF07E8">
        <w:rPr>
          <w:rFonts w:ascii="Arial" w:eastAsia="Times New Roman" w:hAnsi="Arial" w:cs="Arial"/>
          <w:color w:val="000000"/>
          <w:lang w:eastAsia="es-CO"/>
        </w:rPr>
        <w:t>$52.000.000) =</w:t>
      </w:r>
      <w:r w:rsidRPr="009A3CB8">
        <w:rPr>
          <w:rFonts w:ascii="Arial" w:eastAsia="Times New Roman" w:hAnsi="Arial" w:cs="Arial"/>
          <w:color w:val="000000"/>
          <w:lang w:eastAsia="es-CO"/>
        </w:rPr>
        <w:t xml:space="preserve"> </w:t>
      </w:r>
      <w:r w:rsidRPr="009A3CB8">
        <w:rPr>
          <w:rFonts w:ascii="Arial" w:eastAsia="Times New Roman" w:hAnsi="Arial" w:cs="Arial"/>
          <w:b/>
          <w:bCs/>
          <w:color w:val="000000"/>
          <w:u w:val="single"/>
          <w:lang w:eastAsia="es-CO"/>
        </w:rPr>
        <w:t>$</w:t>
      </w:r>
      <w:r w:rsidR="00CF07E8">
        <w:rPr>
          <w:rFonts w:ascii="Arial" w:eastAsia="Times New Roman" w:hAnsi="Arial" w:cs="Arial"/>
          <w:b/>
          <w:bCs/>
          <w:color w:val="000000"/>
          <w:u w:val="single"/>
          <w:lang w:eastAsia="es-CO"/>
        </w:rPr>
        <w:t>40.300.000</w:t>
      </w:r>
      <w:r w:rsidR="002E01B1" w:rsidRPr="009A3CB8">
        <w:rPr>
          <w:rFonts w:ascii="Arial" w:eastAsia="Times New Roman" w:hAnsi="Arial" w:cs="Arial"/>
          <w:color w:val="000000"/>
          <w:lang w:eastAsia="es-CO"/>
        </w:rPr>
        <w:t xml:space="preserve"> </w:t>
      </w:r>
    </w:p>
    <w:p w14:paraId="1F247FCA" w14:textId="77777777" w:rsidR="009454B3" w:rsidRPr="009A3CB8" w:rsidRDefault="009454B3" w:rsidP="0004408B">
      <w:pPr>
        <w:shd w:val="clear" w:color="auto" w:fill="FFFFFF"/>
        <w:spacing w:after="0" w:line="312" w:lineRule="auto"/>
        <w:jc w:val="both"/>
        <w:rPr>
          <w:rFonts w:ascii="Arial" w:eastAsia="Times New Roman" w:hAnsi="Arial" w:cs="Arial"/>
          <w:color w:val="000000"/>
          <w:lang w:eastAsia="es-CO"/>
        </w:rPr>
      </w:pPr>
    </w:p>
    <w:p w14:paraId="71357816" w14:textId="66528191" w:rsidR="00FE7C11" w:rsidRPr="009A2C56" w:rsidRDefault="009454B3" w:rsidP="0004408B">
      <w:pPr>
        <w:pStyle w:val="Prrafodelista"/>
        <w:numPr>
          <w:ilvl w:val="0"/>
          <w:numId w:val="19"/>
        </w:numPr>
        <w:shd w:val="clear" w:color="auto" w:fill="FFFFFF"/>
        <w:spacing w:after="0" w:line="312" w:lineRule="auto"/>
        <w:ind w:left="284" w:hanging="283"/>
        <w:jc w:val="both"/>
        <w:rPr>
          <w:rFonts w:ascii="Arial" w:eastAsia="Times New Roman" w:hAnsi="Arial" w:cs="Arial"/>
          <w:b/>
          <w:bCs/>
          <w:color w:val="000000"/>
          <w:lang w:eastAsia="es-CO"/>
        </w:rPr>
      </w:pPr>
      <w:r w:rsidRPr="009A3CB8">
        <w:rPr>
          <w:rFonts w:ascii="Arial" w:eastAsia="Times New Roman" w:hAnsi="Arial" w:cs="Arial"/>
          <w:b/>
          <w:bCs/>
          <w:color w:val="000000"/>
          <w:lang w:eastAsia="es-CO"/>
        </w:rPr>
        <w:t>Coaseguro</w:t>
      </w:r>
      <w:r w:rsidR="00D56B72">
        <w:rPr>
          <w:rFonts w:ascii="Arial" w:eastAsia="Times New Roman" w:hAnsi="Arial" w:cs="Arial"/>
          <w:b/>
          <w:bCs/>
          <w:color w:val="000000"/>
          <w:lang w:eastAsia="es-CO"/>
        </w:rPr>
        <w:t xml:space="preserve">: </w:t>
      </w:r>
      <w:r w:rsidR="00D56B72">
        <w:rPr>
          <w:rFonts w:ascii="Arial" w:eastAsia="Times New Roman" w:hAnsi="Arial" w:cs="Arial"/>
          <w:color w:val="000000"/>
          <w:lang w:eastAsia="es-CO"/>
        </w:rPr>
        <w:t xml:space="preserve">Se distribuyó el riesgo de la siguiente manera: </w:t>
      </w:r>
    </w:p>
    <w:p w14:paraId="1A52623A" w14:textId="77777777" w:rsidR="009A2C56" w:rsidRPr="00D56B72" w:rsidRDefault="009A2C56" w:rsidP="009A2C56">
      <w:pPr>
        <w:pStyle w:val="Prrafodelista"/>
        <w:shd w:val="clear" w:color="auto" w:fill="FFFFFF"/>
        <w:spacing w:after="0" w:line="312" w:lineRule="auto"/>
        <w:ind w:left="284"/>
        <w:jc w:val="both"/>
        <w:rPr>
          <w:rFonts w:ascii="Arial" w:eastAsia="Times New Roman" w:hAnsi="Arial" w:cs="Arial"/>
          <w:b/>
          <w:bCs/>
          <w:color w:val="000000"/>
          <w:lang w:eastAsia="es-CO"/>
        </w:rPr>
      </w:pPr>
    </w:p>
    <w:tbl>
      <w:tblPr>
        <w:tblStyle w:val="Tablaconcuadrcula"/>
        <w:tblW w:w="0" w:type="auto"/>
        <w:tblLook w:val="04A0" w:firstRow="1" w:lastRow="0" w:firstColumn="1" w:lastColumn="0" w:noHBand="0" w:noVBand="1"/>
      </w:tblPr>
      <w:tblGrid>
        <w:gridCol w:w="3077"/>
        <w:gridCol w:w="1720"/>
        <w:gridCol w:w="1577"/>
      </w:tblGrid>
      <w:tr w:rsidR="00D56B72" w14:paraId="1D89D8EB" w14:textId="77777777" w:rsidTr="009A2C56">
        <w:tc>
          <w:tcPr>
            <w:tcW w:w="3077" w:type="dxa"/>
          </w:tcPr>
          <w:p w14:paraId="319D8AF8" w14:textId="580669B8" w:rsidR="00D56B72" w:rsidRDefault="009A2C56" w:rsidP="009A2C56">
            <w:pPr>
              <w:spacing w:line="312"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COMPAÑÍA</w:t>
            </w:r>
          </w:p>
        </w:tc>
        <w:tc>
          <w:tcPr>
            <w:tcW w:w="1720" w:type="dxa"/>
          </w:tcPr>
          <w:p w14:paraId="03E90784" w14:textId="0912AE9C" w:rsidR="00D56B72" w:rsidRDefault="009A2C56" w:rsidP="009A2C56">
            <w:pPr>
              <w:spacing w:line="312"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PORCENTAJE</w:t>
            </w:r>
          </w:p>
        </w:tc>
        <w:tc>
          <w:tcPr>
            <w:tcW w:w="1577" w:type="dxa"/>
          </w:tcPr>
          <w:p w14:paraId="1DD20801" w14:textId="5E3BE8A4" w:rsidR="00D56B72" w:rsidRDefault="009A2C56" w:rsidP="009A2C56">
            <w:pPr>
              <w:spacing w:line="312"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MONTO</w:t>
            </w:r>
          </w:p>
        </w:tc>
      </w:tr>
      <w:tr w:rsidR="00D56B72" w14:paraId="72AC2DE0" w14:textId="77777777" w:rsidTr="009A2C56">
        <w:tc>
          <w:tcPr>
            <w:tcW w:w="3077" w:type="dxa"/>
          </w:tcPr>
          <w:p w14:paraId="4C537EF2" w14:textId="64C7CA08" w:rsidR="00D56B72" w:rsidRPr="009A2C56" w:rsidRDefault="00415253" w:rsidP="00D56B72">
            <w:pPr>
              <w:spacing w:line="312" w:lineRule="auto"/>
              <w:jc w:val="both"/>
              <w:rPr>
                <w:rFonts w:ascii="Arial" w:eastAsia="Times New Roman" w:hAnsi="Arial" w:cs="Arial"/>
                <w:color w:val="000000"/>
                <w:lang w:eastAsia="es-CO"/>
              </w:rPr>
            </w:pPr>
            <w:r w:rsidRPr="009A2C56">
              <w:rPr>
                <w:rFonts w:ascii="Arial" w:eastAsia="Times New Roman" w:hAnsi="Arial" w:cs="Arial"/>
                <w:color w:val="000000"/>
                <w:lang w:eastAsia="es-CO"/>
              </w:rPr>
              <w:t>Allianz Seguros S.A.</w:t>
            </w:r>
          </w:p>
        </w:tc>
        <w:tc>
          <w:tcPr>
            <w:tcW w:w="1720" w:type="dxa"/>
          </w:tcPr>
          <w:p w14:paraId="3A39E002" w14:textId="6E1D98B4" w:rsidR="00D56B72" w:rsidRPr="009A2C56" w:rsidRDefault="00415253" w:rsidP="00D56B72">
            <w:pPr>
              <w:spacing w:line="312" w:lineRule="auto"/>
              <w:jc w:val="both"/>
              <w:rPr>
                <w:rFonts w:ascii="Arial" w:eastAsia="Times New Roman" w:hAnsi="Arial" w:cs="Arial"/>
                <w:color w:val="000000"/>
                <w:lang w:eastAsia="es-CO"/>
              </w:rPr>
            </w:pPr>
            <w:r w:rsidRPr="009A2C56">
              <w:rPr>
                <w:rFonts w:ascii="Arial" w:eastAsia="Times New Roman" w:hAnsi="Arial" w:cs="Arial"/>
                <w:color w:val="000000"/>
                <w:lang w:eastAsia="es-CO"/>
              </w:rPr>
              <w:t>23.00%</w:t>
            </w:r>
          </w:p>
        </w:tc>
        <w:tc>
          <w:tcPr>
            <w:tcW w:w="1577" w:type="dxa"/>
          </w:tcPr>
          <w:p w14:paraId="59537B40" w14:textId="210E22F7" w:rsidR="00D56B72" w:rsidRPr="009A2C56" w:rsidRDefault="00B97764" w:rsidP="00D56B72">
            <w:pPr>
              <w:spacing w:line="312" w:lineRule="auto"/>
              <w:jc w:val="both"/>
              <w:rPr>
                <w:rFonts w:ascii="Arial" w:eastAsia="Times New Roman" w:hAnsi="Arial" w:cs="Arial"/>
                <w:color w:val="000000"/>
                <w:lang w:eastAsia="es-CO"/>
              </w:rPr>
            </w:pPr>
            <w:r w:rsidRPr="009A2C56">
              <w:rPr>
                <w:rFonts w:ascii="Arial" w:eastAsia="Times New Roman" w:hAnsi="Arial" w:cs="Arial"/>
                <w:color w:val="000000"/>
                <w:lang w:eastAsia="es-CO"/>
              </w:rPr>
              <w:t>$</w:t>
            </w:r>
            <w:r w:rsidR="00B94DA5" w:rsidRPr="009A2C56">
              <w:rPr>
                <w:rFonts w:ascii="Arial" w:eastAsia="Times New Roman" w:hAnsi="Arial" w:cs="Arial"/>
                <w:color w:val="000000"/>
                <w:lang w:eastAsia="es-CO"/>
              </w:rPr>
              <w:t>9.269.000</w:t>
            </w:r>
          </w:p>
        </w:tc>
      </w:tr>
      <w:tr w:rsidR="00D56B72" w14:paraId="564B6227" w14:textId="77777777" w:rsidTr="009A2C56">
        <w:tc>
          <w:tcPr>
            <w:tcW w:w="3077" w:type="dxa"/>
          </w:tcPr>
          <w:p w14:paraId="5268CC3B" w14:textId="5749ED56" w:rsidR="00D56B72" w:rsidRPr="009A2C56" w:rsidRDefault="00415253" w:rsidP="00D56B72">
            <w:pPr>
              <w:spacing w:line="312" w:lineRule="auto"/>
              <w:jc w:val="both"/>
              <w:rPr>
                <w:rFonts w:ascii="Arial" w:eastAsia="Times New Roman" w:hAnsi="Arial" w:cs="Arial"/>
                <w:b/>
                <w:bCs/>
                <w:color w:val="000000"/>
                <w:u w:val="single"/>
                <w:lang w:eastAsia="es-CO"/>
              </w:rPr>
            </w:pPr>
            <w:r w:rsidRPr="009A2C56">
              <w:rPr>
                <w:rFonts w:ascii="Arial" w:eastAsia="Times New Roman" w:hAnsi="Arial" w:cs="Arial"/>
                <w:b/>
                <w:bCs/>
                <w:color w:val="000000"/>
                <w:u w:val="single"/>
                <w:lang w:eastAsia="es-CO"/>
              </w:rPr>
              <w:t>Axa Colpatria</w:t>
            </w:r>
          </w:p>
        </w:tc>
        <w:tc>
          <w:tcPr>
            <w:tcW w:w="1720" w:type="dxa"/>
          </w:tcPr>
          <w:p w14:paraId="196FD5F8" w14:textId="2A8B9E4F" w:rsidR="00D56B72" w:rsidRPr="009A2C56" w:rsidRDefault="00415253" w:rsidP="00D56B72">
            <w:pPr>
              <w:spacing w:line="312" w:lineRule="auto"/>
              <w:jc w:val="both"/>
              <w:rPr>
                <w:rFonts w:ascii="Arial" w:eastAsia="Times New Roman" w:hAnsi="Arial" w:cs="Arial"/>
                <w:b/>
                <w:bCs/>
                <w:color w:val="000000"/>
                <w:u w:val="single"/>
                <w:lang w:eastAsia="es-CO"/>
              </w:rPr>
            </w:pPr>
            <w:r w:rsidRPr="009A2C56">
              <w:rPr>
                <w:rFonts w:ascii="Arial" w:eastAsia="Times New Roman" w:hAnsi="Arial" w:cs="Arial"/>
                <w:b/>
                <w:bCs/>
                <w:color w:val="000000"/>
                <w:u w:val="single"/>
                <w:lang w:eastAsia="es-CO"/>
              </w:rPr>
              <w:t>21.00%</w:t>
            </w:r>
          </w:p>
        </w:tc>
        <w:tc>
          <w:tcPr>
            <w:tcW w:w="1577" w:type="dxa"/>
          </w:tcPr>
          <w:p w14:paraId="72703919" w14:textId="71C9A72E" w:rsidR="00D56B72" w:rsidRPr="009A2C56" w:rsidRDefault="00B94DA5" w:rsidP="00D56B72">
            <w:pPr>
              <w:spacing w:line="312" w:lineRule="auto"/>
              <w:jc w:val="both"/>
              <w:rPr>
                <w:rFonts w:ascii="Arial" w:eastAsia="Times New Roman" w:hAnsi="Arial" w:cs="Arial"/>
                <w:b/>
                <w:bCs/>
                <w:color w:val="000000"/>
                <w:u w:val="single"/>
                <w:lang w:eastAsia="es-CO"/>
              </w:rPr>
            </w:pPr>
            <w:r w:rsidRPr="009A2C56">
              <w:rPr>
                <w:rFonts w:ascii="Arial" w:eastAsia="Times New Roman" w:hAnsi="Arial" w:cs="Arial"/>
                <w:b/>
                <w:bCs/>
                <w:color w:val="000000"/>
                <w:u w:val="single"/>
                <w:lang w:eastAsia="es-CO"/>
              </w:rPr>
              <w:t>$8.463.000</w:t>
            </w:r>
          </w:p>
        </w:tc>
      </w:tr>
      <w:tr w:rsidR="00D56B72" w14:paraId="34985634" w14:textId="77777777" w:rsidTr="009A2C56">
        <w:tc>
          <w:tcPr>
            <w:tcW w:w="3077" w:type="dxa"/>
          </w:tcPr>
          <w:p w14:paraId="25014591" w14:textId="72583AA4" w:rsidR="00D56B72" w:rsidRPr="009A2C56" w:rsidRDefault="00415253" w:rsidP="00D56B72">
            <w:pPr>
              <w:spacing w:line="312" w:lineRule="auto"/>
              <w:jc w:val="both"/>
              <w:rPr>
                <w:rFonts w:ascii="Arial" w:eastAsia="Times New Roman" w:hAnsi="Arial" w:cs="Arial"/>
                <w:color w:val="000000"/>
                <w:lang w:eastAsia="es-CO"/>
              </w:rPr>
            </w:pPr>
            <w:r w:rsidRPr="009A2C56">
              <w:rPr>
                <w:rFonts w:ascii="Arial" w:eastAsia="Times New Roman" w:hAnsi="Arial" w:cs="Arial"/>
                <w:color w:val="000000"/>
                <w:lang w:eastAsia="es-CO"/>
              </w:rPr>
              <w:t>Mapfre</w:t>
            </w:r>
          </w:p>
        </w:tc>
        <w:tc>
          <w:tcPr>
            <w:tcW w:w="1720" w:type="dxa"/>
          </w:tcPr>
          <w:p w14:paraId="3CD68585" w14:textId="524BE9F6" w:rsidR="00D56B72" w:rsidRPr="009A2C56" w:rsidRDefault="00415253" w:rsidP="00D56B72">
            <w:pPr>
              <w:spacing w:line="312" w:lineRule="auto"/>
              <w:jc w:val="both"/>
              <w:rPr>
                <w:rFonts w:ascii="Arial" w:eastAsia="Times New Roman" w:hAnsi="Arial" w:cs="Arial"/>
                <w:color w:val="000000"/>
                <w:lang w:eastAsia="es-CO"/>
              </w:rPr>
            </w:pPr>
            <w:r w:rsidRPr="009A2C56">
              <w:rPr>
                <w:rFonts w:ascii="Arial" w:eastAsia="Times New Roman" w:hAnsi="Arial" w:cs="Arial"/>
                <w:color w:val="000000"/>
                <w:lang w:eastAsia="es-CO"/>
              </w:rPr>
              <w:t>34.00%</w:t>
            </w:r>
          </w:p>
        </w:tc>
        <w:tc>
          <w:tcPr>
            <w:tcW w:w="1577" w:type="dxa"/>
          </w:tcPr>
          <w:p w14:paraId="0CCD21DA" w14:textId="5F33EC16" w:rsidR="00D56B72" w:rsidRPr="009A2C56" w:rsidRDefault="00564D83" w:rsidP="00D56B72">
            <w:pPr>
              <w:spacing w:line="312" w:lineRule="auto"/>
              <w:jc w:val="both"/>
              <w:rPr>
                <w:rFonts w:ascii="Arial" w:eastAsia="Times New Roman" w:hAnsi="Arial" w:cs="Arial"/>
                <w:color w:val="000000"/>
                <w:lang w:eastAsia="es-CO"/>
              </w:rPr>
            </w:pPr>
            <w:r w:rsidRPr="009A2C56">
              <w:rPr>
                <w:rFonts w:ascii="Arial" w:eastAsia="Times New Roman" w:hAnsi="Arial" w:cs="Arial"/>
                <w:color w:val="000000"/>
                <w:lang w:eastAsia="es-CO"/>
              </w:rPr>
              <w:t>$13.702.000</w:t>
            </w:r>
          </w:p>
        </w:tc>
      </w:tr>
      <w:tr w:rsidR="00D56B72" w14:paraId="653BF042" w14:textId="77777777" w:rsidTr="009A2C56">
        <w:tc>
          <w:tcPr>
            <w:tcW w:w="3077" w:type="dxa"/>
          </w:tcPr>
          <w:p w14:paraId="532FD099" w14:textId="7C37F086" w:rsidR="00D56B72" w:rsidRPr="009A2C56" w:rsidRDefault="00B97764" w:rsidP="00D56B72">
            <w:pPr>
              <w:spacing w:line="312" w:lineRule="auto"/>
              <w:jc w:val="both"/>
              <w:rPr>
                <w:rFonts w:ascii="Arial" w:eastAsia="Times New Roman" w:hAnsi="Arial" w:cs="Arial"/>
                <w:color w:val="000000"/>
                <w:lang w:eastAsia="es-CO"/>
              </w:rPr>
            </w:pPr>
            <w:r w:rsidRPr="009A2C56">
              <w:rPr>
                <w:rFonts w:ascii="Arial" w:eastAsia="Times New Roman" w:hAnsi="Arial" w:cs="Arial"/>
                <w:color w:val="000000"/>
                <w:lang w:eastAsia="es-CO"/>
              </w:rPr>
              <w:t>QBE</w:t>
            </w:r>
          </w:p>
        </w:tc>
        <w:tc>
          <w:tcPr>
            <w:tcW w:w="1720" w:type="dxa"/>
          </w:tcPr>
          <w:p w14:paraId="6C6250E6" w14:textId="44FD51FC" w:rsidR="00D56B72" w:rsidRPr="009A2C56" w:rsidRDefault="00B97764" w:rsidP="00D56B72">
            <w:pPr>
              <w:spacing w:line="312" w:lineRule="auto"/>
              <w:jc w:val="both"/>
              <w:rPr>
                <w:rFonts w:ascii="Arial" w:eastAsia="Times New Roman" w:hAnsi="Arial" w:cs="Arial"/>
                <w:color w:val="000000"/>
                <w:lang w:eastAsia="es-CO"/>
              </w:rPr>
            </w:pPr>
            <w:r w:rsidRPr="009A2C56">
              <w:rPr>
                <w:rFonts w:ascii="Arial" w:eastAsia="Times New Roman" w:hAnsi="Arial" w:cs="Arial"/>
                <w:color w:val="000000"/>
                <w:lang w:eastAsia="es-CO"/>
              </w:rPr>
              <w:t>22.00%</w:t>
            </w:r>
          </w:p>
        </w:tc>
        <w:tc>
          <w:tcPr>
            <w:tcW w:w="1577" w:type="dxa"/>
          </w:tcPr>
          <w:p w14:paraId="12C68729" w14:textId="4B53FF31" w:rsidR="00D56B72" w:rsidRPr="009A2C56" w:rsidRDefault="00564D83" w:rsidP="00D56B72">
            <w:pPr>
              <w:spacing w:line="312" w:lineRule="auto"/>
              <w:jc w:val="both"/>
              <w:rPr>
                <w:rFonts w:ascii="Arial" w:eastAsia="Times New Roman" w:hAnsi="Arial" w:cs="Arial"/>
                <w:color w:val="000000"/>
                <w:lang w:eastAsia="es-CO"/>
              </w:rPr>
            </w:pPr>
            <w:r w:rsidRPr="009A2C56">
              <w:rPr>
                <w:rFonts w:ascii="Arial" w:eastAsia="Times New Roman" w:hAnsi="Arial" w:cs="Arial"/>
                <w:color w:val="000000"/>
                <w:lang w:eastAsia="es-CO"/>
              </w:rPr>
              <w:t>$8.866.000</w:t>
            </w:r>
          </w:p>
        </w:tc>
      </w:tr>
    </w:tbl>
    <w:p w14:paraId="1C5590F5" w14:textId="77777777" w:rsidR="00D56B72" w:rsidRPr="00D56B72" w:rsidRDefault="00D56B72" w:rsidP="00D56B72">
      <w:pPr>
        <w:shd w:val="clear" w:color="auto" w:fill="FFFFFF"/>
        <w:spacing w:after="0" w:line="312" w:lineRule="auto"/>
        <w:jc w:val="both"/>
        <w:rPr>
          <w:rFonts w:ascii="Arial" w:eastAsia="Times New Roman" w:hAnsi="Arial" w:cs="Arial"/>
          <w:b/>
          <w:bCs/>
          <w:color w:val="000000"/>
          <w:lang w:eastAsia="es-CO"/>
        </w:rPr>
      </w:pPr>
    </w:p>
    <w:p w14:paraId="121B270C" w14:textId="77777777" w:rsidR="009454B3" w:rsidRPr="009A3CB8" w:rsidRDefault="009454B3" w:rsidP="0004408B">
      <w:pPr>
        <w:shd w:val="clear" w:color="auto" w:fill="FFFFFF"/>
        <w:spacing w:after="0" w:line="312" w:lineRule="auto"/>
        <w:jc w:val="both"/>
        <w:rPr>
          <w:rFonts w:ascii="Arial" w:eastAsia="Times New Roman" w:hAnsi="Arial" w:cs="Arial"/>
          <w:color w:val="000000"/>
          <w:lang w:eastAsia="es-CO"/>
        </w:rPr>
      </w:pPr>
    </w:p>
    <w:p w14:paraId="713F92BB" w14:textId="77777777" w:rsidR="009454B3" w:rsidRPr="009A3CB8" w:rsidRDefault="009454B3" w:rsidP="0004408B">
      <w:pPr>
        <w:shd w:val="clear" w:color="auto" w:fill="FFFFFF"/>
        <w:spacing w:after="0" w:line="312" w:lineRule="auto"/>
        <w:jc w:val="both"/>
        <w:rPr>
          <w:rFonts w:ascii="Arial" w:eastAsia="Times New Roman" w:hAnsi="Arial" w:cs="Arial"/>
          <w:color w:val="000000"/>
          <w:lang w:eastAsia="es-CO"/>
        </w:rPr>
      </w:pPr>
    </w:p>
    <w:p w14:paraId="4C9D7855" w14:textId="77777777" w:rsidR="009454B3" w:rsidRPr="009A3CB8" w:rsidRDefault="009454B3" w:rsidP="0004408B">
      <w:pPr>
        <w:shd w:val="clear" w:color="auto" w:fill="FFFFFF"/>
        <w:spacing w:after="0" w:line="312" w:lineRule="auto"/>
        <w:jc w:val="both"/>
        <w:rPr>
          <w:rFonts w:ascii="Arial" w:eastAsia="Times New Roman" w:hAnsi="Arial" w:cs="Arial"/>
          <w:color w:val="000000"/>
          <w:lang w:eastAsia="es-CO"/>
        </w:rPr>
      </w:pPr>
    </w:p>
    <w:p w14:paraId="32070E1A" w14:textId="77777777" w:rsidR="009454B3" w:rsidRPr="009A3CB8" w:rsidRDefault="009454B3" w:rsidP="0004408B">
      <w:pPr>
        <w:shd w:val="clear" w:color="auto" w:fill="FFFFFF"/>
        <w:spacing w:after="0" w:line="312" w:lineRule="auto"/>
        <w:jc w:val="both"/>
        <w:rPr>
          <w:rFonts w:ascii="Arial" w:eastAsia="Times New Roman" w:hAnsi="Arial" w:cs="Arial"/>
          <w:color w:val="000000"/>
          <w:lang w:eastAsia="es-CO"/>
        </w:rPr>
      </w:pPr>
    </w:p>
    <w:sectPr w:rsidR="009454B3" w:rsidRPr="009A3CB8" w:rsidSect="00027ACF">
      <w:headerReference w:type="default" r:id="rId8"/>
      <w:footerReference w:type="default" r:id="rId9"/>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2BAA8" w14:textId="77777777" w:rsidR="00D86522" w:rsidRDefault="00D86522" w:rsidP="0025591F">
      <w:r>
        <w:separator/>
      </w:r>
    </w:p>
  </w:endnote>
  <w:endnote w:type="continuationSeparator" w:id="0">
    <w:p w14:paraId="125DD928" w14:textId="77777777" w:rsidR="00D86522" w:rsidRDefault="00D86522"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Raleway">
    <w:altName w:val="Trebuchet MS"/>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5E0BE" w14:textId="522F151B" w:rsidR="004A356B" w:rsidRDefault="00B54DCC" w:rsidP="004A356B">
    <w:pPr>
      <w:rPr>
        <w:color w:val="222A35" w:themeColor="text2" w:themeShade="80"/>
      </w:rPr>
    </w:pPr>
    <w:r>
      <w:rPr>
        <w:noProof/>
        <w:color w:val="222A35" w:themeColor="text2" w:themeShade="80"/>
      </w:rPr>
      <w:drawing>
        <wp:anchor distT="0" distB="0" distL="114300" distR="114300" simplePos="0" relativeHeight="251658240" behindDoc="1" locked="0" layoutInCell="1" allowOverlap="1" wp14:anchorId="5F5FD803" wp14:editId="400BA699">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0B9A83" w14:textId="3E3D2DB4" w:rsidR="00416F84" w:rsidRDefault="0032364E" w:rsidP="00416F84">
    <w:pPr>
      <w:ind w:left="7080" w:firstLine="708"/>
      <w:rPr>
        <w:color w:val="222A35" w:themeColor="text2" w:themeShade="80"/>
      </w:rPr>
    </w:pPr>
    <w:r>
      <w:rPr>
        <w:noProof/>
      </w:rPr>
      <mc:AlternateContent>
        <mc:Choice Requires="wps">
          <w:drawing>
            <wp:anchor distT="0" distB="0" distL="114300" distR="114300" simplePos="0" relativeHeight="251662336" behindDoc="1" locked="0" layoutInCell="1" allowOverlap="1" wp14:anchorId="45A7A820" wp14:editId="432B665C">
              <wp:simplePos x="0" y="0"/>
              <wp:positionH relativeFrom="margin">
                <wp:posOffset>1896110</wp:posOffset>
              </wp:positionH>
              <wp:positionV relativeFrom="page">
                <wp:posOffset>11255375</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57C157"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7A0DC2E"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7A820" id="Rectángulo 4" o:spid="_x0000_s1026" style="position:absolute;left:0;text-align:left;margin-left:149.3pt;margin-top:886.2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" filled="f" stroked="f" strokeweight="1pt">
              <v:textbox>
                <w:txbxContent>
                  <w:p w14:paraId="1E57C157"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7A0DC2E"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0288" behindDoc="1" locked="0" layoutInCell="1" allowOverlap="1" wp14:anchorId="6D3C4C13" wp14:editId="7B140D01">
          <wp:simplePos x="0" y="0"/>
          <wp:positionH relativeFrom="column">
            <wp:posOffset>4425315</wp:posOffset>
          </wp:positionH>
          <wp:positionV relativeFrom="margin">
            <wp:posOffset>9817735</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363FD" w14:textId="243E5F6D" w:rsidR="00416F84" w:rsidRDefault="00416F84" w:rsidP="00416F84">
    <w:pPr>
      <w:ind w:left="7080" w:firstLine="708"/>
      <w:rPr>
        <w:color w:val="222A35" w:themeColor="text2" w:themeShade="80"/>
      </w:rPr>
    </w:pPr>
  </w:p>
  <w:p w14:paraId="3D8FB6EE" w14:textId="07DFA76D" w:rsidR="00416F84" w:rsidRDefault="0032364E" w:rsidP="004A356B">
    <w:pPr>
      <w:rPr>
        <w:color w:val="222A35" w:themeColor="text2" w:themeShade="80"/>
      </w:rPr>
    </w:pPr>
    <w:r>
      <w:rPr>
        <w:noProof/>
      </w:rPr>
      <mc:AlternateContent>
        <mc:Choice Requires="wps">
          <w:drawing>
            <wp:anchor distT="0" distB="0" distL="114300" distR="114300" simplePos="0" relativeHeight="251664384" behindDoc="1" locked="0" layoutInCell="1" allowOverlap="1" wp14:anchorId="3786B34B" wp14:editId="5805B205">
              <wp:simplePos x="0" y="0"/>
              <wp:positionH relativeFrom="page">
                <wp:posOffset>199390</wp:posOffset>
              </wp:positionH>
              <wp:positionV relativeFrom="bottomMargin">
                <wp:posOffset>1136015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7FDD4D" w14:textId="55DB30A2" w:rsidR="00416F84" w:rsidRPr="0032364E" w:rsidRDefault="0032364E"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6B34B" id="Rectángulo 5" o:spid="_x0000_s1027" style="position:absolute;margin-left:15.7pt;margin-top:89.4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" filled="f" stroked="f" strokeweight="1pt">
              <v:textbox>
                <w:txbxContent>
                  <w:p w14:paraId="627FDD4D" w14:textId="55DB30A2" w:rsidR="00416F84" w:rsidRPr="0032364E" w:rsidRDefault="0032364E"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v:textbox>
              <w10:wrap anchorx="page" anchory="margin"/>
            </v:rect>
          </w:pict>
        </mc:Fallback>
      </mc:AlternateContent>
    </w:r>
  </w:p>
  <w:p w14:paraId="4D699004"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65C6D533"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90E04" w14:textId="77777777" w:rsidR="00D86522" w:rsidRDefault="00D86522" w:rsidP="0025591F">
      <w:r>
        <w:separator/>
      </w:r>
    </w:p>
  </w:footnote>
  <w:footnote w:type="continuationSeparator" w:id="0">
    <w:p w14:paraId="5D24D5DF" w14:textId="77777777" w:rsidR="00D86522" w:rsidRDefault="00D86522" w:rsidP="0025591F">
      <w:r>
        <w:continuationSeparator/>
      </w:r>
    </w:p>
  </w:footnote>
  <w:footnote w:id="1">
    <w:p w14:paraId="27787C91" w14:textId="07565A74" w:rsidR="006C0C2D" w:rsidRPr="006C0C2D" w:rsidRDefault="006C0C2D">
      <w:pPr>
        <w:pStyle w:val="Textonotapie"/>
        <w:rPr>
          <w:lang w:val="es-ES"/>
        </w:rPr>
      </w:pPr>
      <w:r>
        <w:rPr>
          <w:rStyle w:val="Refdenotaalpie"/>
        </w:rPr>
        <w:footnoteRef/>
      </w:r>
      <w:r>
        <w:t xml:space="preserve"> </w:t>
      </w:r>
      <w:r w:rsidR="00476D03" w:rsidRPr="00476D03">
        <w:t>(…) Artículo Décimo Quinto: Del traslado definitivo a una VIP. Las unidades sociales que habiten y que se encuentren en ocupación permanente de un bien de uso público ubicado dentro de las zonas declaradas de alto riesgo no mitigable por inundación, consideradas dentro del Plan Jarillón de Cali, podrán tener derecho al traslado definitivo a una vivienda de interés social prioritario (VIP) como reposición, la cual tiene un valor de (70) SMLMV, previo el cumplimiento de los requisitos legales. (…)</w:t>
      </w:r>
    </w:p>
  </w:footnote>
  <w:footnote w:id="2">
    <w:p w14:paraId="43166576" w14:textId="77777777" w:rsidR="00476D03" w:rsidRPr="00476D03" w:rsidRDefault="00476D03" w:rsidP="00476D03">
      <w:pPr>
        <w:pStyle w:val="Textonotapie"/>
      </w:pPr>
      <w:r>
        <w:rPr>
          <w:rStyle w:val="Refdenotaalpie"/>
        </w:rPr>
        <w:footnoteRef/>
      </w:r>
      <w:r>
        <w:t xml:space="preserve"> </w:t>
      </w:r>
      <w:r w:rsidRPr="00476D03">
        <w:t xml:space="preserve">(…) b) Compensación para la relocalización de unidades sociales objeto de acción de restitución de bien de uso público. </w:t>
      </w:r>
    </w:p>
    <w:p w14:paraId="3BC4ABEC" w14:textId="4D3F35BC" w:rsidR="00476D03" w:rsidRPr="00476D03" w:rsidRDefault="00476D03" w:rsidP="00476D03">
      <w:pPr>
        <w:pStyle w:val="Textonotapie"/>
        <w:rPr>
          <w:lang w:val="es-ES"/>
        </w:rPr>
      </w:pPr>
      <w:r w:rsidRPr="00476D03">
        <w:t>Cuando se adelante el proceso de restitución por la autoridad competente y la administración municipal se encuentre analizando la información aportada por la Unidad Social, para definir si tiene o no derecho a una vivienda de interés social (VIP) como solución definitiva, la Unidad Social tendrá derecho a una compensación como medida temporal de mitigación hasta por tres (3) meses, la cual corresponderá a 0.30 de un SMLMV por cada mes.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15B6A"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2AB18487" wp14:editId="7735FD1D">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255D"/>
    <w:multiLevelType w:val="hybridMultilevel"/>
    <w:tmpl w:val="1638C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82102A"/>
    <w:multiLevelType w:val="hybridMultilevel"/>
    <w:tmpl w:val="8E7CD430"/>
    <w:lvl w:ilvl="0" w:tplc="B7E2D7FC">
      <w:start w:val="1"/>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0B711AB0"/>
    <w:multiLevelType w:val="hybridMultilevel"/>
    <w:tmpl w:val="34980C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9E085A"/>
    <w:multiLevelType w:val="multilevel"/>
    <w:tmpl w:val="14E8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E526496"/>
    <w:multiLevelType w:val="hybridMultilevel"/>
    <w:tmpl w:val="A5B0CCDE"/>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3C069F"/>
    <w:multiLevelType w:val="hybridMultilevel"/>
    <w:tmpl w:val="2E6683AC"/>
    <w:lvl w:ilvl="0" w:tplc="E8DA718C">
      <w:start w:val="1"/>
      <w:numFmt w:val="upp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42314BD"/>
    <w:multiLevelType w:val="hybridMultilevel"/>
    <w:tmpl w:val="804C484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24D422FF"/>
    <w:multiLevelType w:val="hybridMultilevel"/>
    <w:tmpl w:val="AAAE88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CD343B3"/>
    <w:multiLevelType w:val="hybridMultilevel"/>
    <w:tmpl w:val="DEBC5C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7DD60F2"/>
    <w:multiLevelType w:val="hybridMultilevel"/>
    <w:tmpl w:val="885A4B2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B2650A0"/>
    <w:multiLevelType w:val="hybridMultilevel"/>
    <w:tmpl w:val="56E26FBE"/>
    <w:lvl w:ilvl="0" w:tplc="6200371C">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DF232CB"/>
    <w:multiLevelType w:val="hybridMultilevel"/>
    <w:tmpl w:val="8B1E93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14123B8"/>
    <w:multiLevelType w:val="hybridMultilevel"/>
    <w:tmpl w:val="FF002D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906264A"/>
    <w:multiLevelType w:val="hybridMultilevel"/>
    <w:tmpl w:val="58F64D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1933933"/>
    <w:multiLevelType w:val="hybridMultilevel"/>
    <w:tmpl w:val="F2AC52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B8B2CFF"/>
    <w:multiLevelType w:val="hybridMultilevel"/>
    <w:tmpl w:val="C63A52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5127497"/>
    <w:multiLevelType w:val="hybridMultilevel"/>
    <w:tmpl w:val="372275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82A388B"/>
    <w:multiLevelType w:val="hybridMultilevel"/>
    <w:tmpl w:val="5212E2AA"/>
    <w:lvl w:ilvl="0" w:tplc="C2A4BF5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A705E17"/>
    <w:multiLevelType w:val="hybridMultilevel"/>
    <w:tmpl w:val="A6C66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FC150B8"/>
    <w:multiLevelType w:val="hybridMultilevel"/>
    <w:tmpl w:val="EF866F7C"/>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4856901">
    <w:abstractNumId w:val="4"/>
  </w:num>
  <w:num w:numId="2" w16cid:durableId="1948266355">
    <w:abstractNumId w:val="19"/>
  </w:num>
  <w:num w:numId="3" w16cid:durableId="1899433455">
    <w:abstractNumId w:val="14"/>
  </w:num>
  <w:num w:numId="4" w16cid:durableId="1088695464">
    <w:abstractNumId w:val="6"/>
  </w:num>
  <w:num w:numId="5" w16cid:durableId="1428580693">
    <w:abstractNumId w:val="11"/>
  </w:num>
  <w:num w:numId="6" w16cid:durableId="1206134820">
    <w:abstractNumId w:val="10"/>
  </w:num>
  <w:num w:numId="7" w16cid:durableId="195893033">
    <w:abstractNumId w:val="9"/>
  </w:num>
  <w:num w:numId="8" w16cid:durableId="1112633739">
    <w:abstractNumId w:val="7"/>
  </w:num>
  <w:num w:numId="9" w16cid:durableId="1678342932">
    <w:abstractNumId w:val="20"/>
  </w:num>
  <w:num w:numId="10" w16cid:durableId="2061054691">
    <w:abstractNumId w:val="17"/>
  </w:num>
  <w:num w:numId="11" w16cid:durableId="867178779">
    <w:abstractNumId w:val="18"/>
  </w:num>
  <w:num w:numId="12" w16cid:durableId="1726028003">
    <w:abstractNumId w:val="2"/>
  </w:num>
  <w:num w:numId="13" w16cid:durableId="349767311">
    <w:abstractNumId w:val="1"/>
  </w:num>
  <w:num w:numId="14" w16cid:durableId="546575122">
    <w:abstractNumId w:val="5"/>
  </w:num>
  <w:num w:numId="15" w16cid:durableId="1147087011">
    <w:abstractNumId w:val="13"/>
  </w:num>
  <w:num w:numId="16" w16cid:durableId="350297958">
    <w:abstractNumId w:val="12"/>
  </w:num>
  <w:num w:numId="17" w16cid:durableId="1735465876">
    <w:abstractNumId w:val="8"/>
  </w:num>
  <w:num w:numId="18" w16cid:durableId="825363302">
    <w:abstractNumId w:val="0"/>
  </w:num>
  <w:num w:numId="19" w16cid:durableId="1848446421">
    <w:abstractNumId w:val="15"/>
  </w:num>
  <w:num w:numId="20" w16cid:durableId="1957639340">
    <w:abstractNumId w:val="3"/>
  </w:num>
  <w:num w:numId="21" w16cid:durableId="7239153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64E"/>
    <w:rsid w:val="00000B13"/>
    <w:rsid w:val="000017D4"/>
    <w:rsid w:val="00002902"/>
    <w:rsid w:val="0000490B"/>
    <w:rsid w:val="0000707A"/>
    <w:rsid w:val="0001364B"/>
    <w:rsid w:val="00017BE6"/>
    <w:rsid w:val="00017E9F"/>
    <w:rsid w:val="00022B56"/>
    <w:rsid w:val="00025B16"/>
    <w:rsid w:val="00026148"/>
    <w:rsid w:val="0002726A"/>
    <w:rsid w:val="00027ACF"/>
    <w:rsid w:val="000303A4"/>
    <w:rsid w:val="0003111F"/>
    <w:rsid w:val="000319BE"/>
    <w:rsid w:val="00034EB4"/>
    <w:rsid w:val="00034FF5"/>
    <w:rsid w:val="0004089C"/>
    <w:rsid w:val="00041D7C"/>
    <w:rsid w:val="00043C30"/>
    <w:rsid w:val="0004408B"/>
    <w:rsid w:val="000477EE"/>
    <w:rsid w:val="0005032E"/>
    <w:rsid w:val="0005124C"/>
    <w:rsid w:val="00053F6F"/>
    <w:rsid w:val="00054D2C"/>
    <w:rsid w:val="00055C56"/>
    <w:rsid w:val="00065862"/>
    <w:rsid w:val="00065DE7"/>
    <w:rsid w:val="00073620"/>
    <w:rsid w:val="00082532"/>
    <w:rsid w:val="0008727D"/>
    <w:rsid w:val="0008780B"/>
    <w:rsid w:val="000914E4"/>
    <w:rsid w:val="0009217D"/>
    <w:rsid w:val="000937BF"/>
    <w:rsid w:val="000963CD"/>
    <w:rsid w:val="000A1496"/>
    <w:rsid w:val="000A15D9"/>
    <w:rsid w:val="000A2660"/>
    <w:rsid w:val="000A4B28"/>
    <w:rsid w:val="000B43AC"/>
    <w:rsid w:val="000B66C2"/>
    <w:rsid w:val="000B6A8D"/>
    <w:rsid w:val="000C0D81"/>
    <w:rsid w:val="000C15D5"/>
    <w:rsid w:val="000C2815"/>
    <w:rsid w:val="000D0A88"/>
    <w:rsid w:val="000E1F3E"/>
    <w:rsid w:val="000E4441"/>
    <w:rsid w:val="000F288C"/>
    <w:rsid w:val="000F3B70"/>
    <w:rsid w:val="000F5A69"/>
    <w:rsid w:val="000F5B68"/>
    <w:rsid w:val="0010107D"/>
    <w:rsid w:val="001237B8"/>
    <w:rsid w:val="00124466"/>
    <w:rsid w:val="00124A68"/>
    <w:rsid w:val="00124C46"/>
    <w:rsid w:val="00124F2D"/>
    <w:rsid w:val="00125C46"/>
    <w:rsid w:val="001315AD"/>
    <w:rsid w:val="00134369"/>
    <w:rsid w:val="00137734"/>
    <w:rsid w:val="00144A98"/>
    <w:rsid w:val="00145051"/>
    <w:rsid w:val="001475A7"/>
    <w:rsid w:val="001513A6"/>
    <w:rsid w:val="0015283A"/>
    <w:rsid w:val="00152E4B"/>
    <w:rsid w:val="001540ED"/>
    <w:rsid w:val="00156A6B"/>
    <w:rsid w:val="001577F4"/>
    <w:rsid w:val="0016323D"/>
    <w:rsid w:val="001635F1"/>
    <w:rsid w:val="00166F69"/>
    <w:rsid w:val="00172E69"/>
    <w:rsid w:val="00180BE7"/>
    <w:rsid w:val="00181030"/>
    <w:rsid w:val="001822D6"/>
    <w:rsid w:val="0019051C"/>
    <w:rsid w:val="001925A0"/>
    <w:rsid w:val="0019487B"/>
    <w:rsid w:val="00194DAC"/>
    <w:rsid w:val="0019650B"/>
    <w:rsid w:val="0019688A"/>
    <w:rsid w:val="001A4BCD"/>
    <w:rsid w:val="001B2356"/>
    <w:rsid w:val="001B385C"/>
    <w:rsid w:val="001B5F8B"/>
    <w:rsid w:val="001B7F85"/>
    <w:rsid w:val="001C0188"/>
    <w:rsid w:val="001C0B9D"/>
    <w:rsid w:val="001C5991"/>
    <w:rsid w:val="001C7171"/>
    <w:rsid w:val="001D1E00"/>
    <w:rsid w:val="001D4466"/>
    <w:rsid w:val="001E1369"/>
    <w:rsid w:val="001E2408"/>
    <w:rsid w:val="001E330C"/>
    <w:rsid w:val="001E451C"/>
    <w:rsid w:val="001E75F0"/>
    <w:rsid w:val="001F13F3"/>
    <w:rsid w:val="001F5E8F"/>
    <w:rsid w:val="001F6B08"/>
    <w:rsid w:val="001F7AD3"/>
    <w:rsid w:val="001F7FC8"/>
    <w:rsid w:val="002001FB"/>
    <w:rsid w:val="00200EA7"/>
    <w:rsid w:val="00203C34"/>
    <w:rsid w:val="00205459"/>
    <w:rsid w:val="002113BD"/>
    <w:rsid w:val="0021365A"/>
    <w:rsid w:val="00214BAA"/>
    <w:rsid w:val="0021706B"/>
    <w:rsid w:val="00220E62"/>
    <w:rsid w:val="00234E5A"/>
    <w:rsid w:val="00234F3F"/>
    <w:rsid w:val="00236FF0"/>
    <w:rsid w:val="00241016"/>
    <w:rsid w:val="00242AE1"/>
    <w:rsid w:val="00250C1E"/>
    <w:rsid w:val="00250C47"/>
    <w:rsid w:val="002518D3"/>
    <w:rsid w:val="00252534"/>
    <w:rsid w:val="002529D9"/>
    <w:rsid w:val="00254E27"/>
    <w:rsid w:val="0025591F"/>
    <w:rsid w:val="002575D4"/>
    <w:rsid w:val="002619F4"/>
    <w:rsid w:val="002678DC"/>
    <w:rsid w:val="00267DDC"/>
    <w:rsid w:val="00274885"/>
    <w:rsid w:val="00281D90"/>
    <w:rsid w:val="00291E04"/>
    <w:rsid w:val="0029645D"/>
    <w:rsid w:val="002A5538"/>
    <w:rsid w:val="002A64A5"/>
    <w:rsid w:val="002B2698"/>
    <w:rsid w:val="002B4F2C"/>
    <w:rsid w:val="002B559C"/>
    <w:rsid w:val="002B5E76"/>
    <w:rsid w:val="002C2DF9"/>
    <w:rsid w:val="002C63C3"/>
    <w:rsid w:val="002D4715"/>
    <w:rsid w:val="002E01B1"/>
    <w:rsid w:val="002F0868"/>
    <w:rsid w:val="002F23D3"/>
    <w:rsid w:val="002F2A89"/>
    <w:rsid w:val="002F4EFC"/>
    <w:rsid w:val="002F5A28"/>
    <w:rsid w:val="00310E06"/>
    <w:rsid w:val="0032096D"/>
    <w:rsid w:val="0032364E"/>
    <w:rsid w:val="00323F91"/>
    <w:rsid w:val="00325B5A"/>
    <w:rsid w:val="003316F2"/>
    <w:rsid w:val="00335CDA"/>
    <w:rsid w:val="00340888"/>
    <w:rsid w:val="00344862"/>
    <w:rsid w:val="00346291"/>
    <w:rsid w:val="00353DA4"/>
    <w:rsid w:val="00361931"/>
    <w:rsid w:val="00364C71"/>
    <w:rsid w:val="003655D8"/>
    <w:rsid w:val="00374573"/>
    <w:rsid w:val="00375AFE"/>
    <w:rsid w:val="00377450"/>
    <w:rsid w:val="00382603"/>
    <w:rsid w:val="00382E81"/>
    <w:rsid w:val="00383160"/>
    <w:rsid w:val="0038564B"/>
    <w:rsid w:val="00386C75"/>
    <w:rsid w:val="00387D2A"/>
    <w:rsid w:val="00391358"/>
    <w:rsid w:val="00391902"/>
    <w:rsid w:val="0039208A"/>
    <w:rsid w:val="003958E6"/>
    <w:rsid w:val="00395B0D"/>
    <w:rsid w:val="003A437A"/>
    <w:rsid w:val="003A5EDE"/>
    <w:rsid w:val="003A7566"/>
    <w:rsid w:val="003B07A6"/>
    <w:rsid w:val="003B136D"/>
    <w:rsid w:val="003B24E1"/>
    <w:rsid w:val="003B34F9"/>
    <w:rsid w:val="003B3F29"/>
    <w:rsid w:val="003B522A"/>
    <w:rsid w:val="003B6456"/>
    <w:rsid w:val="003C0BA8"/>
    <w:rsid w:val="003C51A3"/>
    <w:rsid w:val="003C5BCE"/>
    <w:rsid w:val="003D0D35"/>
    <w:rsid w:val="003D6324"/>
    <w:rsid w:val="003D719A"/>
    <w:rsid w:val="003E481D"/>
    <w:rsid w:val="003F26B0"/>
    <w:rsid w:val="003F2B48"/>
    <w:rsid w:val="003F6740"/>
    <w:rsid w:val="003F6859"/>
    <w:rsid w:val="00404E15"/>
    <w:rsid w:val="00407F39"/>
    <w:rsid w:val="0041398D"/>
    <w:rsid w:val="00415253"/>
    <w:rsid w:val="00415DE4"/>
    <w:rsid w:val="00416C87"/>
    <w:rsid w:val="00416F84"/>
    <w:rsid w:val="00420544"/>
    <w:rsid w:val="00423180"/>
    <w:rsid w:val="0042497F"/>
    <w:rsid w:val="004266F0"/>
    <w:rsid w:val="00434348"/>
    <w:rsid w:val="0043481D"/>
    <w:rsid w:val="00435077"/>
    <w:rsid w:val="004354F5"/>
    <w:rsid w:val="00437A9D"/>
    <w:rsid w:val="00441E11"/>
    <w:rsid w:val="00450502"/>
    <w:rsid w:val="00450732"/>
    <w:rsid w:val="004521EA"/>
    <w:rsid w:val="00455162"/>
    <w:rsid w:val="004629F9"/>
    <w:rsid w:val="004648A8"/>
    <w:rsid w:val="00470810"/>
    <w:rsid w:val="00471F7E"/>
    <w:rsid w:val="00472DAF"/>
    <w:rsid w:val="00473827"/>
    <w:rsid w:val="00475CD7"/>
    <w:rsid w:val="0047651F"/>
    <w:rsid w:val="00476D03"/>
    <w:rsid w:val="00491657"/>
    <w:rsid w:val="004933F1"/>
    <w:rsid w:val="00494E38"/>
    <w:rsid w:val="004973D2"/>
    <w:rsid w:val="004A01FD"/>
    <w:rsid w:val="004A2873"/>
    <w:rsid w:val="004A356B"/>
    <w:rsid w:val="004A41E7"/>
    <w:rsid w:val="004B66CD"/>
    <w:rsid w:val="004C01CE"/>
    <w:rsid w:val="004C37CD"/>
    <w:rsid w:val="004C7C3A"/>
    <w:rsid w:val="004D3696"/>
    <w:rsid w:val="004D38F5"/>
    <w:rsid w:val="004D62C2"/>
    <w:rsid w:val="004E3F74"/>
    <w:rsid w:val="004F0794"/>
    <w:rsid w:val="004F1AEA"/>
    <w:rsid w:val="004F547D"/>
    <w:rsid w:val="004F6CBF"/>
    <w:rsid w:val="004F6DF7"/>
    <w:rsid w:val="00500CF5"/>
    <w:rsid w:val="00505F3C"/>
    <w:rsid w:val="00510E64"/>
    <w:rsid w:val="005156AE"/>
    <w:rsid w:val="00532EF3"/>
    <w:rsid w:val="00542502"/>
    <w:rsid w:val="00543F6F"/>
    <w:rsid w:val="00547F32"/>
    <w:rsid w:val="00551F32"/>
    <w:rsid w:val="005533FD"/>
    <w:rsid w:val="0055756D"/>
    <w:rsid w:val="00560BF1"/>
    <w:rsid w:val="00563A6D"/>
    <w:rsid w:val="00564D83"/>
    <w:rsid w:val="00565E2F"/>
    <w:rsid w:val="00566329"/>
    <w:rsid w:val="00566B52"/>
    <w:rsid w:val="00571F29"/>
    <w:rsid w:val="0057260D"/>
    <w:rsid w:val="005835CC"/>
    <w:rsid w:val="00584B87"/>
    <w:rsid w:val="00587791"/>
    <w:rsid w:val="005923B4"/>
    <w:rsid w:val="00595D9B"/>
    <w:rsid w:val="00595F06"/>
    <w:rsid w:val="005A16F9"/>
    <w:rsid w:val="005A3F2C"/>
    <w:rsid w:val="005A464A"/>
    <w:rsid w:val="005A5123"/>
    <w:rsid w:val="005B3F70"/>
    <w:rsid w:val="005B6D2E"/>
    <w:rsid w:val="005C1F2D"/>
    <w:rsid w:val="005C6CF5"/>
    <w:rsid w:val="005D1BF8"/>
    <w:rsid w:val="005D60E1"/>
    <w:rsid w:val="005D7117"/>
    <w:rsid w:val="005D7327"/>
    <w:rsid w:val="005E2E7D"/>
    <w:rsid w:val="005E3082"/>
    <w:rsid w:val="005E5C31"/>
    <w:rsid w:val="005F1535"/>
    <w:rsid w:val="005F413A"/>
    <w:rsid w:val="005F4527"/>
    <w:rsid w:val="005F5E31"/>
    <w:rsid w:val="00612D74"/>
    <w:rsid w:val="006147B4"/>
    <w:rsid w:val="006167FF"/>
    <w:rsid w:val="006306B7"/>
    <w:rsid w:val="00630C20"/>
    <w:rsid w:val="00630ED9"/>
    <w:rsid w:val="00632030"/>
    <w:rsid w:val="00635B1A"/>
    <w:rsid w:val="00637020"/>
    <w:rsid w:val="00653910"/>
    <w:rsid w:val="00657B8F"/>
    <w:rsid w:val="00665320"/>
    <w:rsid w:val="0066553A"/>
    <w:rsid w:val="006669F5"/>
    <w:rsid w:val="006670DA"/>
    <w:rsid w:val="0067008E"/>
    <w:rsid w:val="006716CA"/>
    <w:rsid w:val="006755E9"/>
    <w:rsid w:val="006766E1"/>
    <w:rsid w:val="00677588"/>
    <w:rsid w:val="00677E50"/>
    <w:rsid w:val="00680943"/>
    <w:rsid w:val="0068381C"/>
    <w:rsid w:val="00684399"/>
    <w:rsid w:val="0069244F"/>
    <w:rsid w:val="0069382F"/>
    <w:rsid w:val="006960CD"/>
    <w:rsid w:val="006A22E4"/>
    <w:rsid w:val="006B25C3"/>
    <w:rsid w:val="006B4D16"/>
    <w:rsid w:val="006B60AF"/>
    <w:rsid w:val="006B6167"/>
    <w:rsid w:val="006B6B0A"/>
    <w:rsid w:val="006B6DCA"/>
    <w:rsid w:val="006C0C2D"/>
    <w:rsid w:val="006C498E"/>
    <w:rsid w:val="006D286E"/>
    <w:rsid w:val="006E0CB5"/>
    <w:rsid w:val="006E20C7"/>
    <w:rsid w:val="006E2365"/>
    <w:rsid w:val="006E43C8"/>
    <w:rsid w:val="006E67DC"/>
    <w:rsid w:val="006F0163"/>
    <w:rsid w:val="006F3F7B"/>
    <w:rsid w:val="006F6A75"/>
    <w:rsid w:val="00704175"/>
    <w:rsid w:val="00707E46"/>
    <w:rsid w:val="00712A62"/>
    <w:rsid w:val="00715EED"/>
    <w:rsid w:val="00717FD8"/>
    <w:rsid w:val="00735B9F"/>
    <w:rsid w:val="00737DF1"/>
    <w:rsid w:val="0074448D"/>
    <w:rsid w:val="00746684"/>
    <w:rsid w:val="00746CE8"/>
    <w:rsid w:val="00747BCA"/>
    <w:rsid w:val="007551A8"/>
    <w:rsid w:val="00770630"/>
    <w:rsid w:val="00770B85"/>
    <w:rsid w:val="00774328"/>
    <w:rsid w:val="007778C4"/>
    <w:rsid w:val="007805DF"/>
    <w:rsid w:val="00784A7B"/>
    <w:rsid w:val="007857DB"/>
    <w:rsid w:val="007861C4"/>
    <w:rsid w:val="00787140"/>
    <w:rsid w:val="0079221C"/>
    <w:rsid w:val="00793C8E"/>
    <w:rsid w:val="00794059"/>
    <w:rsid w:val="007967DF"/>
    <w:rsid w:val="007A200A"/>
    <w:rsid w:val="007A611E"/>
    <w:rsid w:val="007A708E"/>
    <w:rsid w:val="007B4DAB"/>
    <w:rsid w:val="007C1A65"/>
    <w:rsid w:val="007C5FAD"/>
    <w:rsid w:val="007C6FC5"/>
    <w:rsid w:val="007D397F"/>
    <w:rsid w:val="007D4A4C"/>
    <w:rsid w:val="007D4F72"/>
    <w:rsid w:val="007E0B9C"/>
    <w:rsid w:val="007E0E92"/>
    <w:rsid w:val="007E524E"/>
    <w:rsid w:val="007F081F"/>
    <w:rsid w:val="007F0EE9"/>
    <w:rsid w:val="007F4808"/>
    <w:rsid w:val="007F632D"/>
    <w:rsid w:val="007F6660"/>
    <w:rsid w:val="007F6A39"/>
    <w:rsid w:val="007F78E7"/>
    <w:rsid w:val="007F7EF1"/>
    <w:rsid w:val="008013D1"/>
    <w:rsid w:val="00805708"/>
    <w:rsid w:val="008124FB"/>
    <w:rsid w:val="00813A66"/>
    <w:rsid w:val="00814994"/>
    <w:rsid w:val="00815CA1"/>
    <w:rsid w:val="00823B61"/>
    <w:rsid w:val="0082498D"/>
    <w:rsid w:val="0082556C"/>
    <w:rsid w:val="00825745"/>
    <w:rsid w:val="00827812"/>
    <w:rsid w:val="00831BE9"/>
    <w:rsid w:val="00831D58"/>
    <w:rsid w:val="00832AD3"/>
    <w:rsid w:val="0084611F"/>
    <w:rsid w:val="00855C20"/>
    <w:rsid w:val="008601B9"/>
    <w:rsid w:val="008609E8"/>
    <w:rsid w:val="00860A79"/>
    <w:rsid w:val="00863FAF"/>
    <w:rsid w:val="00864742"/>
    <w:rsid w:val="008812DB"/>
    <w:rsid w:val="00882F9A"/>
    <w:rsid w:val="008830A7"/>
    <w:rsid w:val="008848CE"/>
    <w:rsid w:val="00890ADF"/>
    <w:rsid w:val="00890B88"/>
    <w:rsid w:val="008935F6"/>
    <w:rsid w:val="00894C4C"/>
    <w:rsid w:val="0089527D"/>
    <w:rsid w:val="008A0BC3"/>
    <w:rsid w:val="008A3EE5"/>
    <w:rsid w:val="008A4D15"/>
    <w:rsid w:val="008A6451"/>
    <w:rsid w:val="008B1A85"/>
    <w:rsid w:val="008B2132"/>
    <w:rsid w:val="008B2E89"/>
    <w:rsid w:val="008B2F14"/>
    <w:rsid w:val="008B409F"/>
    <w:rsid w:val="008B67AA"/>
    <w:rsid w:val="008B6B34"/>
    <w:rsid w:val="008C0694"/>
    <w:rsid w:val="008E2604"/>
    <w:rsid w:val="008E3D10"/>
    <w:rsid w:val="008E4E08"/>
    <w:rsid w:val="008F1E2F"/>
    <w:rsid w:val="008F61D6"/>
    <w:rsid w:val="00901AEF"/>
    <w:rsid w:val="009029F2"/>
    <w:rsid w:val="00911004"/>
    <w:rsid w:val="0092123D"/>
    <w:rsid w:val="00931244"/>
    <w:rsid w:val="00932ACB"/>
    <w:rsid w:val="00940691"/>
    <w:rsid w:val="009426AD"/>
    <w:rsid w:val="009454B3"/>
    <w:rsid w:val="00950872"/>
    <w:rsid w:val="0095192D"/>
    <w:rsid w:val="0095250D"/>
    <w:rsid w:val="0095599C"/>
    <w:rsid w:val="00962EDC"/>
    <w:rsid w:val="0096678A"/>
    <w:rsid w:val="00967069"/>
    <w:rsid w:val="00976AD3"/>
    <w:rsid w:val="009836FE"/>
    <w:rsid w:val="00983C2F"/>
    <w:rsid w:val="00983D38"/>
    <w:rsid w:val="0098585F"/>
    <w:rsid w:val="009858BF"/>
    <w:rsid w:val="00994ED3"/>
    <w:rsid w:val="00997C0E"/>
    <w:rsid w:val="009A2C56"/>
    <w:rsid w:val="009A3CB8"/>
    <w:rsid w:val="009A6862"/>
    <w:rsid w:val="009B0C2C"/>
    <w:rsid w:val="009B0E28"/>
    <w:rsid w:val="009B15C9"/>
    <w:rsid w:val="009B2A22"/>
    <w:rsid w:val="009B5E15"/>
    <w:rsid w:val="009B5EC2"/>
    <w:rsid w:val="009B78B1"/>
    <w:rsid w:val="009C3744"/>
    <w:rsid w:val="009C430A"/>
    <w:rsid w:val="009C444A"/>
    <w:rsid w:val="009C4649"/>
    <w:rsid w:val="009C5D54"/>
    <w:rsid w:val="009C74E6"/>
    <w:rsid w:val="009D1B93"/>
    <w:rsid w:val="009D3F73"/>
    <w:rsid w:val="009D41D8"/>
    <w:rsid w:val="009D5C46"/>
    <w:rsid w:val="009E21F9"/>
    <w:rsid w:val="009E2D5D"/>
    <w:rsid w:val="009F44F6"/>
    <w:rsid w:val="00A033AA"/>
    <w:rsid w:val="00A068DD"/>
    <w:rsid w:val="00A1046C"/>
    <w:rsid w:val="00A14DE6"/>
    <w:rsid w:val="00A1504C"/>
    <w:rsid w:val="00A21466"/>
    <w:rsid w:val="00A23B2D"/>
    <w:rsid w:val="00A316EB"/>
    <w:rsid w:val="00A3518A"/>
    <w:rsid w:val="00A40B20"/>
    <w:rsid w:val="00A42902"/>
    <w:rsid w:val="00A457A0"/>
    <w:rsid w:val="00A47DFD"/>
    <w:rsid w:val="00A50300"/>
    <w:rsid w:val="00A54693"/>
    <w:rsid w:val="00A571B4"/>
    <w:rsid w:val="00A61930"/>
    <w:rsid w:val="00A741AF"/>
    <w:rsid w:val="00A74884"/>
    <w:rsid w:val="00A756A4"/>
    <w:rsid w:val="00A758CE"/>
    <w:rsid w:val="00A779EA"/>
    <w:rsid w:val="00A77D4E"/>
    <w:rsid w:val="00A8116E"/>
    <w:rsid w:val="00A852C4"/>
    <w:rsid w:val="00A877E6"/>
    <w:rsid w:val="00A946BB"/>
    <w:rsid w:val="00AA5E37"/>
    <w:rsid w:val="00AB3A2C"/>
    <w:rsid w:val="00AB5600"/>
    <w:rsid w:val="00AB759B"/>
    <w:rsid w:val="00AC096F"/>
    <w:rsid w:val="00AD03AA"/>
    <w:rsid w:val="00AD1C1D"/>
    <w:rsid w:val="00AD2A85"/>
    <w:rsid w:val="00AD524C"/>
    <w:rsid w:val="00AD6C8A"/>
    <w:rsid w:val="00AD7EAE"/>
    <w:rsid w:val="00B13254"/>
    <w:rsid w:val="00B20189"/>
    <w:rsid w:val="00B21235"/>
    <w:rsid w:val="00B217FE"/>
    <w:rsid w:val="00B22164"/>
    <w:rsid w:val="00B22740"/>
    <w:rsid w:val="00B23AFD"/>
    <w:rsid w:val="00B411FD"/>
    <w:rsid w:val="00B45700"/>
    <w:rsid w:val="00B52936"/>
    <w:rsid w:val="00B53211"/>
    <w:rsid w:val="00B54DCC"/>
    <w:rsid w:val="00B658C2"/>
    <w:rsid w:val="00B65BBE"/>
    <w:rsid w:val="00B67E2A"/>
    <w:rsid w:val="00B717B5"/>
    <w:rsid w:val="00B71ABB"/>
    <w:rsid w:val="00B71AC6"/>
    <w:rsid w:val="00B7771E"/>
    <w:rsid w:val="00B779E1"/>
    <w:rsid w:val="00B80E55"/>
    <w:rsid w:val="00B819F7"/>
    <w:rsid w:val="00B900E9"/>
    <w:rsid w:val="00B90170"/>
    <w:rsid w:val="00B91201"/>
    <w:rsid w:val="00B9180F"/>
    <w:rsid w:val="00B92BD8"/>
    <w:rsid w:val="00B94DA5"/>
    <w:rsid w:val="00B97764"/>
    <w:rsid w:val="00BA087C"/>
    <w:rsid w:val="00BA0EA3"/>
    <w:rsid w:val="00BA33E1"/>
    <w:rsid w:val="00BA4A29"/>
    <w:rsid w:val="00BA603A"/>
    <w:rsid w:val="00BA70D0"/>
    <w:rsid w:val="00BB084C"/>
    <w:rsid w:val="00BB1FC1"/>
    <w:rsid w:val="00BB3437"/>
    <w:rsid w:val="00BB7105"/>
    <w:rsid w:val="00BB7624"/>
    <w:rsid w:val="00BC0321"/>
    <w:rsid w:val="00BC1CFE"/>
    <w:rsid w:val="00BC2105"/>
    <w:rsid w:val="00BC2FBE"/>
    <w:rsid w:val="00BE1B31"/>
    <w:rsid w:val="00BE6214"/>
    <w:rsid w:val="00BE6D7D"/>
    <w:rsid w:val="00BF1A90"/>
    <w:rsid w:val="00BF57B9"/>
    <w:rsid w:val="00C12573"/>
    <w:rsid w:val="00C20684"/>
    <w:rsid w:val="00C246C0"/>
    <w:rsid w:val="00C31A7D"/>
    <w:rsid w:val="00C417C5"/>
    <w:rsid w:val="00C421DB"/>
    <w:rsid w:val="00C43269"/>
    <w:rsid w:val="00C45659"/>
    <w:rsid w:val="00C53500"/>
    <w:rsid w:val="00C5604A"/>
    <w:rsid w:val="00C564BF"/>
    <w:rsid w:val="00C62762"/>
    <w:rsid w:val="00C64002"/>
    <w:rsid w:val="00C7098B"/>
    <w:rsid w:val="00C70FF5"/>
    <w:rsid w:val="00C847E5"/>
    <w:rsid w:val="00C87E4F"/>
    <w:rsid w:val="00C90BE8"/>
    <w:rsid w:val="00C911DE"/>
    <w:rsid w:val="00CA1A9D"/>
    <w:rsid w:val="00CA2E58"/>
    <w:rsid w:val="00CA500D"/>
    <w:rsid w:val="00CC0CA5"/>
    <w:rsid w:val="00CC16C0"/>
    <w:rsid w:val="00CD7CB2"/>
    <w:rsid w:val="00CE183A"/>
    <w:rsid w:val="00CE3D31"/>
    <w:rsid w:val="00CE419A"/>
    <w:rsid w:val="00CF07E8"/>
    <w:rsid w:val="00CF2895"/>
    <w:rsid w:val="00CF3BD4"/>
    <w:rsid w:val="00CF6F53"/>
    <w:rsid w:val="00D015AB"/>
    <w:rsid w:val="00D02C15"/>
    <w:rsid w:val="00D0654B"/>
    <w:rsid w:val="00D10D78"/>
    <w:rsid w:val="00D11C15"/>
    <w:rsid w:val="00D14E92"/>
    <w:rsid w:val="00D159DB"/>
    <w:rsid w:val="00D163A7"/>
    <w:rsid w:val="00D20EE3"/>
    <w:rsid w:val="00D23A48"/>
    <w:rsid w:val="00D24051"/>
    <w:rsid w:val="00D3088A"/>
    <w:rsid w:val="00D4060A"/>
    <w:rsid w:val="00D462B6"/>
    <w:rsid w:val="00D46CDC"/>
    <w:rsid w:val="00D51457"/>
    <w:rsid w:val="00D54343"/>
    <w:rsid w:val="00D54841"/>
    <w:rsid w:val="00D56B72"/>
    <w:rsid w:val="00D60970"/>
    <w:rsid w:val="00D61A4F"/>
    <w:rsid w:val="00D75F7E"/>
    <w:rsid w:val="00D86522"/>
    <w:rsid w:val="00D90A00"/>
    <w:rsid w:val="00D90F95"/>
    <w:rsid w:val="00D932AE"/>
    <w:rsid w:val="00D939A9"/>
    <w:rsid w:val="00DA1BFB"/>
    <w:rsid w:val="00DA3E11"/>
    <w:rsid w:val="00DA628F"/>
    <w:rsid w:val="00DB4B47"/>
    <w:rsid w:val="00DB6CC5"/>
    <w:rsid w:val="00DC1C14"/>
    <w:rsid w:val="00DC2BD6"/>
    <w:rsid w:val="00DC4DC6"/>
    <w:rsid w:val="00DD05CC"/>
    <w:rsid w:val="00DE6417"/>
    <w:rsid w:val="00DE7553"/>
    <w:rsid w:val="00DF18B6"/>
    <w:rsid w:val="00DF4B75"/>
    <w:rsid w:val="00E055CC"/>
    <w:rsid w:val="00E064A0"/>
    <w:rsid w:val="00E06CB8"/>
    <w:rsid w:val="00E1204F"/>
    <w:rsid w:val="00E137CB"/>
    <w:rsid w:val="00E17B20"/>
    <w:rsid w:val="00E2059E"/>
    <w:rsid w:val="00E23DED"/>
    <w:rsid w:val="00E25480"/>
    <w:rsid w:val="00E3075F"/>
    <w:rsid w:val="00E41AE1"/>
    <w:rsid w:val="00E43BA7"/>
    <w:rsid w:val="00E447BD"/>
    <w:rsid w:val="00E52776"/>
    <w:rsid w:val="00E560BD"/>
    <w:rsid w:val="00E56640"/>
    <w:rsid w:val="00E63CC0"/>
    <w:rsid w:val="00E64C9F"/>
    <w:rsid w:val="00E66C19"/>
    <w:rsid w:val="00E70EB7"/>
    <w:rsid w:val="00E7494E"/>
    <w:rsid w:val="00E84B92"/>
    <w:rsid w:val="00E91BA1"/>
    <w:rsid w:val="00E927DF"/>
    <w:rsid w:val="00E9335A"/>
    <w:rsid w:val="00EA38AE"/>
    <w:rsid w:val="00EB06B6"/>
    <w:rsid w:val="00EC0BD1"/>
    <w:rsid w:val="00EC3437"/>
    <w:rsid w:val="00EC434B"/>
    <w:rsid w:val="00ED573C"/>
    <w:rsid w:val="00EE4097"/>
    <w:rsid w:val="00EE40E3"/>
    <w:rsid w:val="00EE7002"/>
    <w:rsid w:val="00EF02E9"/>
    <w:rsid w:val="00EF153A"/>
    <w:rsid w:val="00EF6B53"/>
    <w:rsid w:val="00EF76D6"/>
    <w:rsid w:val="00F01397"/>
    <w:rsid w:val="00F0734E"/>
    <w:rsid w:val="00F12634"/>
    <w:rsid w:val="00F21F71"/>
    <w:rsid w:val="00F2351A"/>
    <w:rsid w:val="00F25687"/>
    <w:rsid w:val="00F2635D"/>
    <w:rsid w:val="00F26DA8"/>
    <w:rsid w:val="00F27105"/>
    <w:rsid w:val="00F31873"/>
    <w:rsid w:val="00F33BC1"/>
    <w:rsid w:val="00F34593"/>
    <w:rsid w:val="00F45156"/>
    <w:rsid w:val="00F56EC1"/>
    <w:rsid w:val="00F63D0A"/>
    <w:rsid w:val="00F64036"/>
    <w:rsid w:val="00F64671"/>
    <w:rsid w:val="00F65F9B"/>
    <w:rsid w:val="00F71BBF"/>
    <w:rsid w:val="00F814DF"/>
    <w:rsid w:val="00F8458E"/>
    <w:rsid w:val="00F84EF6"/>
    <w:rsid w:val="00F868B0"/>
    <w:rsid w:val="00F940D9"/>
    <w:rsid w:val="00F95354"/>
    <w:rsid w:val="00F95B19"/>
    <w:rsid w:val="00F967C1"/>
    <w:rsid w:val="00F97B03"/>
    <w:rsid w:val="00FA4FFB"/>
    <w:rsid w:val="00FB3C01"/>
    <w:rsid w:val="00FB4B0C"/>
    <w:rsid w:val="00FC0A6D"/>
    <w:rsid w:val="00FC7789"/>
    <w:rsid w:val="00FC7B22"/>
    <w:rsid w:val="00FD01BC"/>
    <w:rsid w:val="00FD1C0E"/>
    <w:rsid w:val="00FD25A6"/>
    <w:rsid w:val="00FD5AFE"/>
    <w:rsid w:val="00FD7DE2"/>
    <w:rsid w:val="00FE02F7"/>
    <w:rsid w:val="00FE0953"/>
    <w:rsid w:val="00FE10B5"/>
    <w:rsid w:val="00FE31D7"/>
    <w:rsid w:val="00FE4101"/>
    <w:rsid w:val="00FE4B20"/>
    <w:rsid w:val="00FE5E2E"/>
    <w:rsid w:val="00FE68BE"/>
    <w:rsid w:val="00FE7C11"/>
    <w:rsid w:val="00FF1027"/>
    <w:rsid w:val="00FF2739"/>
    <w:rsid w:val="00FF3E94"/>
    <w:rsid w:val="00FF6193"/>
    <w:rsid w:val="00FF7C4B"/>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7689F"/>
  <w15:chartTrackingRefBased/>
  <w15:docId w15:val="{26BC5966-1E68-477C-BD9E-5DC9196E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573"/>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basedOn w:val="Normal"/>
    <w:uiPriority w:val="34"/>
    <w:qFormat/>
    <w:rsid w:val="0032364E"/>
    <w:pPr>
      <w:ind w:left="720"/>
      <w:contextualSpacing/>
    </w:pPr>
  </w:style>
  <w:style w:type="character" w:customStyle="1" w:styleId="contentpasted0">
    <w:name w:val="contentpasted0"/>
    <w:basedOn w:val="Fuentedeprrafopredeter"/>
    <w:rsid w:val="00770B85"/>
  </w:style>
  <w:style w:type="character" w:customStyle="1" w:styleId="normaltextrun">
    <w:name w:val="normaltextrun"/>
    <w:basedOn w:val="Fuentedeprrafopredeter"/>
    <w:rsid w:val="008B409F"/>
  </w:style>
  <w:style w:type="character" w:customStyle="1" w:styleId="markm4u06jre4">
    <w:name w:val="markm4u06jre4"/>
    <w:basedOn w:val="Fuentedeprrafopredeter"/>
    <w:rsid w:val="008B409F"/>
  </w:style>
  <w:style w:type="paragraph" w:styleId="NormalWeb">
    <w:name w:val="Normal (Web)"/>
    <w:basedOn w:val="Normal"/>
    <w:uiPriority w:val="99"/>
    <w:semiHidden/>
    <w:unhideWhenUsed/>
    <w:rsid w:val="001F5E8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ark989tir83z">
    <w:name w:val="mark989tir83z"/>
    <w:basedOn w:val="Fuentedeprrafopredeter"/>
    <w:rsid w:val="00181030"/>
  </w:style>
  <w:style w:type="character" w:styleId="Refdecomentario">
    <w:name w:val="annotation reference"/>
    <w:basedOn w:val="Fuentedeprrafopredeter"/>
    <w:uiPriority w:val="99"/>
    <w:semiHidden/>
    <w:unhideWhenUsed/>
    <w:rsid w:val="005F1535"/>
    <w:rPr>
      <w:sz w:val="16"/>
      <w:szCs w:val="16"/>
    </w:rPr>
  </w:style>
  <w:style w:type="paragraph" w:styleId="Textocomentario">
    <w:name w:val="annotation text"/>
    <w:basedOn w:val="Normal"/>
    <w:link w:val="TextocomentarioCar"/>
    <w:uiPriority w:val="99"/>
    <w:semiHidden/>
    <w:unhideWhenUsed/>
    <w:rsid w:val="005F153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1535"/>
    <w:rPr>
      <w:sz w:val="20"/>
      <w:szCs w:val="20"/>
    </w:rPr>
  </w:style>
  <w:style w:type="paragraph" w:styleId="Asuntodelcomentario">
    <w:name w:val="annotation subject"/>
    <w:basedOn w:val="Textocomentario"/>
    <w:next w:val="Textocomentario"/>
    <w:link w:val="AsuntodelcomentarioCar"/>
    <w:uiPriority w:val="99"/>
    <w:semiHidden/>
    <w:unhideWhenUsed/>
    <w:rsid w:val="005F1535"/>
    <w:rPr>
      <w:b/>
      <w:bCs/>
    </w:rPr>
  </w:style>
  <w:style w:type="character" w:customStyle="1" w:styleId="AsuntodelcomentarioCar">
    <w:name w:val="Asunto del comentario Car"/>
    <w:basedOn w:val="TextocomentarioCar"/>
    <w:link w:val="Asuntodelcomentario"/>
    <w:uiPriority w:val="99"/>
    <w:semiHidden/>
    <w:rsid w:val="005F1535"/>
    <w:rPr>
      <w:b/>
      <w:bCs/>
      <w:sz w:val="20"/>
      <w:szCs w:val="20"/>
    </w:rPr>
  </w:style>
  <w:style w:type="paragraph" w:styleId="Textonotapie">
    <w:name w:val="footnote text"/>
    <w:basedOn w:val="Normal"/>
    <w:link w:val="TextonotapieCar"/>
    <w:uiPriority w:val="99"/>
    <w:semiHidden/>
    <w:unhideWhenUsed/>
    <w:rsid w:val="00416C87"/>
    <w:pPr>
      <w:spacing w:after="0" w:line="240" w:lineRule="auto"/>
    </w:pPr>
    <w:rPr>
      <w:kern w:val="2"/>
      <w:sz w:val="20"/>
      <w:szCs w:val="20"/>
      <w14:ligatures w14:val="standardContextual"/>
    </w:rPr>
  </w:style>
  <w:style w:type="character" w:customStyle="1" w:styleId="TextonotapieCar">
    <w:name w:val="Texto nota pie Car"/>
    <w:basedOn w:val="Fuentedeprrafopredeter"/>
    <w:link w:val="Textonotapie"/>
    <w:uiPriority w:val="99"/>
    <w:semiHidden/>
    <w:rsid w:val="00416C87"/>
    <w:rPr>
      <w:kern w:val="2"/>
      <w:sz w:val="20"/>
      <w:szCs w:val="20"/>
      <w14:ligatures w14:val="standardContextual"/>
    </w:rPr>
  </w:style>
  <w:style w:type="character" w:styleId="Refdenotaalpie">
    <w:name w:val="footnote reference"/>
    <w:basedOn w:val="Fuentedeprrafopredeter"/>
    <w:uiPriority w:val="99"/>
    <w:semiHidden/>
    <w:unhideWhenUsed/>
    <w:rsid w:val="00416C87"/>
    <w:rPr>
      <w:vertAlign w:val="superscript"/>
    </w:rPr>
  </w:style>
  <w:style w:type="table" w:styleId="Tablaconcuadrcula">
    <w:name w:val="Table Grid"/>
    <w:basedOn w:val="Tablanormal"/>
    <w:uiPriority w:val="39"/>
    <w:rsid w:val="0063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238719">
      <w:bodyDiv w:val="1"/>
      <w:marLeft w:val="0"/>
      <w:marRight w:val="0"/>
      <w:marTop w:val="0"/>
      <w:marBottom w:val="0"/>
      <w:divBdr>
        <w:top w:val="none" w:sz="0" w:space="0" w:color="auto"/>
        <w:left w:val="none" w:sz="0" w:space="0" w:color="auto"/>
        <w:bottom w:val="none" w:sz="0" w:space="0" w:color="auto"/>
        <w:right w:val="none" w:sz="0" w:space="0" w:color="auto"/>
      </w:divBdr>
    </w:div>
    <w:div w:id="407072141">
      <w:bodyDiv w:val="1"/>
      <w:marLeft w:val="0"/>
      <w:marRight w:val="0"/>
      <w:marTop w:val="0"/>
      <w:marBottom w:val="0"/>
      <w:divBdr>
        <w:top w:val="none" w:sz="0" w:space="0" w:color="auto"/>
        <w:left w:val="none" w:sz="0" w:space="0" w:color="auto"/>
        <w:bottom w:val="none" w:sz="0" w:space="0" w:color="auto"/>
        <w:right w:val="none" w:sz="0" w:space="0" w:color="auto"/>
      </w:divBdr>
    </w:div>
    <w:div w:id="631835204">
      <w:bodyDiv w:val="1"/>
      <w:marLeft w:val="0"/>
      <w:marRight w:val="0"/>
      <w:marTop w:val="0"/>
      <w:marBottom w:val="0"/>
      <w:divBdr>
        <w:top w:val="none" w:sz="0" w:space="0" w:color="auto"/>
        <w:left w:val="none" w:sz="0" w:space="0" w:color="auto"/>
        <w:bottom w:val="none" w:sz="0" w:space="0" w:color="auto"/>
        <w:right w:val="none" w:sz="0" w:space="0" w:color="auto"/>
      </w:divBdr>
      <w:divsChild>
        <w:div w:id="1285310980">
          <w:marLeft w:val="720"/>
          <w:marRight w:val="0"/>
          <w:marTop w:val="0"/>
          <w:marBottom w:val="0"/>
          <w:divBdr>
            <w:top w:val="none" w:sz="0" w:space="0" w:color="auto"/>
            <w:left w:val="none" w:sz="0" w:space="0" w:color="auto"/>
            <w:bottom w:val="none" w:sz="0" w:space="0" w:color="auto"/>
            <w:right w:val="none" w:sz="0" w:space="0" w:color="auto"/>
          </w:divBdr>
        </w:div>
      </w:divsChild>
    </w:div>
    <w:div w:id="660157080">
      <w:bodyDiv w:val="1"/>
      <w:marLeft w:val="0"/>
      <w:marRight w:val="0"/>
      <w:marTop w:val="0"/>
      <w:marBottom w:val="0"/>
      <w:divBdr>
        <w:top w:val="none" w:sz="0" w:space="0" w:color="auto"/>
        <w:left w:val="none" w:sz="0" w:space="0" w:color="auto"/>
        <w:bottom w:val="none" w:sz="0" w:space="0" w:color="auto"/>
        <w:right w:val="none" w:sz="0" w:space="0" w:color="auto"/>
      </w:divBdr>
    </w:div>
    <w:div w:id="913244478">
      <w:bodyDiv w:val="1"/>
      <w:marLeft w:val="0"/>
      <w:marRight w:val="0"/>
      <w:marTop w:val="0"/>
      <w:marBottom w:val="0"/>
      <w:divBdr>
        <w:top w:val="none" w:sz="0" w:space="0" w:color="auto"/>
        <w:left w:val="none" w:sz="0" w:space="0" w:color="auto"/>
        <w:bottom w:val="none" w:sz="0" w:space="0" w:color="auto"/>
        <w:right w:val="none" w:sz="0" w:space="0" w:color="auto"/>
      </w:divBdr>
    </w:div>
    <w:div w:id="1197893271">
      <w:bodyDiv w:val="1"/>
      <w:marLeft w:val="0"/>
      <w:marRight w:val="0"/>
      <w:marTop w:val="0"/>
      <w:marBottom w:val="0"/>
      <w:divBdr>
        <w:top w:val="none" w:sz="0" w:space="0" w:color="auto"/>
        <w:left w:val="none" w:sz="0" w:space="0" w:color="auto"/>
        <w:bottom w:val="none" w:sz="0" w:space="0" w:color="auto"/>
        <w:right w:val="none" w:sz="0" w:space="0" w:color="auto"/>
      </w:divBdr>
    </w:div>
    <w:div w:id="1264342354">
      <w:bodyDiv w:val="1"/>
      <w:marLeft w:val="0"/>
      <w:marRight w:val="0"/>
      <w:marTop w:val="0"/>
      <w:marBottom w:val="0"/>
      <w:divBdr>
        <w:top w:val="none" w:sz="0" w:space="0" w:color="auto"/>
        <w:left w:val="none" w:sz="0" w:space="0" w:color="auto"/>
        <w:bottom w:val="none" w:sz="0" w:space="0" w:color="auto"/>
        <w:right w:val="none" w:sz="0" w:space="0" w:color="auto"/>
      </w:divBdr>
    </w:div>
    <w:div w:id="1893151909">
      <w:bodyDiv w:val="1"/>
      <w:marLeft w:val="0"/>
      <w:marRight w:val="0"/>
      <w:marTop w:val="0"/>
      <w:marBottom w:val="0"/>
      <w:divBdr>
        <w:top w:val="none" w:sz="0" w:space="0" w:color="auto"/>
        <w:left w:val="none" w:sz="0" w:space="0" w:color="auto"/>
        <w:bottom w:val="none" w:sz="0" w:space="0" w:color="auto"/>
        <w:right w:val="none" w:sz="0" w:space="0" w:color="auto"/>
      </w:divBdr>
    </w:div>
    <w:div w:id="2101218227">
      <w:bodyDiv w:val="1"/>
      <w:marLeft w:val="0"/>
      <w:marRight w:val="0"/>
      <w:marTop w:val="0"/>
      <w:marBottom w:val="0"/>
      <w:divBdr>
        <w:top w:val="none" w:sz="0" w:space="0" w:color="auto"/>
        <w:left w:val="none" w:sz="0" w:space="0" w:color="auto"/>
        <w:bottom w:val="none" w:sz="0" w:space="0" w:color="auto"/>
        <w:right w:val="none" w:sz="0" w:space="0" w:color="auto"/>
      </w:divBdr>
    </w:div>
    <w:div w:id="213509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Download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540</TotalTime>
  <Pages>5</Pages>
  <Words>1674</Words>
  <Characters>9208</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Kennie Lorena García Madrid</cp:lastModifiedBy>
  <cp:revision>198</cp:revision>
  <dcterms:created xsi:type="dcterms:W3CDTF">2024-08-28T22:25:00Z</dcterms:created>
  <dcterms:modified xsi:type="dcterms:W3CDTF">2024-10-01T14:35:00Z</dcterms:modified>
</cp:coreProperties>
</file>