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1D6D3" w14:textId="77777777" w:rsidR="00D43B3C" w:rsidRPr="007A7AB8" w:rsidRDefault="00D43B3C" w:rsidP="007A7AB8">
      <w:pPr>
        <w:jc w:val="both"/>
        <w:rPr>
          <w:rFonts w:ascii="Arial" w:hAnsi="Arial" w:cs="Arial"/>
        </w:rPr>
      </w:pPr>
      <w:r w:rsidRPr="007A7AB8">
        <w:rPr>
          <w:rFonts w:ascii="Arial" w:hAnsi="Arial" w:cs="Arial"/>
        </w:rPr>
        <w:t> 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3114"/>
        <w:gridCol w:w="6869"/>
      </w:tblGrid>
      <w:tr w:rsidR="007A7AB8" w:rsidRPr="007A7AB8" w14:paraId="252DD2F1" w14:textId="77777777" w:rsidTr="00073E45">
        <w:trPr>
          <w:trHeight w:val="740"/>
        </w:trPr>
        <w:tc>
          <w:tcPr>
            <w:tcW w:w="9983" w:type="dxa"/>
            <w:gridSpan w:val="2"/>
            <w:shd w:val="clear" w:color="auto" w:fill="70AD47" w:themeFill="accent6"/>
          </w:tcPr>
          <w:p w14:paraId="2C6B2316" w14:textId="77777777" w:rsidR="00D43B3C" w:rsidRPr="007A7AB8" w:rsidRDefault="00D43B3C" w:rsidP="007A7AB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INFORME PROCESOS INDEMNIZACIONES FIANZAS</w:t>
            </w:r>
          </w:p>
        </w:tc>
      </w:tr>
      <w:tr w:rsidR="007A7AB8" w:rsidRPr="007A7AB8" w14:paraId="30CE98FF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A023A1F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No. de Siniestro</w:t>
            </w:r>
          </w:p>
        </w:tc>
        <w:tc>
          <w:tcPr>
            <w:tcW w:w="6869" w:type="dxa"/>
          </w:tcPr>
          <w:p w14:paraId="727C978B" w14:textId="6BFFBDFE" w:rsidR="00D43B3C" w:rsidRPr="007A7AB8" w:rsidRDefault="007A7AB8" w:rsidP="007A7AB8">
            <w:pPr>
              <w:jc w:val="both"/>
              <w:rPr>
                <w:rFonts w:ascii="Arial" w:hAnsi="Arial" w:cs="Arial"/>
              </w:rPr>
            </w:pPr>
            <w:r w:rsidRPr="007A7AB8">
              <w:rPr>
                <w:rFonts w:ascii="Arial" w:hAnsi="Arial" w:cs="Arial"/>
              </w:rPr>
              <w:t>20060</w:t>
            </w:r>
          </w:p>
        </w:tc>
      </w:tr>
      <w:tr w:rsidR="007A7AB8" w:rsidRPr="007A7AB8" w14:paraId="10B094AA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0D03EE4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Descripción del proceso</w:t>
            </w:r>
          </w:p>
        </w:tc>
        <w:tc>
          <w:tcPr>
            <w:tcW w:w="6869" w:type="dxa"/>
          </w:tcPr>
          <w:p w14:paraId="5009528C" w14:textId="31B60C1D" w:rsidR="00D43B3C" w:rsidRPr="00EF17F2" w:rsidRDefault="000F43EE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EF17F2">
              <w:rPr>
                <w:rFonts w:ascii="Arial" w:hAnsi="Arial" w:cs="Arial"/>
                <w:lang w:val="es-ES_tradnl"/>
              </w:rPr>
              <w:t>Hechos relativos al incumplimiento del Contrato 1380-1601-2022 de Alianza Fiduciaria vocera y representante del patrimonio autónomo FFIE con el Consorcio EDUCOL cuyo objeto era “</w:t>
            </w:r>
            <w:r w:rsidRPr="00EF17F2">
              <w:rPr>
                <w:rFonts w:ascii="Arial" w:hAnsi="Arial" w:cs="Arial"/>
                <w:i/>
                <w:iCs/>
                <w:lang w:val="es-ES_tradnl"/>
              </w:rPr>
              <w:t>E</w:t>
            </w:r>
            <w:proofErr w:type="spellStart"/>
            <w:r w:rsidRPr="00EF17F2">
              <w:rPr>
                <w:rFonts w:ascii="Arial" w:hAnsi="Arial" w:cs="Arial"/>
                <w:i/>
                <w:iCs/>
              </w:rPr>
              <w:t>laboración</w:t>
            </w:r>
            <w:proofErr w:type="spellEnd"/>
            <w:r w:rsidRPr="00EF17F2">
              <w:rPr>
                <w:rFonts w:ascii="Arial" w:hAnsi="Arial" w:cs="Arial"/>
                <w:i/>
                <w:iCs/>
              </w:rPr>
              <w:t xml:space="preserve"> de diseños, estudios, obtención de permisos y construcción de obras de las instituciones educativas de Puerto Inírida</w:t>
            </w:r>
            <w:r w:rsidRPr="00EF17F2">
              <w:rPr>
                <w:rFonts w:ascii="Arial" w:hAnsi="Arial" w:cs="Arial"/>
              </w:rPr>
              <w:t xml:space="preserve">”; presupuesto </w:t>
            </w:r>
            <w:r w:rsidRPr="00EF17F2">
              <w:rPr>
                <w:rFonts w:ascii="Arial" w:hAnsi="Arial" w:cs="Arial"/>
              </w:rPr>
              <w:t>$1.540.062.598</w:t>
            </w:r>
            <w:r w:rsidRPr="00EF17F2">
              <w:rPr>
                <w:rFonts w:ascii="Arial" w:hAnsi="Arial" w:cs="Arial"/>
              </w:rPr>
              <w:t xml:space="preserve">. Mediante informe de interventoría del 31 de julio de 2023 se determinó un atraso de 97 días en la ejecución de la obra. Debido a lo anterior, el asegurado, la fiduciaria en representación del patrimonio autónomo, solicitó la afectación de la póliza de seguro por </w:t>
            </w:r>
            <w:r w:rsidRPr="00EF17F2">
              <w:rPr>
                <w:rFonts w:ascii="Arial" w:hAnsi="Arial" w:cs="Arial"/>
              </w:rPr>
              <w:t>$308.012.519</w:t>
            </w:r>
            <w:r w:rsidRPr="00EF17F2">
              <w:rPr>
                <w:rFonts w:ascii="Arial" w:hAnsi="Arial" w:cs="Arial"/>
              </w:rPr>
              <w:t xml:space="preserve"> por concepto de cláusula penal, correspondiente al 20% del valor del contrato. </w:t>
            </w:r>
          </w:p>
        </w:tc>
      </w:tr>
      <w:tr w:rsidR="007A7AB8" w:rsidRPr="007A7AB8" w14:paraId="05487B3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143E77E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Asegurado</w:t>
            </w:r>
          </w:p>
        </w:tc>
        <w:tc>
          <w:tcPr>
            <w:tcW w:w="6869" w:type="dxa"/>
          </w:tcPr>
          <w:p w14:paraId="0514AD49" w14:textId="1F9BB071" w:rsidR="00D43B3C" w:rsidRPr="007A7AB8" w:rsidRDefault="007F5DF0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Alianza Fiduciaria S.A.</w:t>
            </w:r>
            <w:r w:rsidR="0011767A">
              <w:rPr>
                <w:rFonts w:ascii="Arial" w:hAnsi="Arial" w:cs="Arial"/>
                <w:lang w:val="es-ES_tradnl"/>
              </w:rPr>
              <w:t xml:space="preserve"> (representante del PA FFIE)</w:t>
            </w:r>
          </w:p>
        </w:tc>
      </w:tr>
      <w:tr w:rsidR="007A7AB8" w:rsidRPr="007A7AB8" w14:paraId="3D445FB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8AB176A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Afianzado</w:t>
            </w:r>
          </w:p>
        </w:tc>
        <w:tc>
          <w:tcPr>
            <w:tcW w:w="6869" w:type="dxa"/>
          </w:tcPr>
          <w:p w14:paraId="66AE06B6" w14:textId="4FD096F0" w:rsidR="00D43B3C" w:rsidRPr="007A7AB8" w:rsidRDefault="007F5DF0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Consorcio EDUCOL</w:t>
            </w:r>
          </w:p>
        </w:tc>
      </w:tr>
      <w:tr w:rsidR="007A7AB8" w:rsidRPr="007A7AB8" w14:paraId="2FFF6972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318C308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Póliza</w:t>
            </w:r>
          </w:p>
        </w:tc>
        <w:tc>
          <w:tcPr>
            <w:tcW w:w="6869" w:type="dxa"/>
          </w:tcPr>
          <w:p w14:paraId="67FEAB52" w14:textId="0A165C50" w:rsidR="00D43B3C" w:rsidRPr="007A7AB8" w:rsidRDefault="007F5DF0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4007469</w:t>
            </w:r>
          </w:p>
        </w:tc>
      </w:tr>
      <w:tr w:rsidR="007A7AB8" w:rsidRPr="007A7AB8" w14:paraId="13C5965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47D002B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Ramo</w:t>
            </w:r>
          </w:p>
        </w:tc>
        <w:tc>
          <w:tcPr>
            <w:tcW w:w="6869" w:type="dxa"/>
          </w:tcPr>
          <w:p w14:paraId="7A7C75F1" w14:textId="6775041A" w:rsidR="00D43B3C" w:rsidRPr="007A7AB8" w:rsidRDefault="007F5DF0" w:rsidP="007A7AB8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7A7AB8">
              <w:rPr>
                <w:rFonts w:ascii="Arial" w:hAnsi="Arial" w:cs="Arial"/>
                <w:shd w:val="clear" w:color="auto" w:fill="FFFFFF"/>
              </w:rPr>
              <w:t>Cumplimiento</w:t>
            </w:r>
          </w:p>
        </w:tc>
      </w:tr>
      <w:tr w:rsidR="007A7AB8" w:rsidRPr="007A7AB8" w14:paraId="7F06708C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E263259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Coaseguro (Si/No)</w:t>
            </w:r>
          </w:p>
        </w:tc>
        <w:tc>
          <w:tcPr>
            <w:tcW w:w="6869" w:type="dxa"/>
          </w:tcPr>
          <w:p w14:paraId="3A663B87" w14:textId="0901D62F" w:rsidR="00D43B3C" w:rsidRPr="007A7AB8" w:rsidRDefault="007F5DF0" w:rsidP="007A7AB8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7A7AB8" w:rsidRPr="007A7AB8" w14:paraId="60B38AB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518A824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Fecha de inicio del proceso</w:t>
            </w:r>
          </w:p>
        </w:tc>
        <w:tc>
          <w:tcPr>
            <w:tcW w:w="6869" w:type="dxa"/>
          </w:tcPr>
          <w:p w14:paraId="0DF73B88" w14:textId="6C35F560" w:rsidR="00D43B3C" w:rsidRPr="007A7AB8" w:rsidRDefault="0005469D" w:rsidP="007A7AB8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21 de agosto de 2023</w:t>
            </w:r>
          </w:p>
        </w:tc>
      </w:tr>
      <w:tr w:rsidR="007A7AB8" w:rsidRPr="007A7AB8" w14:paraId="701DE17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2DCDB01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 xml:space="preserve">Fecha del siniestro </w:t>
            </w:r>
          </w:p>
        </w:tc>
        <w:tc>
          <w:tcPr>
            <w:tcW w:w="6869" w:type="dxa"/>
          </w:tcPr>
          <w:p w14:paraId="4DCA975E" w14:textId="0D29D03D" w:rsidR="00D43B3C" w:rsidRPr="007A7AB8" w:rsidRDefault="00242FD8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31 de julio de 2023</w:t>
            </w:r>
            <w:r w:rsidR="00EF17F2">
              <w:rPr>
                <w:rFonts w:ascii="Arial" w:hAnsi="Arial" w:cs="Arial"/>
                <w:lang w:val="es-ES_tradnl"/>
              </w:rPr>
              <w:t xml:space="preserve"> (informe de interventoría)</w:t>
            </w:r>
          </w:p>
        </w:tc>
      </w:tr>
      <w:tr w:rsidR="007A7AB8" w:rsidRPr="007A7AB8" w14:paraId="5552971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55F76C9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 xml:space="preserve">Amparo afectado (si son varios amparos por favor discriminar) </w:t>
            </w:r>
          </w:p>
        </w:tc>
        <w:tc>
          <w:tcPr>
            <w:tcW w:w="6869" w:type="dxa"/>
          </w:tcPr>
          <w:p w14:paraId="0970A6AD" w14:textId="77777777" w:rsidR="00D43B3C" w:rsidRDefault="00FD2321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Cumplimiento</w:t>
            </w:r>
          </w:p>
          <w:p w14:paraId="250C535B" w14:textId="77777777" w:rsidR="000F43EE" w:rsidRDefault="000F43EE" w:rsidP="000F43EE">
            <w:pPr>
              <w:rPr>
                <w:rFonts w:ascii="Arial" w:hAnsi="Arial" w:cs="Arial"/>
                <w:lang w:val="es-ES_tradnl"/>
              </w:rPr>
            </w:pPr>
          </w:p>
          <w:p w14:paraId="7A5CCDDD" w14:textId="64E69835" w:rsidR="000F43EE" w:rsidRPr="000F43EE" w:rsidRDefault="000F43EE" w:rsidP="000F43EE">
            <w:pPr>
              <w:tabs>
                <w:tab w:val="left" w:pos="2115"/>
              </w:tabs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ab/>
            </w:r>
          </w:p>
        </w:tc>
      </w:tr>
      <w:tr w:rsidR="007A7AB8" w:rsidRPr="007A7AB8" w14:paraId="0B3A1BD0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C7C08E1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Valor pretensiones: (Si son varios amparos por favor discriminar)</w:t>
            </w:r>
          </w:p>
        </w:tc>
        <w:tc>
          <w:tcPr>
            <w:tcW w:w="6869" w:type="dxa"/>
          </w:tcPr>
          <w:p w14:paraId="1D6D754F" w14:textId="36575357" w:rsidR="008237DC" w:rsidRPr="007A7AB8" w:rsidRDefault="008237DC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$308.012.519</w:t>
            </w:r>
          </w:p>
        </w:tc>
      </w:tr>
      <w:tr w:rsidR="007A7AB8" w:rsidRPr="007A7AB8" w14:paraId="154F287F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F49B24F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Valor reserva sugerida abogado (Si son varios amparos por favor discriminar)</w:t>
            </w:r>
          </w:p>
        </w:tc>
        <w:tc>
          <w:tcPr>
            <w:tcW w:w="6869" w:type="dxa"/>
          </w:tcPr>
          <w:p w14:paraId="594A5FEF" w14:textId="5F1A2523" w:rsidR="00D43B3C" w:rsidRPr="007A7AB8" w:rsidRDefault="008237DC" w:rsidP="007A7AB8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7A7AB8">
              <w:rPr>
                <w:color w:val="auto"/>
                <w:sz w:val="22"/>
                <w:szCs w:val="22"/>
                <w:lang w:val="es-ES_tradnl"/>
              </w:rPr>
              <w:t>$30.801.251</w:t>
            </w:r>
          </w:p>
        </w:tc>
      </w:tr>
      <w:tr w:rsidR="007A7AB8" w:rsidRPr="007A7AB8" w14:paraId="53F251E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8D14D5B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Calificación de la contingencia (remoto – eventual – probable)</w:t>
            </w:r>
          </w:p>
        </w:tc>
        <w:tc>
          <w:tcPr>
            <w:tcW w:w="6869" w:type="dxa"/>
          </w:tcPr>
          <w:p w14:paraId="30915EE5" w14:textId="42B5FB89" w:rsidR="00D43B3C" w:rsidRPr="007A7AB8" w:rsidRDefault="007F5DF0" w:rsidP="007A7A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A7AB8">
              <w:rPr>
                <w:rFonts w:ascii="Arial" w:hAnsi="Arial" w:cs="Arial"/>
              </w:rPr>
              <w:t>Remoto</w:t>
            </w:r>
          </w:p>
        </w:tc>
      </w:tr>
      <w:tr w:rsidR="007A7AB8" w:rsidRPr="007A7AB8" w14:paraId="1A62D33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23DF008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Motivos de la calificación:</w:t>
            </w:r>
          </w:p>
        </w:tc>
        <w:tc>
          <w:tcPr>
            <w:tcW w:w="6869" w:type="dxa"/>
          </w:tcPr>
          <w:p w14:paraId="419CC7F3" w14:textId="2210BBA6" w:rsidR="007F5DF0" w:rsidRPr="007A7AB8" w:rsidRDefault="007F5DF0" w:rsidP="007A7AB8">
            <w:pPr>
              <w:jc w:val="both"/>
              <w:rPr>
                <w:rFonts w:ascii="Arial" w:hAnsi="Arial" w:cs="Arial"/>
              </w:rPr>
            </w:pPr>
            <w:r w:rsidRPr="007A7AB8">
              <w:rPr>
                <w:rFonts w:ascii="Arial" w:hAnsi="Arial" w:cs="Arial"/>
              </w:rPr>
              <w:t xml:space="preserve">La contingencia </w:t>
            </w:r>
            <w:r w:rsidR="005C1FB1">
              <w:rPr>
                <w:rFonts w:ascii="Arial" w:hAnsi="Arial" w:cs="Arial"/>
              </w:rPr>
              <w:t xml:space="preserve">es </w:t>
            </w:r>
            <w:r w:rsidRPr="007A7AB8">
              <w:rPr>
                <w:rFonts w:ascii="Arial" w:hAnsi="Arial" w:cs="Arial"/>
              </w:rPr>
              <w:t xml:space="preserve">REMOTA. Esto se debe a que </w:t>
            </w:r>
            <w:r w:rsidR="002E03D6">
              <w:rPr>
                <w:rFonts w:ascii="Arial" w:hAnsi="Arial" w:cs="Arial"/>
              </w:rPr>
              <w:t xml:space="preserve">póliza </w:t>
            </w:r>
            <w:r w:rsidRPr="007A7AB8">
              <w:rPr>
                <w:rFonts w:ascii="Arial" w:hAnsi="Arial" w:cs="Arial"/>
              </w:rPr>
              <w:t xml:space="preserve">no proporciona cobertura material para los eventos que son objeto del proceso de incumplimiento contractual. </w:t>
            </w:r>
            <w:r w:rsidR="002E03D6">
              <w:rPr>
                <w:rFonts w:ascii="Arial" w:hAnsi="Arial" w:cs="Arial"/>
              </w:rPr>
              <w:t xml:space="preserve">Expresamente en </w:t>
            </w:r>
            <w:proofErr w:type="spellStart"/>
            <w:r w:rsidR="00CB7DAB">
              <w:rPr>
                <w:rFonts w:ascii="Arial" w:hAnsi="Arial" w:cs="Arial"/>
              </w:rPr>
              <w:t>el</w:t>
            </w:r>
            <w:proofErr w:type="spellEnd"/>
            <w:r w:rsidR="00CB7DAB">
              <w:rPr>
                <w:rFonts w:ascii="Arial" w:hAnsi="Arial" w:cs="Arial"/>
              </w:rPr>
              <w:t xml:space="preserve"> contrato de seguro</w:t>
            </w:r>
            <w:r w:rsidR="002E03D6">
              <w:rPr>
                <w:rFonts w:ascii="Arial" w:hAnsi="Arial" w:cs="Arial"/>
              </w:rPr>
              <w:t xml:space="preserve"> se </w:t>
            </w:r>
            <w:r w:rsidRPr="007A7AB8">
              <w:rPr>
                <w:rFonts w:ascii="Arial" w:hAnsi="Arial" w:cs="Arial"/>
              </w:rPr>
              <w:t>excluy</w:t>
            </w:r>
            <w:r w:rsidR="002E03D6">
              <w:rPr>
                <w:rFonts w:ascii="Arial" w:hAnsi="Arial" w:cs="Arial"/>
              </w:rPr>
              <w:t>ó</w:t>
            </w:r>
            <w:r w:rsidRPr="007A7AB8">
              <w:rPr>
                <w:rFonts w:ascii="Arial" w:hAnsi="Arial" w:cs="Arial"/>
              </w:rPr>
              <w:t xml:space="preserve"> la cobertura </w:t>
            </w:r>
            <w:r w:rsidR="00BC48ED">
              <w:rPr>
                <w:rFonts w:ascii="Arial" w:hAnsi="Arial" w:cs="Arial"/>
              </w:rPr>
              <w:t xml:space="preserve">de </w:t>
            </w:r>
            <w:r w:rsidRPr="007A7AB8">
              <w:rPr>
                <w:rFonts w:ascii="Arial" w:hAnsi="Arial" w:cs="Arial"/>
              </w:rPr>
              <w:t>los perjuicios derivados del incumplimiento por parte del contratista que d</w:t>
            </w:r>
            <w:r w:rsidR="00CB7DAB">
              <w:rPr>
                <w:rFonts w:ascii="Arial" w:hAnsi="Arial" w:cs="Arial"/>
              </w:rPr>
              <w:t>iera</w:t>
            </w:r>
            <w:r w:rsidRPr="007A7AB8">
              <w:rPr>
                <w:rFonts w:ascii="Arial" w:hAnsi="Arial" w:cs="Arial"/>
              </w:rPr>
              <w:t xml:space="preserve"> lugar a la imposición de cláusulas penales o multas frente al contratista y a favor del contratante de la obra. </w:t>
            </w:r>
            <w:r w:rsidR="005C342B" w:rsidRPr="007C73FA">
              <w:rPr>
                <w:rFonts w:ascii="Arial" w:hAnsi="Arial" w:cs="Arial"/>
              </w:rPr>
              <w:t xml:space="preserve">Por otro lado, se </w:t>
            </w:r>
            <w:r w:rsidR="005C342B">
              <w:rPr>
                <w:rFonts w:ascii="Arial" w:hAnsi="Arial" w:cs="Arial"/>
              </w:rPr>
              <w:t xml:space="preserve">ha cuestionado </w:t>
            </w:r>
            <w:r w:rsidR="005C342B" w:rsidRPr="007C73FA">
              <w:rPr>
                <w:rFonts w:ascii="Arial" w:hAnsi="Arial" w:cs="Arial"/>
              </w:rPr>
              <w:t xml:space="preserve">la competencia </w:t>
            </w:r>
            <w:r w:rsidR="005C342B">
              <w:rPr>
                <w:rFonts w:ascii="Arial" w:hAnsi="Arial" w:cs="Arial"/>
              </w:rPr>
              <w:t xml:space="preserve">o facultad </w:t>
            </w:r>
            <w:r w:rsidR="005C342B" w:rsidRPr="007C73FA">
              <w:rPr>
                <w:rFonts w:ascii="Arial" w:hAnsi="Arial" w:cs="Arial"/>
              </w:rPr>
              <w:t xml:space="preserve">del </w:t>
            </w:r>
            <w:r w:rsidR="005C342B">
              <w:rPr>
                <w:rFonts w:ascii="Arial" w:hAnsi="Arial" w:cs="Arial"/>
              </w:rPr>
              <w:t xml:space="preserve">asegurado </w:t>
            </w:r>
            <w:r w:rsidR="005C342B" w:rsidRPr="007C73FA">
              <w:rPr>
                <w:rFonts w:ascii="Arial" w:hAnsi="Arial" w:cs="Arial"/>
              </w:rPr>
              <w:t xml:space="preserve">para </w:t>
            </w:r>
            <w:r w:rsidR="005C342B">
              <w:rPr>
                <w:rFonts w:ascii="Arial" w:hAnsi="Arial" w:cs="Arial"/>
              </w:rPr>
              <w:t xml:space="preserve">declarar de manera </w:t>
            </w:r>
            <w:r w:rsidR="005C342B" w:rsidRPr="007C73FA">
              <w:rPr>
                <w:rFonts w:ascii="Arial" w:hAnsi="Arial" w:cs="Arial"/>
              </w:rPr>
              <w:t xml:space="preserve">unilateral </w:t>
            </w:r>
            <w:r w:rsidR="005C342B">
              <w:rPr>
                <w:rFonts w:ascii="Arial" w:hAnsi="Arial" w:cs="Arial"/>
              </w:rPr>
              <w:t xml:space="preserve">el </w:t>
            </w:r>
            <w:r w:rsidR="005C342B" w:rsidRPr="007C73FA">
              <w:rPr>
                <w:rFonts w:ascii="Arial" w:hAnsi="Arial" w:cs="Arial"/>
              </w:rPr>
              <w:t>incumplimiento del contrato</w:t>
            </w:r>
            <w:r w:rsidR="005C342B">
              <w:rPr>
                <w:rFonts w:ascii="Arial" w:hAnsi="Arial" w:cs="Arial"/>
              </w:rPr>
              <w:t>,</w:t>
            </w:r>
            <w:r w:rsidR="005C342B" w:rsidRPr="007C73FA">
              <w:rPr>
                <w:rFonts w:ascii="Arial" w:hAnsi="Arial" w:cs="Arial"/>
              </w:rPr>
              <w:t xml:space="preserve"> como quiera que</w:t>
            </w:r>
            <w:r w:rsidR="005C342B">
              <w:rPr>
                <w:rFonts w:ascii="Arial" w:hAnsi="Arial" w:cs="Arial"/>
              </w:rPr>
              <w:t xml:space="preserve"> </w:t>
            </w:r>
            <w:r w:rsidR="005C342B" w:rsidRPr="007C73FA">
              <w:rPr>
                <w:rFonts w:ascii="Arial" w:hAnsi="Arial" w:cs="Arial"/>
              </w:rPr>
              <w:t xml:space="preserve">las partes </w:t>
            </w:r>
            <w:r w:rsidR="005C342B">
              <w:rPr>
                <w:rFonts w:ascii="Arial" w:hAnsi="Arial" w:cs="Arial"/>
              </w:rPr>
              <w:t xml:space="preserve">no pueden erigirse como juez y parte, lo contrario sería reconocer indebidamente </w:t>
            </w:r>
            <w:r w:rsidR="005C342B" w:rsidRPr="007C73FA">
              <w:rPr>
                <w:rFonts w:ascii="Arial" w:hAnsi="Arial" w:cs="Arial"/>
              </w:rPr>
              <w:t xml:space="preserve">prerrogativas </w:t>
            </w:r>
            <w:r w:rsidR="005C342B">
              <w:rPr>
                <w:rFonts w:ascii="Arial" w:hAnsi="Arial" w:cs="Arial"/>
              </w:rPr>
              <w:t>exorbitantes</w:t>
            </w:r>
            <w:r w:rsidR="005C342B" w:rsidRPr="007C73FA">
              <w:rPr>
                <w:rFonts w:ascii="Arial" w:hAnsi="Arial" w:cs="Arial"/>
              </w:rPr>
              <w:t>.</w:t>
            </w:r>
            <w:r w:rsidR="005C342B">
              <w:rPr>
                <w:rFonts w:ascii="Arial" w:hAnsi="Arial" w:cs="Arial"/>
              </w:rPr>
              <w:t xml:space="preserve"> </w:t>
            </w:r>
          </w:p>
          <w:p w14:paraId="36AF8108" w14:textId="77777777" w:rsidR="007F5DF0" w:rsidRPr="007A7AB8" w:rsidRDefault="007F5DF0" w:rsidP="007A7AB8">
            <w:pPr>
              <w:jc w:val="both"/>
              <w:rPr>
                <w:rFonts w:ascii="Arial" w:hAnsi="Arial" w:cs="Arial"/>
              </w:rPr>
            </w:pPr>
          </w:p>
          <w:p w14:paraId="05F5DBE3" w14:textId="6812E4F7" w:rsidR="007F5DF0" w:rsidRPr="007A7AB8" w:rsidRDefault="00DD552E" w:rsidP="007A7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Además</w:t>
            </w:r>
            <w:r w:rsidR="007F5DF0" w:rsidRPr="007A7AB8">
              <w:rPr>
                <w:rFonts w:ascii="Arial" w:hAnsi="Arial" w:cs="Arial"/>
              </w:rPr>
              <w:t xml:space="preserve">, en lo que respecta a la responsabilidad del contratista afianzado en relación con el incumplimiento contractual que se le </w:t>
            </w:r>
            <w:r w:rsidR="007F5DF0" w:rsidRPr="007A7AB8">
              <w:rPr>
                <w:rFonts w:ascii="Arial" w:hAnsi="Arial" w:cs="Arial"/>
              </w:rPr>
              <w:lastRenderedPageBreak/>
              <w:t>imputa, el Comité deberá demostrar que el presunto incumplimiento, que se refiere a</w:t>
            </w:r>
            <w:r w:rsidR="005B5724" w:rsidRPr="007A7AB8">
              <w:rPr>
                <w:rFonts w:ascii="Arial" w:hAnsi="Arial" w:cs="Arial"/>
              </w:rPr>
              <w:t xml:space="preserve">l retraso de 97 días en la </w:t>
            </w:r>
            <w:r w:rsidR="007F5DF0" w:rsidRPr="007A7AB8">
              <w:rPr>
                <w:rFonts w:ascii="Arial" w:hAnsi="Arial" w:cs="Arial"/>
              </w:rPr>
              <w:t>ejecución del Contrato de Obra No. 1380-1601-2022, ha tenido un impacto grave en la ejecución de la obra. Hasta el momento, esto no ha sido demostrado.</w:t>
            </w:r>
          </w:p>
          <w:p w14:paraId="6D2E0AD7" w14:textId="77777777" w:rsidR="00D43B3C" w:rsidRPr="007A7AB8" w:rsidRDefault="00D43B3C" w:rsidP="007A7AB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A7AB8" w:rsidRPr="007A7AB8" w14:paraId="7E7473E0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C4CC6A8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lastRenderedPageBreak/>
              <w:t xml:space="preserve">Resumen de la contingencia: </w:t>
            </w:r>
          </w:p>
        </w:tc>
        <w:tc>
          <w:tcPr>
            <w:tcW w:w="6869" w:type="dxa"/>
          </w:tcPr>
          <w:p w14:paraId="086DFC4B" w14:textId="309D86D4" w:rsidR="00D43B3C" w:rsidRPr="007A7AB8" w:rsidRDefault="007F5DF0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La póliza no ofrece cobertura material pues el reconocimiento del pago por cláusula penal está excluido expresamente</w:t>
            </w:r>
          </w:p>
        </w:tc>
      </w:tr>
      <w:tr w:rsidR="007A7AB8" w:rsidRPr="007A7AB8" w14:paraId="43323B4A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48E6623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Posición del contratista</w:t>
            </w:r>
          </w:p>
        </w:tc>
        <w:tc>
          <w:tcPr>
            <w:tcW w:w="6869" w:type="dxa"/>
          </w:tcPr>
          <w:p w14:paraId="75F14007" w14:textId="77BCC4D4" w:rsidR="00D43B3C" w:rsidRPr="007A7AB8" w:rsidRDefault="000A7FF4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0A7FF4">
              <w:rPr>
                <w:rFonts w:ascii="Arial" w:hAnsi="Arial" w:cs="Arial"/>
                <w:lang w:val="es-ES_tradnl"/>
              </w:rPr>
              <w:t>Se desconoce si presentaron descargos</w:t>
            </w:r>
          </w:p>
        </w:tc>
      </w:tr>
      <w:tr w:rsidR="007A7AB8" w:rsidRPr="007A7AB8" w14:paraId="03A2C805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9194B57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Etapa</w:t>
            </w:r>
          </w:p>
        </w:tc>
        <w:tc>
          <w:tcPr>
            <w:tcW w:w="6869" w:type="dxa"/>
          </w:tcPr>
          <w:p w14:paraId="5A6C310E" w14:textId="6FC561DC" w:rsidR="00D43B3C" w:rsidRPr="007A7AB8" w:rsidRDefault="006F25E0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 xml:space="preserve">La entidad contratante decidió aplicar el cobro de la cláusula penal al contratista y se reservó el derecho de presentar reclamación a la aseguradora </w:t>
            </w:r>
          </w:p>
        </w:tc>
      </w:tr>
      <w:tr w:rsidR="007A7AB8" w:rsidRPr="007A7AB8" w14:paraId="3ED4F921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6E02ACE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A7AB8">
              <w:rPr>
                <w:rFonts w:ascii="Arial" w:hAnsi="Arial" w:cs="Arial"/>
                <w:b/>
                <w:bCs/>
                <w:lang w:val="es-ES"/>
              </w:rPr>
              <w:t>Fecha última actuación</w:t>
            </w:r>
          </w:p>
        </w:tc>
        <w:tc>
          <w:tcPr>
            <w:tcW w:w="6869" w:type="dxa"/>
          </w:tcPr>
          <w:p w14:paraId="30D6E326" w14:textId="1FFE199C" w:rsidR="00D43B3C" w:rsidRPr="007A7AB8" w:rsidRDefault="00F779CE" w:rsidP="007A7AB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Previa la sesión o reunión a la que convocó la fiduciaria ante el supuesto incumplimiento, una vez la aseguradora presentó su defensa</w:t>
            </w:r>
            <w:r>
              <w:rPr>
                <w:rFonts w:ascii="Arial" w:hAnsi="Arial" w:cs="Arial"/>
                <w:lang w:val="es-ES_tradnl"/>
              </w:rPr>
              <w:t xml:space="preserve">, el </w:t>
            </w:r>
            <w:r w:rsidR="006F25E0" w:rsidRPr="007A7AB8">
              <w:rPr>
                <w:rFonts w:ascii="Arial" w:hAnsi="Arial" w:cs="Arial"/>
                <w:lang w:val="es-ES_tradnl"/>
              </w:rPr>
              <w:t>20 de diciembre de 2023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7C73FA">
              <w:rPr>
                <w:rFonts w:ascii="Arial" w:hAnsi="Arial" w:cs="Arial"/>
                <w:lang w:val="es-ES_tradnl"/>
              </w:rPr>
              <w:t xml:space="preserve">el Comité Fiduciario remitió </w:t>
            </w:r>
            <w:r>
              <w:rPr>
                <w:rFonts w:ascii="Arial" w:hAnsi="Arial" w:cs="Arial"/>
                <w:lang w:val="es-ES_tradnl"/>
              </w:rPr>
              <w:t xml:space="preserve">comunicación </w:t>
            </w:r>
            <w:r w:rsidRPr="007C73FA">
              <w:rPr>
                <w:rFonts w:ascii="Arial" w:hAnsi="Arial" w:cs="Arial"/>
                <w:lang w:val="es-ES_tradnl"/>
              </w:rPr>
              <w:t xml:space="preserve">indicando que descontarán el valor de la cláusula penal al contratista, </w:t>
            </w:r>
            <w:r>
              <w:rPr>
                <w:rFonts w:ascii="Arial" w:hAnsi="Arial" w:cs="Arial"/>
                <w:lang w:val="es-ES_tradnl"/>
              </w:rPr>
              <w:t xml:space="preserve">y lo </w:t>
            </w:r>
            <w:r w:rsidRPr="007C73FA">
              <w:rPr>
                <w:rFonts w:ascii="Arial" w:hAnsi="Arial" w:cs="Arial"/>
                <w:lang w:val="es-ES_tradnl"/>
              </w:rPr>
              <w:t>exhortaron a consignar el saldo a la cuenta de ahorros de la entidad contratante y manifestaron reservarse el derecho de presentar reclamación a HDI Seguros.</w:t>
            </w:r>
          </w:p>
        </w:tc>
      </w:tr>
      <w:tr w:rsidR="007A7AB8" w:rsidRPr="007A7AB8" w14:paraId="418A6712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B66360B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7A7AB8">
              <w:rPr>
                <w:rFonts w:ascii="Arial" w:hAnsi="Arial" w:cs="Arial"/>
                <w:b/>
                <w:bCs/>
                <w:lang w:val="es-ES"/>
              </w:rPr>
              <w:t>¿Se debe pagar? Fecha de pago oportuna</w:t>
            </w:r>
          </w:p>
        </w:tc>
        <w:tc>
          <w:tcPr>
            <w:tcW w:w="6869" w:type="dxa"/>
          </w:tcPr>
          <w:p w14:paraId="6B33E94F" w14:textId="368A804D" w:rsidR="00D43B3C" w:rsidRPr="007A7AB8" w:rsidRDefault="008237DC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7A7AB8" w:rsidRPr="007A7AB8" w14:paraId="1B7A70A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5A1029D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Debe demandarse el acto administrativo (Si/No)</w:t>
            </w:r>
          </w:p>
        </w:tc>
        <w:tc>
          <w:tcPr>
            <w:tcW w:w="6869" w:type="dxa"/>
          </w:tcPr>
          <w:p w14:paraId="3CEE4283" w14:textId="564440FF" w:rsidR="00D43B3C" w:rsidRPr="007A7AB8" w:rsidRDefault="00DD61DA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 xml:space="preserve">No </w:t>
            </w:r>
            <w:r w:rsidR="0031238D">
              <w:rPr>
                <w:rFonts w:ascii="Arial" w:hAnsi="Arial" w:cs="Arial"/>
                <w:lang w:val="es-ES_tradnl"/>
              </w:rPr>
              <w:t xml:space="preserve">existe un acto administrativo que declare el incumplimiento y afecte la póliza. </w:t>
            </w:r>
          </w:p>
        </w:tc>
      </w:tr>
      <w:tr w:rsidR="007A7AB8" w:rsidRPr="007A7AB8" w14:paraId="29E569C6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33FD6E9" w14:textId="77777777" w:rsidR="00D43B3C" w:rsidRPr="007A7AB8" w:rsidRDefault="00D43B3C" w:rsidP="007A7AB8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7A7AB8">
              <w:rPr>
                <w:rFonts w:ascii="Arial" w:hAnsi="Arial" w:cs="Arial"/>
                <w:b/>
                <w:lang w:val="es-ES_tradnl"/>
              </w:rPr>
              <w:t>Argumentos para demandar</w:t>
            </w:r>
          </w:p>
        </w:tc>
        <w:tc>
          <w:tcPr>
            <w:tcW w:w="6869" w:type="dxa"/>
          </w:tcPr>
          <w:p w14:paraId="03247D3E" w14:textId="0F2EA49F" w:rsidR="00D43B3C" w:rsidRPr="007A7AB8" w:rsidRDefault="007A7AB8" w:rsidP="007A7AB8">
            <w:pPr>
              <w:jc w:val="both"/>
              <w:rPr>
                <w:rFonts w:ascii="Arial" w:hAnsi="Arial" w:cs="Arial"/>
                <w:lang w:val="es-ES_tradnl"/>
              </w:rPr>
            </w:pPr>
            <w:r w:rsidRPr="007A7AB8">
              <w:rPr>
                <w:rFonts w:ascii="Arial" w:hAnsi="Arial" w:cs="Arial"/>
                <w:lang w:val="es-ES_tradnl"/>
              </w:rPr>
              <w:t>N/A</w:t>
            </w:r>
          </w:p>
        </w:tc>
      </w:tr>
    </w:tbl>
    <w:p w14:paraId="611797E3" w14:textId="77777777" w:rsidR="00D43B3C" w:rsidRPr="007A7AB8" w:rsidRDefault="00D43B3C" w:rsidP="007A7AB8">
      <w:pPr>
        <w:spacing w:after="160"/>
        <w:jc w:val="both"/>
        <w:rPr>
          <w:rFonts w:ascii="Arial" w:hAnsi="Arial" w:cs="Arial"/>
        </w:rPr>
      </w:pPr>
    </w:p>
    <w:p w14:paraId="612AD0D4" w14:textId="77777777" w:rsidR="00FD1141" w:rsidRPr="007A7AB8" w:rsidRDefault="00FD1141" w:rsidP="007A7AB8">
      <w:pPr>
        <w:jc w:val="both"/>
        <w:rPr>
          <w:rFonts w:ascii="Arial" w:hAnsi="Arial" w:cs="Arial"/>
        </w:rPr>
      </w:pPr>
    </w:p>
    <w:sectPr w:rsidR="00FD1141" w:rsidRPr="007A7AB8" w:rsidSect="00D43B3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24AA4" w14:textId="77777777" w:rsidR="00966CD4" w:rsidRDefault="00966CD4" w:rsidP="000F43EE">
      <w:r>
        <w:separator/>
      </w:r>
    </w:p>
  </w:endnote>
  <w:endnote w:type="continuationSeparator" w:id="0">
    <w:p w14:paraId="565AF626" w14:textId="77777777" w:rsidR="00966CD4" w:rsidRDefault="00966CD4" w:rsidP="000F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093F" w14:textId="77777777" w:rsidR="00966CD4" w:rsidRDefault="00966CD4" w:rsidP="000F43EE">
      <w:r>
        <w:separator/>
      </w:r>
    </w:p>
  </w:footnote>
  <w:footnote w:type="continuationSeparator" w:id="0">
    <w:p w14:paraId="3D328534" w14:textId="77777777" w:rsidR="00966CD4" w:rsidRDefault="00966CD4" w:rsidP="000F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B079D" w14:textId="1919A48F" w:rsidR="000F43EE" w:rsidRPr="000F43EE" w:rsidRDefault="000F43EE" w:rsidP="000F43EE">
    <w:pPr>
      <w:pStyle w:val="Encabezado"/>
      <w:jc w:val="center"/>
      <w:rPr>
        <w:b/>
        <w:bCs/>
      </w:rPr>
    </w:pPr>
    <w:r w:rsidRPr="000F43EE">
      <w:rPr>
        <w:b/>
        <w:bCs/>
      </w:rPr>
      <w:t>INFORME PROCESOS INDEMNIZACIONES PRESENTADO POR GHA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3C"/>
    <w:rsid w:val="0005469D"/>
    <w:rsid w:val="000A7FF4"/>
    <w:rsid w:val="000F43EE"/>
    <w:rsid w:val="0011767A"/>
    <w:rsid w:val="002331A3"/>
    <w:rsid w:val="00242FD8"/>
    <w:rsid w:val="002E03D6"/>
    <w:rsid w:val="00311334"/>
    <w:rsid w:val="0031238D"/>
    <w:rsid w:val="00355E9C"/>
    <w:rsid w:val="00401DAB"/>
    <w:rsid w:val="005A2065"/>
    <w:rsid w:val="005B5724"/>
    <w:rsid w:val="005C1FB1"/>
    <w:rsid w:val="005C342B"/>
    <w:rsid w:val="006F25E0"/>
    <w:rsid w:val="007A0022"/>
    <w:rsid w:val="007A7AB8"/>
    <w:rsid w:val="007F5DF0"/>
    <w:rsid w:val="008237DC"/>
    <w:rsid w:val="008A41FC"/>
    <w:rsid w:val="00913443"/>
    <w:rsid w:val="00966CD4"/>
    <w:rsid w:val="00AD2481"/>
    <w:rsid w:val="00BC48ED"/>
    <w:rsid w:val="00CB7DAB"/>
    <w:rsid w:val="00D43B3C"/>
    <w:rsid w:val="00DD552E"/>
    <w:rsid w:val="00DD61DA"/>
    <w:rsid w:val="00E839E9"/>
    <w:rsid w:val="00ED1C62"/>
    <w:rsid w:val="00EF17F2"/>
    <w:rsid w:val="00F779CE"/>
    <w:rsid w:val="00FD1141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755C"/>
  <w15:chartTrackingRefBased/>
  <w15:docId w15:val="{2140C09F-E7C2-43D2-B545-2743309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B3C"/>
    <w:pPr>
      <w:spacing w:after="0" w:line="240" w:lineRule="auto"/>
    </w:pPr>
    <w:rPr>
      <w:rFonts w:ascii="Calibri" w:hAnsi="Calibri" w:cs="Calibri"/>
      <w:kern w:val="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43B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F43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3EE"/>
    <w:rPr>
      <w:rFonts w:ascii="Calibri" w:hAnsi="Calibri" w:cs="Calibri"/>
      <w:kern w:val="0"/>
      <w:lang w:eastAsia="es-CO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F43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3EE"/>
    <w:rPr>
      <w:rFonts w:ascii="Calibri" w:hAnsi="Calibri" w:cs="Calibri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2</cp:revision>
  <dcterms:created xsi:type="dcterms:W3CDTF">2024-06-18T21:47:00Z</dcterms:created>
  <dcterms:modified xsi:type="dcterms:W3CDTF">2024-06-18T21:47:00Z</dcterms:modified>
</cp:coreProperties>
</file>