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85EF45" w14:textId="77777777" w:rsidR="000113A2" w:rsidRPr="00B20BC3" w:rsidRDefault="000113A2" w:rsidP="00B20BC3">
      <w:pPr>
        <w:jc w:val="both"/>
        <w:rPr>
          <w:rFonts w:ascii="Arial" w:hAnsi="Arial" w:cs="Arial"/>
        </w:rPr>
      </w:pPr>
      <w:r w:rsidRPr="00B20BC3">
        <w:rPr>
          <w:rFonts w:ascii="Arial" w:hAnsi="Arial" w:cs="Arial"/>
        </w:rPr>
        <w:t> </w:t>
      </w:r>
    </w:p>
    <w:tbl>
      <w:tblPr>
        <w:tblStyle w:val="Tablaconcuadrcula"/>
        <w:tblW w:w="9983" w:type="dxa"/>
        <w:tblLook w:val="04A0" w:firstRow="1" w:lastRow="0" w:firstColumn="1" w:lastColumn="0" w:noHBand="0" w:noVBand="1"/>
      </w:tblPr>
      <w:tblGrid>
        <w:gridCol w:w="3114"/>
        <w:gridCol w:w="6869"/>
      </w:tblGrid>
      <w:tr w:rsidR="00B20BC3" w:rsidRPr="00B20BC3" w14:paraId="5457D876" w14:textId="77777777" w:rsidTr="00073E45">
        <w:trPr>
          <w:trHeight w:val="740"/>
        </w:trPr>
        <w:tc>
          <w:tcPr>
            <w:tcW w:w="9983" w:type="dxa"/>
            <w:gridSpan w:val="2"/>
            <w:shd w:val="clear" w:color="auto" w:fill="70AD47" w:themeFill="accent6"/>
          </w:tcPr>
          <w:p w14:paraId="7B38FD3C" w14:textId="77777777" w:rsidR="000113A2" w:rsidRPr="00B20BC3" w:rsidRDefault="000113A2" w:rsidP="00B20BC3">
            <w:pPr>
              <w:jc w:val="center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INFORME PROCESOS INDEMNIZACIONES FIANZAS</w:t>
            </w:r>
          </w:p>
        </w:tc>
      </w:tr>
      <w:tr w:rsidR="00B20BC3" w:rsidRPr="00B20BC3" w14:paraId="7BCE612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91815D6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No. de Siniestro</w:t>
            </w:r>
          </w:p>
        </w:tc>
        <w:tc>
          <w:tcPr>
            <w:tcW w:w="6869" w:type="dxa"/>
          </w:tcPr>
          <w:p w14:paraId="3C0A8CF5" w14:textId="1E2BD89E" w:rsidR="000113A2" w:rsidRPr="00B20BC3" w:rsidRDefault="00B20BC3" w:rsidP="00B20BC3">
            <w:pPr>
              <w:jc w:val="both"/>
              <w:rPr>
                <w:rFonts w:ascii="Arial" w:hAnsi="Arial" w:cs="Arial"/>
              </w:rPr>
            </w:pPr>
            <w:r w:rsidRPr="00B20BC3">
              <w:rPr>
                <w:rFonts w:ascii="Arial" w:hAnsi="Arial" w:cs="Arial"/>
              </w:rPr>
              <w:t>20068</w:t>
            </w:r>
          </w:p>
        </w:tc>
      </w:tr>
      <w:tr w:rsidR="00B20BC3" w:rsidRPr="00B20BC3" w14:paraId="59CAFBE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7720051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Descripción del proceso</w:t>
            </w:r>
          </w:p>
        </w:tc>
        <w:tc>
          <w:tcPr>
            <w:tcW w:w="6869" w:type="dxa"/>
          </w:tcPr>
          <w:p w14:paraId="2B82F3AD" w14:textId="6EBC7D61" w:rsidR="000113A2" w:rsidRPr="00165037" w:rsidRDefault="002102CF" w:rsidP="00B20BC3">
            <w:pPr>
              <w:jc w:val="both"/>
              <w:rPr>
                <w:rFonts w:ascii="Arial" w:hAnsi="Arial" w:cs="Arial"/>
                <w:highlight w:val="yellow"/>
                <w:lang w:val="es-ES_tradnl"/>
              </w:rPr>
            </w:pPr>
            <w:r w:rsidRPr="00165037">
              <w:rPr>
                <w:rFonts w:ascii="Arial" w:hAnsi="Arial" w:cs="Arial"/>
                <w:lang w:val="es-ES_tradnl"/>
              </w:rPr>
              <w:t xml:space="preserve">Hechos relativos al incumplimiento del Contrato 1380-1518-2022 </w:t>
            </w:r>
            <w:r w:rsidR="00905EAB" w:rsidRPr="00165037">
              <w:rPr>
                <w:rFonts w:ascii="Arial" w:hAnsi="Arial" w:cs="Arial"/>
                <w:lang w:val="es-ES_tradnl"/>
              </w:rPr>
              <w:t>de Alianza Fiduciaria vocera y representante del patrimonio autónomo FFIE con el Consorcio M&amp;E CANAAN FFIE cuyo objeto era</w:t>
            </w:r>
            <w:r w:rsidR="005D1FB2">
              <w:rPr>
                <w:rFonts w:ascii="Arial" w:hAnsi="Arial" w:cs="Arial"/>
                <w:lang w:val="es-ES_tradnl"/>
              </w:rPr>
              <w:t xml:space="preserve"> la</w:t>
            </w:r>
            <w:r w:rsidR="00905EAB" w:rsidRPr="00165037">
              <w:rPr>
                <w:rFonts w:ascii="Arial" w:hAnsi="Arial" w:cs="Arial"/>
                <w:lang w:val="es-ES_tradnl"/>
              </w:rPr>
              <w:t xml:space="preserve"> “</w:t>
            </w:r>
            <w:r w:rsidR="00905EAB" w:rsidRPr="00165037">
              <w:rPr>
                <w:rFonts w:ascii="Arial" w:hAnsi="Arial" w:cs="Arial"/>
                <w:i/>
                <w:iCs/>
              </w:rPr>
              <w:t>Elaboración de diseños, estudios técnicos, obtención de licencias y ejecución de obras en la institución educativa Alberto Santofimio de Ibagué, Tolima</w:t>
            </w:r>
            <w:r w:rsidR="00905EAB" w:rsidRPr="00165037">
              <w:rPr>
                <w:rFonts w:ascii="Arial" w:hAnsi="Arial" w:cs="Arial"/>
              </w:rPr>
              <w:t>”; presupuesto $3.746.362.662</w:t>
            </w:r>
            <w:r w:rsidR="00905EAB" w:rsidRPr="00165037">
              <w:rPr>
                <w:rFonts w:ascii="Arial" w:hAnsi="Arial" w:cs="Arial"/>
                <w:shd w:val="clear" w:color="auto" w:fill="FFFFFF" w:themeFill="background1"/>
              </w:rPr>
              <w:t xml:space="preserve">. </w:t>
            </w:r>
            <w:r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 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La interventoría </w:t>
            </w:r>
            <w:r w:rsidR="00BE670B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al finalizar el contrato</w:t>
            </w:r>
            <w:r w:rsidR="00EC7D30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, el 30 de junio de 2023, 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determinó </w:t>
            </w:r>
            <w:r w:rsidR="00C3713A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un retraso de</w:t>
            </w:r>
            <w:r w:rsidR="002A6F80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l 3.44%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, por lo que determinó la cuantía del incumplimiento en $82.419.978</w:t>
            </w:r>
            <w:r w:rsidR="00C3713A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.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 Además</w:t>
            </w:r>
            <w:r w:rsidR="0024616F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,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 la interventoría </w:t>
            </w:r>
            <w:r w:rsidR="000A3B5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el 26 de enero de 2024 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manifestó que el contratista no habría hecho oportuna y debidamente la legalización de la inversión y/o gastos del 57,98%</w:t>
            </w:r>
            <w:r w:rsidR="002A0828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 del anticipo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; por lo anterior, solicitó la afectación de la póliza por $204.410.251 en virtud del amparo de </w:t>
            </w:r>
            <w:r w:rsidR="002F0344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 xml:space="preserve">manejo de </w:t>
            </w:r>
            <w:r w:rsidR="00165037" w:rsidRPr="00165037">
              <w:rPr>
                <w:rFonts w:ascii="Arial" w:hAnsi="Arial" w:cs="Arial"/>
                <w:shd w:val="clear" w:color="auto" w:fill="FFFFFF" w:themeFill="background1"/>
                <w:lang w:val="es-ES_tradnl"/>
              </w:rPr>
              <w:t>anticipo.</w:t>
            </w:r>
            <w:r w:rsidR="00165037" w:rsidRPr="00165037">
              <w:rPr>
                <w:rFonts w:ascii="Arial" w:hAnsi="Arial" w:cs="Arial"/>
                <w:lang w:val="es-ES_tradnl"/>
              </w:rPr>
              <w:t xml:space="preserve"> </w:t>
            </w:r>
          </w:p>
        </w:tc>
      </w:tr>
      <w:tr w:rsidR="00B20BC3" w:rsidRPr="00B20BC3" w14:paraId="343FBFFC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B2FA942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Asegurado</w:t>
            </w:r>
          </w:p>
        </w:tc>
        <w:tc>
          <w:tcPr>
            <w:tcW w:w="6869" w:type="dxa"/>
          </w:tcPr>
          <w:p w14:paraId="4E7D33F9" w14:textId="3278CA1F" w:rsidR="000113A2" w:rsidRPr="00B20BC3" w:rsidRDefault="007B491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 xml:space="preserve">Alianza Fiduciaria S.A. </w:t>
            </w:r>
          </w:p>
        </w:tc>
      </w:tr>
      <w:tr w:rsidR="00B20BC3" w:rsidRPr="00B20BC3" w14:paraId="560079D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CB4E8F0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Afianzado</w:t>
            </w:r>
          </w:p>
        </w:tc>
        <w:tc>
          <w:tcPr>
            <w:tcW w:w="6869" w:type="dxa"/>
          </w:tcPr>
          <w:p w14:paraId="1358F01E" w14:textId="69A4CFB8" w:rsidR="000113A2" w:rsidRPr="00B20BC3" w:rsidRDefault="007B491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CONSORCIO M&amp;E CANAAN FFIE</w:t>
            </w:r>
          </w:p>
        </w:tc>
      </w:tr>
      <w:tr w:rsidR="00B20BC3" w:rsidRPr="00B20BC3" w14:paraId="6E78371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6B4E8611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Póliza</w:t>
            </w:r>
          </w:p>
        </w:tc>
        <w:tc>
          <w:tcPr>
            <w:tcW w:w="6869" w:type="dxa"/>
          </w:tcPr>
          <w:p w14:paraId="3E7A2207" w14:textId="0ACF847C" w:rsidR="000113A2" w:rsidRPr="00B20BC3" w:rsidRDefault="005A5EDA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4006263</w:t>
            </w:r>
          </w:p>
        </w:tc>
      </w:tr>
      <w:tr w:rsidR="00B20BC3" w:rsidRPr="00B20BC3" w14:paraId="00A7F41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4E65150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Ramo</w:t>
            </w:r>
          </w:p>
        </w:tc>
        <w:tc>
          <w:tcPr>
            <w:tcW w:w="6869" w:type="dxa"/>
          </w:tcPr>
          <w:p w14:paraId="62CA2986" w14:textId="0C3F831A" w:rsidR="000113A2" w:rsidRPr="00B20BC3" w:rsidRDefault="004103C6" w:rsidP="00B20BC3">
            <w:pPr>
              <w:jc w:val="both"/>
              <w:rPr>
                <w:rFonts w:ascii="Arial" w:hAnsi="Arial" w:cs="Arial"/>
                <w:shd w:val="clear" w:color="auto" w:fill="FFFFFF"/>
              </w:rPr>
            </w:pPr>
            <w:r w:rsidRPr="00B20BC3">
              <w:rPr>
                <w:rFonts w:ascii="Arial" w:hAnsi="Arial" w:cs="Arial"/>
                <w:shd w:val="clear" w:color="auto" w:fill="FFFFFF"/>
              </w:rPr>
              <w:t>Cumplimiento</w:t>
            </w:r>
          </w:p>
        </w:tc>
      </w:tr>
      <w:tr w:rsidR="00B20BC3" w:rsidRPr="00B20BC3" w14:paraId="23FF98D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64CCEBB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Coaseguro (Si/No)</w:t>
            </w:r>
          </w:p>
        </w:tc>
        <w:tc>
          <w:tcPr>
            <w:tcW w:w="6869" w:type="dxa"/>
          </w:tcPr>
          <w:p w14:paraId="0BA3BFBE" w14:textId="1CCD9616" w:rsidR="000113A2" w:rsidRPr="00B20BC3" w:rsidRDefault="004103C6" w:rsidP="00B20BC3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B20BC3" w:rsidRPr="00B20BC3" w14:paraId="150A327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F984302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Fecha de inicio del proceso</w:t>
            </w:r>
          </w:p>
        </w:tc>
        <w:tc>
          <w:tcPr>
            <w:tcW w:w="6869" w:type="dxa"/>
          </w:tcPr>
          <w:p w14:paraId="2F4F6CB5" w14:textId="303756D5" w:rsidR="000113A2" w:rsidRPr="00B20BC3" w:rsidRDefault="00940EAF" w:rsidP="00B20BC3">
            <w:pPr>
              <w:tabs>
                <w:tab w:val="left" w:pos="5740"/>
              </w:tabs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26 de enero de 2024 inició frente a la no amortización</w:t>
            </w:r>
          </w:p>
        </w:tc>
      </w:tr>
      <w:tr w:rsidR="00B20BC3" w:rsidRPr="00B20BC3" w14:paraId="7B01DF0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33E1F53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 xml:space="preserve">Fecha del siniestro </w:t>
            </w:r>
          </w:p>
        </w:tc>
        <w:tc>
          <w:tcPr>
            <w:tcW w:w="6869" w:type="dxa"/>
          </w:tcPr>
          <w:p w14:paraId="414479CF" w14:textId="2D82EB3E" w:rsidR="000113A2" w:rsidRPr="00B20BC3" w:rsidRDefault="00D366A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30 de junio de 2023</w:t>
            </w:r>
          </w:p>
        </w:tc>
      </w:tr>
      <w:tr w:rsidR="00B20BC3" w:rsidRPr="00B20BC3" w14:paraId="4BF11D79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11D6E24C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 xml:space="preserve">Amparo afectado (si son varios amparos por favor discriminar) </w:t>
            </w:r>
          </w:p>
        </w:tc>
        <w:tc>
          <w:tcPr>
            <w:tcW w:w="6869" w:type="dxa"/>
          </w:tcPr>
          <w:p w14:paraId="7BB438B9" w14:textId="6905B987" w:rsidR="000113A2" w:rsidRPr="00B20BC3" w:rsidRDefault="002D710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 xml:space="preserve">Cumplimiento y </w:t>
            </w:r>
            <w:r w:rsidR="00A63540">
              <w:rPr>
                <w:rFonts w:ascii="Arial" w:hAnsi="Arial" w:cs="Arial"/>
                <w:lang w:val="es-ES_tradnl"/>
              </w:rPr>
              <w:t xml:space="preserve">Manejo del </w:t>
            </w:r>
            <w:r w:rsidRPr="00B20BC3">
              <w:rPr>
                <w:rFonts w:ascii="Arial" w:hAnsi="Arial" w:cs="Arial"/>
                <w:lang w:val="es-ES_tradnl"/>
              </w:rPr>
              <w:t>Anticipo</w:t>
            </w:r>
          </w:p>
        </w:tc>
      </w:tr>
      <w:tr w:rsidR="00B20BC3" w:rsidRPr="00B20BC3" w14:paraId="00060B7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C0485FE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Valor pretensiones: (Si son varios amparos por favor discriminar)</w:t>
            </w:r>
          </w:p>
        </w:tc>
        <w:tc>
          <w:tcPr>
            <w:tcW w:w="6869" w:type="dxa"/>
          </w:tcPr>
          <w:p w14:paraId="549555B6" w14:textId="6E22A9BF" w:rsidR="000113A2" w:rsidRPr="00B20BC3" w:rsidRDefault="00B978D0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$82.419.978 por cumplimiento y $204.410.251 por anticipo</w:t>
            </w:r>
          </w:p>
        </w:tc>
      </w:tr>
      <w:tr w:rsidR="00B20BC3" w:rsidRPr="00B20BC3" w14:paraId="1AB5926E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2F1F693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Valor reserva sugerida abogado (Si son varios amparos por favor discriminar)</w:t>
            </w:r>
          </w:p>
        </w:tc>
        <w:tc>
          <w:tcPr>
            <w:tcW w:w="6869" w:type="dxa"/>
          </w:tcPr>
          <w:p w14:paraId="178D16EF" w14:textId="1437EBCC" w:rsidR="000113A2" w:rsidRPr="00B20BC3" w:rsidRDefault="00B02002" w:rsidP="00B20BC3">
            <w:pPr>
              <w:pStyle w:val="Default"/>
              <w:jc w:val="both"/>
              <w:rPr>
                <w:color w:val="auto"/>
                <w:sz w:val="22"/>
                <w:szCs w:val="22"/>
                <w:lang w:val="es-ES_tradnl"/>
              </w:rPr>
            </w:pPr>
            <w:r w:rsidRPr="00B20BC3">
              <w:rPr>
                <w:color w:val="auto"/>
                <w:sz w:val="22"/>
                <w:szCs w:val="22"/>
                <w:lang w:val="es-ES_tradnl"/>
              </w:rPr>
              <w:t>$</w:t>
            </w:r>
            <w:r w:rsidR="001F7584">
              <w:rPr>
                <w:color w:val="auto"/>
                <w:sz w:val="22"/>
                <w:szCs w:val="22"/>
                <w:lang w:val="es-ES_tradnl"/>
              </w:rPr>
              <w:t xml:space="preserve">8.241.997 </w:t>
            </w:r>
            <w:r w:rsidRPr="00B20BC3">
              <w:rPr>
                <w:color w:val="auto"/>
                <w:sz w:val="22"/>
                <w:szCs w:val="22"/>
                <w:lang w:val="es-ES_tradnl"/>
              </w:rPr>
              <w:t>por cumplimiento y $</w:t>
            </w:r>
            <w:r w:rsidR="00B20BC3" w:rsidRPr="00B20BC3">
              <w:rPr>
                <w:color w:val="auto"/>
                <w:sz w:val="22"/>
                <w:szCs w:val="22"/>
              </w:rPr>
              <w:t xml:space="preserve"> </w:t>
            </w:r>
            <w:r w:rsidR="00B20BC3" w:rsidRPr="00B20BC3">
              <w:rPr>
                <w:color w:val="auto"/>
                <w:sz w:val="22"/>
                <w:szCs w:val="22"/>
                <w:lang w:val="es-ES_tradnl"/>
              </w:rPr>
              <w:t xml:space="preserve">71.543.587,85 </w:t>
            </w:r>
            <w:r w:rsidRPr="00B20BC3">
              <w:rPr>
                <w:color w:val="auto"/>
                <w:sz w:val="22"/>
                <w:szCs w:val="22"/>
                <w:lang w:val="es-ES_tradnl"/>
              </w:rPr>
              <w:t>por anticipo</w:t>
            </w:r>
          </w:p>
        </w:tc>
      </w:tr>
      <w:tr w:rsidR="00B20BC3" w:rsidRPr="00B20BC3" w14:paraId="10E5A6C9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2BF51CF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Calificación de la contingencia (remoto – eventual – probable)</w:t>
            </w:r>
          </w:p>
        </w:tc>
        <w:tc>
          <w:tcPr>
            <w:tcW w:w="6869" w:type="dxa"/>
          </w:tcPr>
          <w:p w14:paraId="40B23D47" w14:textId="51341A4C" w:rsidR="000113A2" w:rsidRPr="00B20BC3" w:rsidRDefault="007B4916" w:rsidP="00B20BC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B20BC3">
              <w:rPr>
                <w:rFonts w:ascii="Arial" w:hAnsi="Arial" w:cs="Arial"/>
              </w:rPr>
              <w:t xml:space="preserve">Eventual. </w:t>
            </w:r>
          </w:p>
        </w:tc>
      </w:tr>
      <w:tr w:rsidR="00B20BC3" w:rsidRPr="00B20BC3" w14:paraId="0AF6AD2C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53C2644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Motivos de la calificación:</w:t>
            </w:r>
          </w:p>
        </w:tc>
        <w:tc>
          <w:tcPr>
            <w:tcW w:w="6869" w:type="dxa"/>
          </w:tcPr>
          <w:p w14:paraId="331486B4" w14:textId="77777777" w:rsidR="00F06AB5" w:rsidRDefault="007B491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La contingencia se califica como EVENTUAL</w:t>
            </w:r>
            <w:r w:rsidR="00223372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1B1BE671" w14:textId="77777777" w:rsidR="00F06AB5" w:rsidRDefault="00F06AB5" w:rsidP="00B20BC3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31A39384" w14:textId="3852755B" w:rsidR="007B4916" w:rsidRPr="00B20BC3" w:rsidRDefault="007B491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 xml:space="preserve">En primer lugar, </w:t>
            </w:r>
            <w:r w:rsidR="00A63540">
              <w:rPr>
                <w:rFonts w:ascii="Arial" w:hAnsi="Arial" w:cs="Arial"/>
                <w:lang w:val="es-ES_tradnl"/>
              </w:rPr>
              <w:t xml:space="preserve">frente al amparo de cumplimiento </w:t>
            </w:r>
            <w:r w:rsidRPr="00B20BC3">
              <w:rPr>
                <w:rFonts w:ascii="Arial" w:hAnsi="Arial" w:cs="Arial"/>
                <w:lang w:val="es-ES_tradnl"/>
              </w:rPr>
              <w:t xml:space="preserve">debe indicarse que </w:t>
            </w:r>
            <w:r w:rsidR="008D2DE1">
              <w:rPr>
                <w:rFonts w:ascii="Arial" w:hAnsi="Arial" w:cs="Arial"/>
                <w:lang w:val="es-ES_tradnl"/>
              </w:rPr>
              <w:t xml:space="preserve">el contrato de seguro no </w:t>
            </w:r>
            <w:r w:rsidRPr="00B20BC3">
              <w:rPr>
                <w:rFonts w:ascii="Arial" w:hAnsi="Arial" w:cs="Arial"/>
                <w:lang w:val="es-ES_tradnl"/>
              </w:rPr>
              <w:t>presta cobertura material</w:t>
            </w:r>
            <w:r w:rsidR="008D2DE1">
              <w:rPr>
                <w:rFonts w:ascii="Arial" w:hAnsi="Arial" w:cs="Arial"/>
                <w:lang w:val="es-ES_tradnl"/>
              </w:rPr>
              <w:t xml:space="preserve"> porque </w:t>
            </w:r>
            <w:r w:rsidR="008D2DE1">
              <w:rPr>
                <w:rFonts w:ascii="Arial" w:hAnsi="Arial" w:cs="Arial"/>
              </w:rPr>
              <w:t xml:space="preserve">expresamente se </w:t>
            </w:r>
            <w:r w:rsidR="008D2DE1" w:rsidRPr="007A7AB8">
              <w:rPr>
                <w:rFonts w:ascii="Arial" w:hAnsi="Arial" w:cs="Arial"/>
              </w:rPr>
              <w:t>excluy</w:t>
            </w:r>
            <w:r w:rsidR="008D2DE1">
              <w:rPr>
                <w:rFonts w:ascii="Arial" w:hAnsi="Arial" w:cs="Arial"/>
              </w:rPr>
              <w:t>ó</w:t>
            </w:r>
            <w:r w:rsidR="008D2DE1" w:rsidRPr="007A7AB8">
              <w:rPr>
                <w:rFonts w:ascii="Arial" w:hAnsi="Arial" w:cs="Arial"/>
              </w:rPr>
              <w:t xml:space="preserve"> </w:t>
            </w:r>
            <w:r w:rsidR="005342E1">
              <w:rPr>
                <w:rFonts w:ascii="Arial" w:hAnsi="Arial" w:cs="Arial"/>
              </w:rPr>
              <w:t xml:space="preserve">el amparo </w:t>
            </w:r>
            <w:r w:rsidR="008D2DE1">
              <w:rPr>
                <w:rFonts w:ascii="Arial" w:hAnsi="Arial" w:cs="Arial"/>
              </w:rPr>
              <w:t xml:space="preserve">de </w:t>
            </w:r>
            <w:r w:rsidR="008D2DE1" w:rsidRPr="007A7AB8">
              <w:rPr>
                <w:rFonts w:ascii="Arial" w:hAnsi="Arial" w:cs="Arial"/>
              </w:rPr>
              <w:t>los perjuicios derivados del incumplimiento por parte del contratista que d</w:t>
            </w:r>
            <w:r w:rsidR="008D2DE1">
              <w:rPr>
                <w:rFonts w:ascii="Arial" w:hAnsi="Arial" w:cs="Arial"/>
              </w:rPr>
              <w:t>iera</w:t>
            </w:r>
            <w:r w:rsidR="008D2DE1" w:rsidRPr="007A7AB8">
              <w:rPr>
                <w:rFonts w:ascii="Arial" w:hAnsi="Arial" w:cs="Arial"/>
              </w:rPr>
              <w:t xml:space="preserve"> lugar a la imposición de cláusulas penales o multas</w:t>
            </w:r>
            <w:r w:rsidRPr="00B20BC3">
              <w:rPr>
                <w:rFonts w:ascii="Arial" w:hAnsi="Arial" w:cs="Arial"/>
                <w:lang w:val="es-ES_tradnl"/>
              </w:rPr>
              <w:t xml:space="preserve">. </w:t>
            </w:r>
          </w:p>
          <w:p w14:paraId="00A98D30" w14:textId="77777777" w:rsidR="001875FF" w:rsidRPr="00B20BC3" w:rsidRDefault="001875FF" w:rsidP="00B20BC3">
            <w:pPr>
              <w:jc w:val="both"/>
              <w:rPr>
                <w:rFonts w:ascii="Arial" w:hAnsi="Arial" w:cs="Arial"/>
                <w:lang w:val="es-ES_tradnl"/>
              </w:rPr>
            </w:pPr>
          </w:p>
          <w:p w14:paraId="229A4BE5" w14:textId="77777777" w:rsidR="00E14583" w:rsidRPr="007C73FA" w:rsidRDefault="001875FF" w:rsidP="00E14583">
            <w:pPr>
              <w:jc w:val="both"/>
              <w:rPr>
                <w:rFonts w:ascii="Arial" w:hAnsi="Arial" w:cs="Arial"/>
              </w:rPr>
            </w:pPr>
            <w:r w:rsidRPr="00B20BC3">
              <w:rPr>
                <w:rFonts w:ascii="Arial" w:hAnsi="Arial" w:cs="Arial"/>
                <w:lang w:val="es-ES_tradnl"/>
              </w:rPr>
              <w:t xml:space="preserve">Ahora bien, la </w:t>
            </w:r>
            <w:r w:rsidR="00F06AB5">
              <w:rPr>
                <w:rFonts w:ascii="Arial" w:hAnsi="Arial" w:cs="Arial"/>
                <w:lang w:val="es-ES_tradnl"/>
              </w:rPr>
              <w:t xml:space="preserve">calificación EVENTUAL </w:t>
            </w:r>
            <w:r w:rsidRPr="00B20BC3">
              <w:rPr>
                <w:rFonts w:ascii="Arial" w:hAnsi="Arial" w:cs="Arial"/>
                <w:lang w:val="es-ES_tradnl"/>
              </w:rPr>
              <w:t>se predica de</w:t>
            </w:r>
            <w:r w:rsidR="00A25DBC">
              <w:rPr>
                <w:rFonts w:ascii="Arial" w:hAnsi="Arial" w:cs="Arial"/>
                <w:lang w:val="es-ES_tradnl"/>
              </w:rPr>
              <w:t xml:space="preserve"> </w:t>
            </w:r>
            <w:r w:rsidR="00F06AB5">
              <w:rPr>
                <w:rFonts w:ascii="Arial" w:hAnsi="Arial" w:cs="Arial"/>
                <w:lang w:val="es-ES_tradnl"/>
              </w:rPr>
              <w:t>l</w:t>
            </w:r>
            <w:r w:rsidR="00A25DBC">
              <w:rPr>
                <w:rFonts w:ascii="Arial" w:hAnsi="Arial" w:cs="Arial"/>
                <w:lang w:val="es-ES_tradnl"/>
              </w:rPr>
              <w:t>a</w:t>
            </w:r>
            <w:r w:rsidR="00F06AB5">
              <w:rPr>
                <w:rFonts w:ascii="Arial" w:hAnsi="Arial" w:cs="Arial"/>
                <w:lang w:val="es-ES_tradnl"/>
              </w:rPr>
              <w:t xml:space="preserve"> afectación del amparo de manejo del anticipo</w:t>
            </w:r>
            <w:r w:rsidRPr="00B20BC3">
              <w:rPr>
                <w:rFonts w:ascii="Arial" w:hAnsi="Arial" w:cs="Arial"/>
                <w:lang w:val="es-ES_tradnl"/>
              </w:rPr>
              <w:t xml:space="preserve">. </w:t>
            </w:r>
            <w:r w:rsidR="00370F91" w:rsidRPr="007C73FA">
              <w:rPr>
                <w:rFonts w:ascii="Arial" w:hAnsi="Arial" w:cs="Arial"/>
              </w:rPr>
              <w:t xml:space="preserve">Si bien </w:t>
            </w:r>
            <w:r w:rsidR="00370F91">
              <w:rPr>
                <w:rFonts w:ascii="Arial" w:hAnsi="Arial" w:cs="Arial"/>
              </w:rPr>
              <w:t>e</w:t>
            </w:r>
            <w:r w:rsidR="00370F91" w:rsidRPr="007C73FA">
              <w:rPr>
                <w:rFonts w:ascii="Arial" w:hAnsi="Arial" w:cs="Arial"/>
              </w:rPr>
              <w:t>l C</w:t>
            </w:r>
            <w:r w:rsidR="00370F91">
              <w:rPr>
                <w:rFonts w:ascii="Arial" w:hAnsi="Arial" w:cs="Arial"/>
              </w:rPr>
              <w:t xml:space="preserve">onsejo de Estado y </w:t>
            </w:r>
            <w:r w:rsidR="00370F91" w:rsidRPr="007C73FA">
              <w:rPr>
                <w:rFonts w:ascii="Arial" w:hAnsi="Arial" w:cs="Arial"/>
              </w:rPr>
              <w:t>la C</w:t>
            </w:r>
            <w:r w:rsidR="00370F91">
              <w:rPr>
                <w:rFonts w:ascii="Arial" w:hAnsi="Arial" w:cs="Arial"/>
              </w:rPr>
              <w:t xml:space="preserve">orte Suprema han señalado </w:t>
            </w:r>
            <w:r w:rsidR="00370F91" w:rsidRPr="007C73FA">
              <w:rPr>
                <w:rFonts w:ascii="Arial" w:hAnsi="Arial" w:cs="Arial"/>
              </w:rPr>
              <w:t>que la no amortización del anticipo no es uno de los riesgos cubiertos por</w:t>
            </w:r>
            <w:r w:rsidR="00370F91">
              <w:rPr>
                <w:rFonts w:ascii="Arial" w:hAnsi="Arial" w:cs="Arial"/>
              </w:rPr>
              <w:t xml:space="preserve"> dicho amparo</w:t>
            </w:r>
            <w:r w:rsidR="00370F91" w:rsidRPr="007C73FA">
              <w:rPr>
                <w:rFonts w:ascii="Arial" w:hAnsi="Arial" w:cs="Arial"/>
              </w:rPr>
              <w:t xml:space="preserve">, no se puede pasar </w:t>
            </w:r>
            <w:r w:rsidR="00370F91" w:rsidRPr="007C73FA">
              <w:rPr>
                <w:rFonts w:ascii="Arial" w:hAnsi="Arial" w:cs="Arial"/>
              </w:rPr>
              <w:lastRenderedPageBreak/>
              <w:t xml:space="preserve">por alto </w:t>
            </w:r>
            <w:r w:rsidR="00370F91">
              <w:rPr>
                <w:rFonts w:ascii="Arial" w:hAnsi="Arial" w:cs="Arial"/>
              </w:rPr>
              <w:t xml:space="preserve">que </w:t>
            </w:r>
            <w:r w:rsidR="00370F91" w:rsidRPr="007C73FA">
              <w:rPr>
                <w:rFonts w:ascii="Arial" w:hAnsi="Arial" w:cs="Arial"/>
              </w:rPr>
              <w:t>no se evidencian elementos de juicio que permitan acreditar que el anticipo fue invertido apropiadamente</w:t>
            </w:r>
            <w:r w:rsidR="00370F91">
              <w:rPr>
                <w:rFonts w:ascii="Arial" w:hAnsi="Arial" w:cs="Arial"/>
              </w:rPr>
              <w:t xml:space="preserve">. </w:t>
            </w:r>
            <w:r w:rsidR="00E14583" w:rsidRPr="007C73FA">
              <w:rPr>
                <w:rFonts w:ascii="Arial" w:hAnsi="Arial" w:cs="Arial"/>
              </w:rPr>
              <w:t xml:space="preserve">Por otro lado, se </w:t>
            </w:r>
            <w:r w:rsidR="00E14583">
              <w:rPr>
                <w:rFonts w:ascii="Arial" w:hAnsi="Arial" w:cs="Arial"/>
              </w:rPr>
              <w:t xml:space="preserve">ha cuestionado </w:t>
            </w:r>
            <w:r w:rsidR="00E14583" w:rsidRPr="007C73FA">
              <w:rPr>
                <w:rFonts w:ascii="Arial" w:hAnsi="Arial" w:cs="Arial"/>
              </w:rPr>
              <w:t xml:space="preserve">la competencia </w:t>
            </w:r>
            <w:r w:rsidR="00E14583">
              <w:rPr>
                <w:rFonts w:ascii="Arial" w:hAnsi="Arial" w:cs="Arial"/>
              </w:rPr>
              <w:t xml:space="preserve">o facultad </w:t>
            </w:r>
            <w:r w:rsidR="00E14583" w:rsidRPr="007C73FA">
              <w:rPr>
                <w:rFonts w:ascii="Arial" w:hAnsi="Arial" w:cs="Arial"/>
              </w:rPr>
              <w:t xml:space="preserve">del </w:t>
            </w:r>
            <w:r w:rsidR="00E14583">
              <w:rPr>
                <w:rFonts w:ascii="Arial" w:hAnsi="Arial" w:cs="Arial"/>
              </w:rPr>
              <w:t xml:space="preserve">asegurado </w:t>
            </w:r>
            <w:r w:rsidR="00E14583" w:rsidRPr="007C73FA">
              <w:rPr>
                <w:rFonts w:ascii="Arial" w:hAnsi="Arial" w:cs="Arial"/>
              </w:rPr>
              <w:t xml:space="preserve">para </w:t>
            </w:r>
            <w:r w:rsidR="00E14583">
              <w:rPr>
                <w:rFonts w:ascii="Arial" w:hAnsi="Arial" w:cs="Arial"/>
              </w:rPr>
              <w:t xml:space="preserve">declarar de manera </w:t>
            </w:r>
            <w:r w:rsidR="00E14583" w:rsidRPr="007C73FA">
              <w:rPr>
                <w:rFonts w:ascii="Arial" w:hAnsi="Arial" w:cs="Arial"/>
              </w:rPr>
              <w:t xml:space="preserve">unilateral </w:t>
            </w:r>
            <w:r w:rsidR="00E14583">
              <w:rPr>
                <w:rFonts w:ascii="Arial" w:hAnsi="Arial" w:cs="Arial"/>
              </w:rPr>
              <w:t xml:space="preserve">el </w:t>
            </w:r>
            <w:r w:rsidR="00E14583" w:rsidRPr="007C73FA">
              <w:rPr>
                <w:rFonts w:ascii="Arial" w:hAnsi="Arial" w:cs="Arial"/>
              </w:rPr>
              <w:t>incumplimiento del contrato</w:t>
            </w:r>
            <w:r w:rsidR="00E14583">
              <w:rPr>
                <w:rFonts w:ascii="Arial" w:hAnsi="Arial" w:cs="Arial"/>
              </w:rPr>
              <w:t>,</w:t>
            </w:r>
            <w:r w:rsidR="00E14583" w:rsidRPr="007C73FA">
              <w:rPr>
                <w:rFonts w:ascii="Arial" w:hAnsi="Arial" w:cs="Arial"/>
              </w:rPr>
              <w:t xml:space="preserve"> como quiera que </w:t>
            </w:r>
            <w:r w:rsidR="00E14583">
              <w:rPr>
                <w:rFonts w:ascii="Arial" w:hAnsi="Arial" w:cs="Arial"/>
              </w:rPr>
              <w:t xml:space="preserve">a </w:t>
            </w:r>
            <w:r w:rsidR="00E14583" w:rsidRPr="007C73FA">
              <w:rPr>
                <w:rFonts w:ascii="Arial" w:hAnsi="Arial" w:cs="Arial"/>
              </w:rPr>
              <w:t xml:space="preserve">las partes </w:t>
            </w:r>
            <w:r w:rsidR="00E14583">
              <w:rPr>
                <w:rFonts w:ascii="Arial" w:hAnsi="Arial" w:cs="Arial"/>
              </w:rPr>
              <w:t xml:space="preserve">no pueden erigirse como juez y parte, lo contrario sería reconocer indebidamente </w:t>
            </w:r>
            <w:r w:rsidR="00E14583" w:rsidRPr="007C73FA">
              <w:rPr>
                <w:rFonts w:ascii="Arial" w:hAnsi="Arial" w:cs="Arial"/>
              </w:rPr>
              <w:t xml:space="preserve">prerrogativas </w:t>
            </w:r>
            <w:r w:rsidR="00E14583">
              <w:rPr>
                <w:rFonts w:ascii="Arial" w:hAnsi="Arial" w:cs="Arial"/>
              </w:rPr>
              <w:t>exorbitantes</w:t>
            </w:r>
            <w:r w:rsidR="00E14583" w:rsidRPr="007C73FA">
              <w:rPr>
                <w:rFonts w:ascii="Arial" w:hAnsi="Arial" w:cs="Arial"/>
              </w:rPr>
              <w:t>.</w:t>
            </w:r>
            <w:r w:rsidR="00E14583">
              <w:rPr>
                <w:rFonts w:ascii="Arial" w:hAnsi="Arial" w:cs="Arial"/>
              </w:rPr>
              <w:t xml:space="preserve"> </w:t>
            </w:r>
          </w:p>
          <w:p w14:paraId="33FE2989" w14:textId="145E5368" w:rsidR="007B4916" w:rsidRPr="00E14583" w:rsidRDefault="007B4916" w:rsidP="00B20BC3">
            <w:pPr>
              <w:jc w:val="both"/>
              <w:rPr>
                <w:rFonts w:ascii="Arial" w:hAnsi="Arial" w:cs="Arial"/>
              </w:rPr>
            </w:pPr>
          </w:p>
          <w:p w14:paraId="7F94CFD9" w14:textId="388C33F4" w:rsidR="000113A2" w:rsidRPr="00B20BC3" w:rsidRDefault="007B4916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Todo lo anterior, sin perjuicio del carácter contingente del proceso.</w:t>
            </w:r>
          </w:p>
        </w:tc>
      </w:tr>
      <w:tr w:rsidR="00B20BC3" w:rsidRPr="00B20BC3" w14:paraId="66844227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45E35D8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lastRenderedPageBreak/>
              <w:t xml:space="preserve">Resumen de la contingencia: </w:t>
            </w:r>
          </w:p>
        </w:tc>
        <w:tc>
          <w:tcPr>
            <w:tcW w:w="6869" w:type="dxa"/>
          </w:tcPr>
          <w:p w14:paraId="1D44768A" w14:textId="3C46AA65" w:rsidR="000113A2" w:rsidRPr="00B20BC3" w:rsidRDefault="000113A2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 xml:space="preserve"> </w:t>
            </w:r>
            <w:r w:rsidR="00033865" w:rsidRPr="00B20BC3">
              <w:rPr>
                <w:rFonts w:ascii="Arial" w:hAnsi="Arial" w:cs="Arial"/>
                <w:lang w:val="es-ES_tradnl"/>
              </w:rPr>
              <w:t xml:space="preserve">Frente al reconocimiento de la cláusula penal la póliza no ofrece cobertura material. Sin embargo, frente a la amortización del anticipo dependerá de la entidad si considera que esta cobertura se encuentra inmersa en el amparo de buen manejo del anticipo. </w:t>
            </w:r>
          </w:p>
        </w:tc>
      </w:tr>
      <w:tr w:rsidR="00B20BC3" w:rsidRPr="00B20BC3" w14:paraId="562B009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7AEAD0F2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Posición del contratista</w:t>
            </w:r>
          </w:p>
        </w:tc>
        <w:tc>
          <w:tcPr>
            <w:tcW w:w="6869" w:type="dxa"/>
          </w:tcPr>
          <w:p w14:paraId="1D5EBAA5" w14:textId="5E22428B" w:rsidR="000113A2" w:rsidRPr="00B20BC3" w:rsidRDefault="00BF5488" w:rsidP="00B20BC3">
            <w:pPr>
              <w:jc w:val="both"/>
              <w:rPr>
                <w:rFonts w:ascii="Arial" w:hAnsi="Arial" w:cs="Arial"/>
                <w:lang w:val="es-ES_tradnl"/>
              </w:rPr>
            </w:pPr>
            <w:r>
              <w:rPr>
                <w:rFonts w:ascii="Arial" w:hAnsi="Arial" w:cs="Arial"/>
                <w:lang w:val="es-ES_tradnl"/>
              </w:rPr>
              <w:t>N</w:t>
            </w:r>
            <w:r w:rsidRPr="00BF5488">
              <w:rPr>
                <w:rFonts w:ascii="Arial" w:hAnsi="Arial" w:cs="Arial"/>
                <w:lang w:val="es-ES_tradnl"/>
              </w:rPr>
              <w:t xml:space="preserve">o está de acuerdo con el proceso de incumplimiento </w:t>
            </w:r>
            <w:r>
              <w:rPr>
                <w:rFonts w:ascii="Arial" w:hAnsi="Arial" w:cs="Arial"/>
                <w:lang w:val="es-ES_tradnl"/>
              </w:rPr>
              <w:t xml:space="preserve">ya que indica </w:t>
            </w:r>
            <w:r w:rsidRPr="00BF5488">
              <w:rPr>
                <w:rFonts w:ascii="Arial" w:hAnsi="Arial" w:cs="Arial"/>
                <w:lang w:val="es-ES_tradnl"/>
              </w:rPr>
              <w:t>se le vulneró el debido proceso porque a su criterio se incurrió en una falta de planeación la entidad contratante, además de la falta de competencia para adelantar dicho procedimiento sancionatorio contractual</w:t>
            </w:r>
          </w:p>
        </w:tc>
      </w:tr>
      <w:tr w:rsidR="00B20BC3" w:rsidRPr="00B20BC3" w14:paraId="5A85D3EF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4AC37B79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Etapa</w:t>
            </w:r>
          </w:p>
        </w:tc>
        <w:tc>
          <w:tcPr>
            <w:tcW w:w="6869" w:type="dxa"/>
          </w:tcPr>
          <w:p w14:paraId="4864B523" w14:textId="77E35545" w:rsidR="000113A2" w:rsidRPr="00B20BC3" w:rsidRDefault="00676707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Pendiente decisión sobre los descargos presentados en mayo de 2024</w:t>
            </w:r>
          </w:p>
        </w:tc>
      </w:tr>
      <w:tr w:rsidR="00B20BC3" w:rsidRPr="00B20BC3" w14:paraId="2D6FEC2B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B2057F5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B20BC3">
              <w:rPr>
                <w:rFonts w:ascii="Arial" w:hAnsi="Arial" w:cs="Arial"/>
                <w:b/>
                <w:bCs/>
                <w:lang w:val="es-ES"/>
              </w:rPr>
              <w:t>Fecha última actuación</w:t>
            </w:r>
          </w:p>
        </w:tc>
        <w:tc>
          <w:tcPr>
            <w:tcW w:w="6869" w:type="dxa"/>
          </w:tcPr>
          <w:p w14:paraId="02DB2D92" w14:textId="3D310CDC" w:rsidR="000113A2" w:rsidRPr="00B20BC3" w:rsidRDefault="001949BB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16 de mayo de 2024 (presentación descargos)</w:t>
            </w:r>
          </w:p>
        </w:tc>
      </w:tr>
      <w:tr w:rsidR="00B20BC3" w:rsidRPr="00B20BC3" w14:paraId="66CCD3D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39C3F4F5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B20BC3">
              <w:rPr>
                <w:rFonts w:ascii="Arial" w:hAnsi="Arial" w:cs="Arial"/>
                <w:b/>
                <w:bCs/>
                <w:lang w:val="es-ES"/>
              </w:rPr>
              <w:t>¿Se debe pagar? Fecha de pago oportuna</w:t>
            </w:r>
          </w:p>
        </w:tc>
        <w:tc>
          <w:tcPr>
            <w:tcW w:w="6869" w:type="dxa"/>
          </w:tcPr>
          <w:p w14:paraId="2D99227D" w14:textId="280E7C33" w:rsidR="000113A2" w:rsidRPr="00B20BC3" w:rsidRDefault="00D42704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No.</w:t>
            </w:r>
          </w:p>
        </w:tc>
      </w:tr>
      <w:tr w:rsidR="00B20BC3" w:rsidRPr="00B20BC3" w14:paraId="6DBD3DA3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5AE72B41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Debe demandarse el acto administrativo (Si/No)</w:t>
            </w:r>
          </w:p>
        </w:tc>
        <w:tc>
          <w:tcPr>
            <w:tcW w:w="6869" w:type="dxa"/>
          </w:tcPr>
          <w:p w14:paraId="71734223" w14:textId="1FF645D4" w:rsidR="000113A2" w:rsidRPr="00B20BC3" w:rsidRDefault="00D42704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No</w:t>
            </w:r>
          </w:p>
        </w:tc>
      </w:tr>
      <w:tr w:rsidR="00B20BC3" w:rsidRPr="00B20BC3" w14:paraId="695F609D" w14:textId="77777777" w:rsidTr="00073E45">
        <w:tc>
          <w:tcPr>
            <w:tcW w:w="3114" w:type="dxa"/>
            <w:shd w:val="clear" w:color="auto" w:fill="D9D9D9" w:themeFill="background1" w:themeFillShade="D9"/>
          </w:tcPr>
          <w:p w14:paraId="0FF2790C" w14:textId="77777777" w:rsidR="000113A2" w:rsidRPr="00B20BC3" w:rsidRDefault="000113A2" w:rsidP="00B20BC3">
            <w:pPr>
              <w:jc w:val="both"/>
              <w:rPr>
                <w:rFonts w:ascii="Arial" w:hAnsi="Arial" w:cs="Arial"/>
                <w:b/>
                <w:lang w:val="es-ES_tradnl"/>
              </w:rPr>
            </w:pPr>
            <w:r w:rsidRPr="00B20BC3">
              <w:rPr>
                <w:rFonts w:ascii="Arial" w:hAnsi="Arial" w:cs="Arial"/>
                <w:b/>
                <w:lang w:val="es-ES_tradnl"/>
              </w:rPr>
              <w:t>Argumentos para demandar</w:t>
            </w:r>
          </w:p>
        </w:tc>
        <w:tc>
          <w:tcPr>
            <w:tcW w:w="6869" w:type="dxa"/>
          </w:tcPr>
          <w:p w14:paraId="641A8B50" w14:textId="62980DEA" w:rsidR="000113A2" w:rsidRPr="00B20BC3" w:rsidRDefault="00B20BC3" w:rsidP="00B20BC3">
            <w:pPr>
              <w:jc w:val="both"/>
              <w:rPr>
                <w:rFonts w:ascii="Arial" w:hAnsi="Arial" w:cs="Arial"/>
                <w:lang w:val="es-ES_tradnl"/>
              </w:rPr>
            </w:pPr>
            <w:r w:rsidRPr="00B20BC3">
              <w:rPr>
                <w:rFonts w:ascii="Arial" w:hAnsi="Arial" w:cs="Arial"/>
                <w:lang w:val="es-ES_tradnl"/>
              </w:rPr>
              <w:t>N/A</w:t>
            </w:r>
          </w:p>
        </w:tc>
      </w:tr>
    </w:tbl>
    <w:p w14:paraId="0B0A5E1A" w14:textId="77777777" w:rsidR="000113A2" w:rsidRPr="00B20BC3" w:rsidRDefault="000113A2" w:rsidP="00B20BC3">
      <w:pPr>
        <w:spacing w:after="160"/>
        <w:jc w:val="both"/>
        <w:rPr>
          <w:rFonts w:ascii="Arial" w:hAnsi="Arial" w:cs="Arial"/>
        </w:rPr>
      </w:pPr>
    </w:p>
    <w:p w14:paraId="27C8B09D" w14:textId="77777777" w:rsidR="00FD1141" w:rsidRPr="00B20BC3" w:rsidRDefault="00FD1141" w:rsidP="00B20BC3">
      <w:pPr>
        <w:jc w:val="both"/>
        <w:rPr>
          <w:rFonts w:ascii="Arial" w:hAnsi="Arial" w:cs="Arial"/>
        </w:rPr>
      </w:pPr>
    </w:p>
    <w:sectPr w:rsidR="00FD1141" w:rsidRPr="00B20BC3" w:rsidSect="000113A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3A2"/>
    <w:rsid w:val="000113A2"/>
    <w:rsid w:val="00033865"/>
    <w:rsid w:val="000A3B57"/>
    <w:rsid w:val="000C44E7"/>
    <w:rsid w:val="00144885"/>
    <w:rsid w:val="001518E0"/>
    <w:rsid w:val="00165037"/>
    <w:rsid w:val="001875FF"/>
    <w:rsid w:val="001949BB"/>
    <w:rsid w:val="001F7584"/>
    <w:rsid w:val="002102CF"/>
    <w:rsid w:val="00223372"/>
    <w:rsid w:val="0024616F"/>
    <w:rsid w:val="002827F0"/>
    <w:rsid w:val="002A0828"/>
    <w:rsid w:val="002A6F80"/>
    <w:rsid w:val="002D7106"/>
    <w:rsid w:val="002E4A65"/>
    <w:rsid w:val="002F0344"/>
    <w:rsid w:val="00370F91"/>
    <w:rsid w:val="003D6825"/>
    <w:rsid w:val="004103C6"/>
    <w:rsid w:val="005342E1"/>
    <w:rsid w:val="005A5EDA"/>
    <w:rsid w:val="005D1FB2"/>
    <w:rsid w:val="00676707"/>
    <w:rsid w:val="007A0022"/>
    <w:rsid w:val="007B4916"/>
    <w:rsid w:val="008D2DE1"/>
    <w:rsid w:val="00905EAB"/>
    <w:rsid w:val="00913443"/>
    <w:rsid w:val="00940EAF"/>
    <w:rsid w:val="00A25DBC"/>
    <w:rsid w:val="00A63540"/>
    <w:rsid w:val="00AD2481"/>
    <w:rsid w:val="00B02002"/>
    <w:rsid w:val="00B20BC3"/>
    <w:rsid w:val="00B978D0"/>
    <w:rsid w:val="00BE670B"/>
    <w:rsid w:val="00BF5488"/>
    <w:rsid w:val="00C3713A"/>
    <w:rsid w:val="00CB3129"/>
    <w:rsid w:val="00D366A6"/>
    <w:rsid w:val="00D42704"/>
    <w:rsid w:val="00E14583"/>
    <w:rsid w:val="00EB38E1"/>
    <w:rsid w:val="00EC7D30"/>
    <w:rsid w:val="00F06AB5"/>
    <w:rsid w:val="00F720AA"/>
    <w:rsid w:val="00FD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2FDC2"/>
  <w15:chartTrackingRefBased/>
  <w15:docId w15:val="{FF58EC48-ED1A-4E61-8755-7E431F80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3A2"/>
    <w:pPr>
      <w:spacing w:after="0" w:line="240" w:lineRule="auto"/>
    </w:pPr>
    <w:rPr>
      <w:rFonts w:ascii="Calibri" w:hAnsi="Calibri" w:cs="Calibri"/>
      <w:kern w:val="0"/>
      <w:lang w:eastAsia="es-C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113A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113A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86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3040</Characters>
  <Application>Microsoft Office Word</Application>
  <DocSecurity>0</DocSecurity>
  <Lines>25</Lines>
  <Paragraphs>7</Paragraphs>
  <ScaleCrop>false</ScaleCrop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Nicolas Loaiza Segura</cp:lastModifiedBy>
  <cp:revision>4</cp:revision>
  <dcterms:created xsi:type="dcterms:W3CDTF">2024-06-18T22:10:00Z</dcterms:created>
  <dcterms:modified xsi:type="dcterms:W3CDTF">2024-06-18T22:36:00Z</dcterms:modified>
</cp:coreProperties>
</file>