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76B16" w14:textId="77777777" w:rsidR="00B62D3D" w:rsidRPr="00772D46" w:rsidRDefault="00B62D3D" w:rsidP="00772D46">
      <w:pPr>
        <w:jc w:val="both"/>
        <w:rPr>
          <w:rFonts w:ascii="Arial" w:hAnsi="Arial" w:cs="Arial"/>
        </w:rPr>
      </w:pPr>
      <w:r w:rsidRPr="00772D46">
        <w:rPr>
          <w:rFonts w:ascii="Arial" w:hAnsi="Arial" w:cs="Arial"/>
        </w:rPr>
        <w:t> </w:t>
      </w:r>
    </w:p>
    <w:tbl>
      <w:tblPr>
        <w:tblStyle w:val="Tablaconcuadrcula"/>
        <w:tblW w:w="9983" w:type="dxa"/>
        <w:tblLook w:val="04A0" w:firstRow="1" w:lastRow="0" w:firstColumn="1" w:lastColumn="0" w:noHBand="0" w:noVBand="1"/>
      </w:tblPr>
      <w:tblGrid>
        <w:gridCol w:w="3114"/>
        <w:gridCol w:w="6869"/>
      </w:tblGrid>
      <w:tr w:rsidR="00772D46" w:rsidRPr="00772D46" w14:paraId="3E144BF3" w14:textId="77777777" w:rsidTr="00073E45">
        <w:trPr>
          <w:trHeight w:val="740"/>
        </w:trPr>
        <w:tc>
          <w:tcPr>
            <w:tcW w:w="9983" w:type="dxa"/>
            <w:gridSpan w:val="2"/>
            <w:shd w:val="clear" w:color="auto" w:fill="70AD47" w:themeFill="accent6"/>
          </w:tcPr>
          <w:p w14:paraId="24F3F540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>INFORME PROCESOS INDEMNIZACIONES FIANZAS</w:t>
            </w:r>
          </w:p>
        </w:tc>
      </w:tr>
      <w:tr w:rsidR="00772D46" w:rsidRPr="00772D46" w14:paraId="13EEF6D8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2BB28FDB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>No. de Siniestro</w:t>
            </w:r>
          </w:p>
        </w:tc>
        <w:tc>
          <w:tcPr>
            <w:tcW w:w="6869" w:type="dxa"/>
          </w:tcPr>
          <w:p w14:paraId="7C459195" w14:textId="4AADFC82" w:rsidR="00B62D3D" w:rsidRPr="00772D46" w:rsidRDefault="00772D46" w:rsidP="00772D46">
            <w:pPr>
              <w:jc w:val="both"/>
              <w:rPr>
                <w:rFonts w:ascii="Arial" w:hAnsi="Arial" w:cs="Arial"/>
              </w:rPr>
            </w:pPr>
            <w:r w:rsidRPr="00772D46">
              <w:rPr>
                <w:rFonts w:ascii="Arial" w:hAnsi="Arial" w:cs="Arial"/>
              </w:rPr>
              <w:t>20039</w:t>
            </w:r>
          </w:p>
        </w:tc>
      </w:tr>
      <w:tr w:rsidR="00772D46" w:rsidRPr="00772D46" w14:paraId="287C37C4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51807DBB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>Descripción del proceso</w:t>
            </w:r>
          </w:p>
        </w:tc>
        <w:tc>
          <w:tcPr>
            <w:tcW w:w="6869" w:type="dxa"/>
          </w:tcPr>
          <w:p w14:paraId="496450CA" w14:textId="2AECF187" w:rsidR="00B62D3D" w:rsidRPr="001F5DD3" w:rsidRDefault="009551EE" w:rsidP="00772D46">
            <w:pPr>
              <w:jc w:val="both"/>
              <w:rPr>
                <w:rFonts w:ascii="Arial" w:hAnsi="Arial" w:cs="Arial"/>
                <w:lang w:val="es-ES_tradnl"/>
              </w:rPr>
            </w:pPr>
            <w:r w:rsidRPr="001F5DD3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 xml:space="preserve">Hechos relativos al incumplimiento del Contrato No.1380-1259-2020 de Alianza Fiduciaria vocera y representante del patrimonio autónomo FFIE con el Consorcio </w:t>
            </w:r>
            <w:proofErr w:type="spellStart"/>
            <w:r w:rsidRPr="001F5DD3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>Infraeducativa</w:t>
            </w:r>
            <w:proofErr w:type="spellEnd"/>
            <w:r w:rsidRPr="001F5DD3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>, cuyo objeto era “</w:t>
            </w:r>
            <w:r w:rsidRPr="001F5DD3">
              <w:rPr>
                <w:rFonts w:ascii="Arial" w:hAnsi="Arial" w:cs="Arial"/>
                <w:i/>
                <w:iCs/>
                <w:lang w:val="es-ES_tradnl"/>
              </w:rPr>
              <w:t>Realizar la ejecución de diseños, estudios técnicos y/</w:t>
            </w:r>
            <w:proofErr w:type="spellStart"/>
            <w:r w:rsidRPr="001F5DD3">
              <w:rPr>
                <w:rFonts w:ascii="Arial" w:hAnsi="Arial" w:cs="Arial"/>
                <w:i/>
                <w:iCs/>
                <w:lang w:val="es-ES_tradnl"/>
              </w:rPr>
              <w:t>o</w:t>
            </w:r>
            <w:proofErr w:type="spellEnd"/>
            <w:r w:rsidRPr="001F5DD3">
              <w:rPr>
                <w:rFonts w:ascii="Arial" w:hAnsi="Arial" w:cs="Arial"/>
                <w:i/>
                <w:iCs/>
                <w:lang w:val="es-ES_tradnl"/>
              </w:rPr>
              <w:t xml:space="preserve"> obras de infraestructura educativa requeridos por el Fondo de Financiamiento de la Infraestructura Educativa – FFIE en el </w:t>
            </w:r>
            <w:r w:rsidRPr="001F5DD3">
              <w:rPr>
                <w:rFonts w:ascii="Arial" w:hAnsi="Arial" w:cs="Arial"/>
              </w:rPr>
              <w:t xml:space="preserve">El Rodeo del Municipio de </w:t>
            </w:r>
            <w:proofErr w:type="spellStart"/>
            <w:r w:rsidRPr="001F5DD3">
              <w:rPr>
                <w:rFonts w:ascii="Arial" w:hAnsi="Arial" w:cs="Arial"/>
              </w:rPr>
              <w:t>Lórica</w:t>
            </w:r>
            <w:proofErr w:type="spellEnd"/>
            <w:r w:rsidRPr="001F5DD3">
              <w:rPr>
                <w:rFonts w:ascii="Arial" w:hAnsi="Arial" w:cs="Arial"/>
              </w:rPr>
              <w:t xml:space="preserve"> en Córdoba</w:t>
            </w:r>
            <w:r w:rsidRPr="001F5DD3">
              <w:rPr>
                <w:rFonts w:ascii="Arial" w:hAnsi="Arial" w:cs="Arial"/>
                <w:i/>
                <w:iCs/>
                <w:lang w:val="es-ES_tradnl"/>
              </w:rPr>
              <w:t xml:space="preserve">”; valor del contrato </w:t>
            </w:r>
            <w:r w:rsidRPr="001F5DD3">
              <w:rPr>
                <w:rFonts w:ascii="Arial" w:hAnsi="Arial" w:cs="Arial"/>
              </w:rPr>
              <w:t>$5.394.615.093</w:t>
            </w:r>
            <w:r w:rsidRPr="001F5DD3">
              <w:rPr>
                <w:rFonts w:ascii="Arial" w:hAnsi="Arial" w:cs="Arial"/>
              </w:rPr>
              <w:t>.</w:t>
            </w:r>
            <w:r w:rsidRPr="001F5DD3">
              <w:rPr>
                <w:rFonts w:ascii="Arial" w:hAnsi="Arial" w:cs="Arial"/>
                <w:lang w:val="es-ES_tradnl"/>
              </w:rPr>
              <w:t xml:space="preserve"> De acuerdo con el informe de interventoría, Constructora A&amp;C S.A., de febrero de 2023, el contratista no hizo entrega de la información y documentación para el trámite de liquidación del contrato, solicitada de forma reiterada por dicha interventoría. Debido a lo anterior, el asegurado, la fiduciaria en representación del patrimonio autónomo, solicitó la afectación de la póliza de seguro por $140.478.747 por concepto de cláusula penal. </w:t>
            </w:r>
          </w:p>
        </w:tc>
      </w:tr>
      <w:tr w:rsidR="00772D46" w:rsidRPr="00772D46" w14:paraId="357566D4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407420A3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>Asegurado</w:t>
            </w:r>
          </w:p>
        </w:tc>
        <w:tc>
          <w:tcPr>
            <w:tcW w:w="6869" w:type="dxa"/>
          </w:tcPr>
          <w:p w14:paraId="4214DD2A" w14:textId="0B6777E3" w:rsidR="00B62D3D" w:rsidRPr="00772D46" w:rsidRDefault="00D75D72" w:rsidP="00772D46">
            <w:pPr>
              <w:jc w:val="both"/>
              <w:rPr>
                <w:rFonts w:ascii="Arial" w:hAnsi="Arial" w:cs="Arial"/>
                <w:lang w:val="es-ES_tradnl"/>
              </w:rPr>
            </w:pPr>
            <w:r w:rsidRPr="00772D46">
              <w:rPr>
                <w:rFonts w:ascii="Arial" w:hAnsi="Arial" w:cs="Arial"/>
                <w:lang w:val="es-ES_tradnl"/>
              </w:rPr>
              <w:t>Alianza Fiduciaria S.A.</w:t>
            </w:r>
          </w:p>
        </w:tc>
      </w:tr>
      <w:tr w:rsidR="00772D46" w:rsidRPr="00772D46" w14:paraId="4A2C866B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73F6B34C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>Afianzado</w:t>
            </w:r>
          </w:p>
        </w:tc>
        <w:tc>
          <w:tcPr>
            <w:tcW w:w="6869" w:type="dxa"/>
          </w:tcPr>
          <w:p w14:paraId="5A49541B" w14:textId="0BF31F0A" w:rsidR="00B62D3D" w:rsidRPr="00772D46" w:rsidRDefault="00193178" w:rsidP="00772D46">
            <w:pPr>
              <w:jc w:val="both"/>
              <w:rPr>
                <w:rFonts w:ascii="Arial" w:hAnsi="Arial" w:cs="Arial"/>
                <w:lang w:val="es-ES_tradnl"/>
              </w:rPr>
            </w:pPr>
            <w:r w:rsidRPr="00772D46">
              <w:rPr>
                <w:rFonts w:ascii="Arial" w:hAnsi="Arial" w:cs="Arial"/>
                <w:lang w:val="es-ES_tradnl"/>
              </w:rPr>
              <w:t>Consorcio Educativa 2019</w:t>
            </w:r>
          </w:p>
        </w:tc>
      </w:tr>
      <w:tr w:rsidR="00772D46" w:rsidRPr="00772D46" w14:paraId="49DF49B4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292DA551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>Póliza</w:t>
            </w:r>
          </w:p>
        </w:tc>
        <w:tc>
          <w:tcPr>
            <w:tcW w:w="6869" w:type="dxa"/>
          </w:tcPr>
          <w:p w14:paraId="572BE439" w14:textId="30D08B47" w:rsidR="00B62D3D" w:rsidRPr="00772D46" w:rsidRDefault="00193178" w:rsidP="00772D46">
            <w:pPr>
              <w:jc w:val="both"/>
              <w:rPr>
                <w:rFonts w:ascii="Arial" w:hAnsi="Arial" w:cs="Arial"/>
                <w:lang w:val="es-ES_tradnl"/>
              </w:rPr>
            </w:pPr>
            <w:r w:rsidRPr="00772D46">
              <w:rPr>
                <w:rFonts w:ascii="Arial" w:hAnsi="Arial" w:cs="Arial"/>
                <w:lang w:val="es-ES_tradnl"/>
              </w:rPr>
              <w:t>4001770</w:t>
            </w:r>
          </w:p>
        </w:tc>
      </w:tr>
      <w:tr w:rsidR="00772D46" w:rsidRPr="00772D46" w14:paraId="4A5E74C5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61B66EB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>Ramo</w:t>
            </w:r>
          </w:p>
        </w:tc>
        <w:tc>
          <w:tcPr>
            <w:tcW w:w="6869" w:type="dxa"/>
          </w:tcPr>
          <w:p w14:paraId="344807C2" w14:textId="6F123334" w:rsidR="00B62D3D" w:rsidRPr="00772D46" w:rsidRDefault="00193178" w:rsidP="00772D46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772D46">
              <w:rPr>
                <w:rFonts w:ascii="Arial" w:hAnsi="Arial" w:cs="Arial"/>
                <w:shd w:val="clear" w:color="auto" w:fill="FFFFFF"/>
              </w:rPr>
              <w:t>Cumplimiento</w:t>
            </w:r>
          </w:p>
        </w:tc>
      </w:tr>
      <w:tr w:rsidR="00772D46" w:rsidRPr="00772D46" w14:paraId="4ADD314A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24B2747F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>Coaseguro (Si/No)</w:t>
            </w:r>
          </w:p>
        </w:tc>
        <w:tc>
          <w:tcPr>
            <w:tcW w:w="6869" w:type="dxa"/>
          </w:tcPr>
          <w:p w14:paraId="6D2BF830" w14:textId="371EF228" w:rsidR="00B62D3D" w:rsidRPr="00772D46" w:rsidRDefault="00193178" w:rsidP="00772D46">
            <w:pPr>
              <w:tabs>
                <w:tab w:val="left" w:pos="5740"/>
              </w:tabs>
              <w:jc w:val="both"/>
              <w:rPr>
                <w:rFonts w:ascii="Arial" w:hAnsi="Arial" w:cs="Arial"/>
                <w:lang w:val="es-ES_tradnl"/>
              </w:rPr>
            </w:pPr>
            <w:r w:rsidRPr="00772D46">
              <w:rPr>
                <w:rFonts w:ascii="Arial" w:hAnsi="Arial" w:cs="Arial"/>
                <w:lang w:val="es-ES_tradnl"/>
              </w:rPr>
              <w:t>No</w:t>
            </w:r>
          </w:p>
        </w:tc>
      </w:tr>
      <w:tr w:rsidR="00772D46" w:rsidRPr="00772D46" w14:paraId="3CDECDB0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22B8B46F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>Fecha de inicio del proceso</w:t>
            </w:r>
          </w:p>
        </w:tc>
        <w:tc>
          <w:tcPr>
            <w:tcW w:w="6869" w:type="dxa"/>
          </w:tcPr>
          <w:p w14:paraId="22EEC3EB" w14:textId="7C08A00E" w:rsidR="00B62D3D" w:rsidRPr="00772D46" w:rsidRDefault="000F0ACE" w:rsidP="00772D46">
            <w:pPr>
              <w:tabs>
                <w:tab w:val="left" w:pos="5740"/>
              </w:tabs>
              <w:jc w:val="both"/>
              <w:rPr>
                <w:rFonts w:ascii="Arial" w:hAnsi="Arial" w:cs="Arial"/>
                <w:lang w:val="es-ES_tradnl"/>
              </w:rPr>
            </w:pPr>
            <w:r w:rsidRPr="00772D46">
              <w:rPr>
                <w:rFonts w:ascii="Arial" w:hAnsi="Arial" w:cs="Arial"/>
                <w:lang w:val="es-ES_tradnl"/>
              </w:rPr>
              <w:t>10 de julio de 2023</w:t>
            </w:r>
          </w:p>
        </w:tc>
      </w:tr>
      <w:tr w:rsidR="00772D46" w:rsidRPr="00772D46" w14:paraId="08ED0CE1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4A859F12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 xml:space="preserve">Fecha del siniestro </w:t>
            </w:r>
          </w:p>
        </w:tc>
        <w:tc>
          <w:tcPr>
            <w:tcW w:w="6869" w:type="dxa"/>
          </w:tcPr>
          <w:p w14:paraId="03344FFB" w14:textId="16701438" w:rsidR="00B62D3D" w:rsidRPr="00772D46" w:rsidRDefault="00B273B1" w:rsidP="00772D4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23 </w:t>
            </w:r>
            <w:proofErr w:type="gramStart"/>
            <w:r w:rsidR="00D6593E" w:rsidRPr="00772D46">
              <w:rPr>
                <w:rFonts w:ascii="Arial" w:hAnsi="Arial" w:cs="Arial"/>
                <w:lang w:val="es-ES_tradnl"/>
              </w:rPr>
              <w:t>Febrero</w:t>
            </w:r>
            <w:proofErr w:type="gramEnd"/>
            <w:r w:rsidR="00D6593E" w:rsidRPr="00772D46">
              <w:rPr>
                <w:rFonts w:ascii="Arial" w:hAnsi="Arial" w:cs="Arial"/>
                <w:lang w:val="es-ES_tradnl"/>
              </w:rPr>
              <w:t xml:space="preserve"> de 2023</w:t>
            </w:r>
            <w:r w:rsidR="00740375">
              <w:rPr>
                <w:rFonts w:ascii="Arial" w:hAnsi="Arial" w:cs="Arial"/>
                <w:lang w:val="es-ES_tradnl"/>
              </w:rPr>
              <w:t xml:space="preserve"> (informe de interventoría)</w:t>
            </w:r>
          </w:p>
        </w:tc>
      </w:tr>
      <w:tr w:rsidR="00772D46" w:rsidRPr="00772D46" w14:paraId="3711FB28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0913CC2A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 xml:space="preserve">Amparo afectado (si son varios amparos por favor discriminar) </w:t>
            </w:r>
          </w:p>
        </w:tc>
        <w:tc>
          <w:tcPr>
            <w:tcW w:w="6869" w:type="dxa"/>
          </w:tcPr>
          <w:p w14:paraId="578C291C" w14:textId="382707BE" w:rsidR="00B62D3D" w:rsidRPr="00772D46" w:rsidRDefault="00D6593E" w:rsidP="00772D46">
            <w:pPr>
              <w:jc w:val="both"/>
              <w:rPr>
                <w:rFonts w:ascii="Arial" w:hAnsi="Arial" w:cs="Arial"/>
                <w:lang w:val="es-ES_tradnl"/>
              </w:rPr>
            </w:pPr>
            <w:r w:rsidRPr="00772D46">
              <w:rPr>
                <w:rFonts w:ascii="Arial" w:hAnsi="Arial" w:cs="Arial"/>
                <w:lang w:val="es-ES_tradnl"/>
              </w:rPr>
              <w:t>Cumplimiento</w:t>
            </w:r>
          </w:p>
        </w:tc>
      </w:tr>
      <w:tr w:rsidR="00772D46" w:rsidRPr="00772D46" w14:paraId="738DFF57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47DCF443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>Valor pretensiones: (Si son varios amparos por favor discriminar)</w:t>
            </w:r>
          </w:p>
        </w:tc>
        <w:tc>
          <w:tcPr>
            <w:tcW w:w="6869" w:type="dxa"/>
          </w:tcPr>
          <w:p w14:paraId="02939A2A" w14:textId="52D1F316" w:rsidR="00B62D3D" w:rsidRPr="00772D46" w:rsidRDefault="00F855EB" w:rsidP="00772D46">
            <w:pPr>
              <w:jc w:val="both"/>
              <w:rPr>
                <w:rFonts w:ascii="Arial" w:hAnsi="Arial" w:cs="Arial"/>
                <w:lang w:val="es-ES_tradnl"/>
              </w:rPr>
            </w:pPr>
            <w:r w:rsidRPr="00772D46">
              <w:rPr>
                <w:rFonts w:ascii="Arial" w:hAnsi="Arial" w:cs="Arial"/>
                <w:lang w:val="es-ES_tradnl"/>
              </w:rPr>
              <w:t>$140.478.747</w:t>
            </w:r>
          </w:p>
        </w:tc>
      </w:tr>
      <w:tr w:rsidR="00772D46" w:rsidRPr="00772D46" w14:paraId="3D8D5F1C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2989B4C1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>Valor reserva sugerida abogado (Si son varios amparos por favor discriminar)</w:t>
            </w:r>
          </w:p>
        </w:tc>
        <w:tc>
          <w:tcPr>
            <w:tcW w:w="6869" w:type="dxa"/>
          </w:tcPr>
          <w:p w14:paraId="22E81C2B" w14:textId="414186DB" w:rsidR="00B62D3D" w:rsidRPr="00772D46" w:rsidRDefault="00F855EB" w:rsidP="00772D46">
            <w:pPr>
              <w:pStyle w:val="Default"/>
              <w:jc w:val="both"/>
              <w:rPr>
                <w:color w:val="auto"/>
                <w:sz w:val="22"/>
                <w:szCs w:val="22"/>
                <w:lang w:val="es-ES_tradnl"/>
              </w:rPr>
            </w:pPr>
            <w:r w:rsidRPr="00772D46">
              <w:rPr>
                <w:color w:val="auto"/>
                <w:sz w:val="22"/>
                <w:szCs w:val="22"/>
                <w:lang w:val="es-ES_tradnl"/>
              </w:rPr>
              <w:t>$14.047.</w:t>
            </w:r>
            <w:r w:rsidR="00632BC5" w:rsidRPr="00772D46">
              <w:rPr>
                <w:color w:val="auto"/>
                <w:sz w:val="22"/>
                <w:szCs w:val="22"/>
                <w:lang w:val="es-ES_tradnl"/>
              </w:rPr>
              <w:t>874</w:t>
            </w:r>
          </w:p>
        </w:tc>
      </w:tr>
      <w:tr w:rsidR="00772D46" w:rsidRPr="00772D46" w14:paraId="5DA4EF01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73868591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>Calificación de la contingencia (remoto – eventual – probable)</w:t>
            </w:r>
          </w:p>
        </w:tc>
        <w:tc>
          <w:tcPr>
            <w:tcW w:w="6869" w:type="dxa"/>
          </w:tcPr>
          <w:p w14:paraId="0ABF080F" w14:textId="39A111CC" w:rsidR="00B62D3D" w:rsidRPr="00772D46" w:rsidRDefault="00FB7BA5" w:rsidP="00772D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2D46">
              <w:rPr>
                <w:rFonts w:ascii="Arial" w:hAnsi="Arial" w:cs="Arial"/>
              </w:rPr>
              <w:t>Remota</w:t>
            </w:r>
          </w:p>
        </w:tc>
      </w:tr>
      <w:tr w:rsidR="00772D46" w:rsidRPr="00772D46" w14:paraId="76A9A091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B71E51D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>Motivos de la calificación:</w:t>
            </w:r>
          </w:p>
        </w:tc>
        <w:tc>
          <w:tcPr>
            <w:tcW w:w="6869" w:type="dxa"/>
          </w:tcPr>
          <w:p w14:paraId="4543EB4C" w14:textId="68319540" w:rsidR="006F1FE2" w:rsidRPr="006F1FE2" w:rsidRDefault="006F1FE2" w:rsidP="006F1FE2">
            <w:pPr>
              <w:jc w:val="both"/>
              <w:rPr>
                <w:rFonts w:ascii="Arial" w:hAnsi="Arial" w:cs="Arial"/>
              </w:rPr>
            </w:pPr>
            <w:r w:rsidRPr="006F1FE2">
              <w:rPr>
                <w:rFonts w:ascii="Arial" w:hAnsi="Arial" w:cs="Arial"/>
              </w:rPr>
              <w:t>La contingencia es remota</w:t>
            </w:r>
            <w:r>
              <w:rPr>
                <w:rFonts w:ascii="Arial" w:hAnsi="Arial" w:cs="Arial"/>
              </w:rPr>
              <w:t>. No hay cobertura temporal frente al riesgo de incumplimiento como quiera que la modalidad es de ocurrencia y solo cubre los hechos causados durante la vigencia el 01 de julio de 2020 al 30 de julio de 2022, y el motivo que dio lugar al proceso sancionatorio es el informe de interventoría de</w:t>
            </w:r>
            <w:r w:rsidR="00B273B1">
              <w:rPr>
                <w:rFonts w:ascii="Arial" w:hAnsi="Arial" w:cs="Arial"/>
              </w:rPr>
              <w:t xml:space="preserve"> 23</w:t>
            </w:r>
            <w:r>
              <w:rPr>
                <w:rFonts w:ascii="Arial" w:hAnsi="Arial" w:cs="Arial"/>
              </w:rPr>
              <w:t xml:space="preserve"> febrero de 2023. Por otro lado, no hay cobertura material porque el contrato de seguro excluye expresamente la imposición de cláusula penal y de multas al contratista. Frente al fondo del asunto, </w:t>
            </w:r>
            <w:r w:rsidRPr="007C73FA"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</w:rPr>
              <w:t xml:space="preserve">ha cuestionado </w:t>
            </w:r>
            <w:r w:rsidRPr="007C73FA">
              <w:rPr>
                <w:rFonts w:ascii="Arial" w:hAnsi="Arial" w:cs="Arial"/>
              </w:rPr>
              <w:t xml:space="preserve">la competencia </w:t>
            </w:r>
            <w:r>
              <w:rPr>
                <w:rFonts w:ascii="Arial" w:hAnsi="Arial" w:cs="Arial"/>
              </w:rPr>
              <w:t xml:space="preserve">o facultad </w:t>
            </w:r>
            <w:r w:rsidRPr="007C73FA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 xml:space="preserve">asegurado </w:t>
            </w:r>
            <w:r w:rsidRPr="007C73FA">
              <w:rPr>
                <w:rFonts w:ascii="Arial" w:hAnsi="Arial" w:cs="Arial"/>
              </w:rPr>
              <w:t xml:space="preserve">para </w:t>
            </w:r>
            <w:r>
              <w:rPr>
                <w:rFonts w:ascii="Arial" w:hAnsi="Arial" w:cs="Arial"/>
              </w:rPr>
              <w:t xml:space="preserve">declarar de manera </w:t>
            </w:r>
            <w:r w:rsidRPr="007C73FA">
              <w:rPr>
                <w:rFonts w:ascii="Arial" w:hAnsi="Arial" w:cs="Arial"/>
              </w:rPr>
              <w:t xml:space="preserve">unilateral </w:t>
            </w:r>
            <w:r>
              <w:rPr>
                <w:rFonts w:ascii="Arial" w:hAnsi="Arial" w:cs="Arial"/>
              </w:rPr>
              <w:t xml:space="preserve">el </w:t>
            </w:r>
            <w:r w:rsidRPr="007C73FA">
              <w:rPr>
                <w:rFonts w:ascii="Arial" w:hAnsi="Arial" w:cs="Arial"/>
              </w:rPr>
              <w:t>incumplimiento del contrato</w:t>
            </w:r>
            <w:r>
              <w:rPr>
                <w:rFonts w:ascii="Arial" w:hAnsi="Arial" w:cs="Arial"/>
              </w:rPr>
              <w:t>,</w:t>
            </w:r>
            <w:r w:rsidRPr="007C73FA">
              <w:rPr>
                <w:rFonts w:ascii="Arial" w:hAnsi="Arial" w:cs="Arial"/>
              </w:rPr>
              <w:t xml:space="preserve"> como quiera que </w:t>
            </w:r>
            <w:r>
              <w:rPr>
                <w:rFonts w:ascii="Arial" w:hAnsi="Arial" w:cs="Arial"/>
              </w:rPr>
              <w:t xml:space="preserve">a </w:t>
            </w:r>
            <w:r w:rsidRPr="007C73FA">
              <w:rPr>
                <w:rFonts w:ascii="Arial" w:hAnsi="Arial" w:cs="Arial"/>
              </w:rPr>
              <w:t xml:space="preserve">las partes </w:t>
            </w:r>
            <w:r>
              <w:rPr>
                <w:rFonts w:ascii="Arial" w:hAnsi="Arial" w:cs="Arial"/>
              </w:rPr>
              <w:t xml:space="preserve">no pueden erigirse como juez y parte, lo contrario sería </w:t>
            </w:r>
            <w:r>
              <w:rPr>
                <w:rFonts w:ascii="Arial" w:hAnsi="Arial" w:cs="Arial"/>
              </w:rPr>
              <w:lastRenderedPageBreak/>
              <w:t xml:space="preserve">reconocer indebidamente </w:t>
            </w:r>
            <w:r w:rsidRPr="007C73FA">
              <w:rPr>
                <w:rFonts w:ascii="Arial" w:hAnsi="Arial" w:cs="Arial"/>
              </w:rPr>
              <w:t xml:space="preserve">prerrogativas </w:t>
            </w:r>
            <w:r>
              <w:rPr>
                <w:rFonts w:ascii="Arial" w:hAnsi="Arial" w:cs="Arial"/>
              </w:rPr>
              <w:t>exorbitantes</w:t>
            </w:r>
            <w:r w:rsidRPr="007C73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Por último, el contrato en comento fue terminado anticipadamente por las partes, mucho antes del informe de interventoría señalado, </w:t>
            </w:r>
            <w:r w:rsidRPr="006F1FE2">
              <w:rPr>
                <w:rFonts w:ascii="Arial" w:hAnsi="Arial" w:cs="Arial"/>
              </w:rPr>
              <w:t>por lo que no habría lugar a declarar responsabilidad alguna en cabeza del contratista con fundamento en el Contrato de Obra No. 1380-1259-2020.</w:t>
            </w:r>
          </w:p>
          <w:p w14:paraId="7B6F44A6" w14:textId="275F58EF" w:rsidR="00B62D3D" w:rsidRPr="006F1FE2" w:rsidRDefault="00B62D3D" w:rsidP="00772D46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772D46" w:rsidRPr="00772D46" w14:paraId="35AA02A8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6481DC13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lastRenderedPageBreak/>
              <w:t xml:space="preserve">Resumen de la contingencia: </w:t>
            </w:r>
          </w:p>
        </w:tc>
        <w:tc>
          <w:tcPr>
            <w:tcW w:w="6869" w:type="dxa"/>
          </w:tcPr>
          <w:p w14:paraId="64E4B96A" w14:textId="63C207FD" w:rsidR="00B62D3D" w:rsidRPr="00772D46" w:rsidRDefault="003353B2" w:rsidP="00772D46">
            <w:pPr>
              <w:jc w:val="both"/>
              <w:rPr>
                <w:rFonts w:ascii="Arial" w:hAnsi="Arial" w:cs="Arial"/>
                <w:lang w:val="es-ES_tradnl"/>
              </w:rPr>
            </w:pPr>
            <w:r w:rsidRPr="00772D46">
              <w:rPr>
                <w:rFonts w:ascii="Arial" w:hAnsi="Arial" w:cs="Arial"/>
                <w:lang w:val="es-ES_tradnl"/>
              </w:rPr>
              <w:t xml:space="preserve">La Póliza No. 4001770 no presta cobertura temporal ni material, y no se ha probado el </w:t>
            </w:r>
            <w:r w:rsidR="00353131" w:rsidRPr="00772D46">
              <w:rPr>
                <w:rFonts w:ascii="Arial" w:hAnsi="Arial" w:cs="Arial"/>
                <w:lang w:val="es-ES_tradnl"/>
              </w:rPr>
              <w:t xml:space="preserve">incumplimiento del contratista, máxime cuando el contrato ya se terminó de forma anticipada. </w:t>
            </w:r>
          </w:p>
        </w:tc>
      </w:tr>
      <w:tr w:rsidR="00772D46" w:rsidRPr="00772D46" w14:paraId="3943D92E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5634B721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>Posición del contratista</w:t>
            </w:r>
          </w:p>
        </w:tc>
        <w:tc>
          <w:tcPr>
            <w:tcW w:w="6869" w:type="dxa"/>
          </w:tcPr>
          <w:p w14:paraId="3F624D7F" w14:textId="31093972" w:rsidR="00B62D3D" w:rsidRPr="00772D46" w:rsidRDefault="00E228FC" w:rsidP="00772D46">
            <w:pPr>
              <w:jc w:val="both"/>
              <w:rPr>
                <w:rFonts w:ascii="Arial" w:hAnsi="Arial" w:cs="Arial"/>
                <w:lang w:val="es-ES_tradnl"/>
              </w:rPr>
            </w:pPr>
            <w:r w:rsidRPr="00772D46">
              <w:rPr>
                <w:rFonts w:ascii="Arial" w:hAnsi="Arial" w:cs="Arial"/>
                <w:lang w:val="es-ES_tradnl"/>
              </w:rPr>
              <w:t xml:space="preserve">Manifestó en sus descargos la </w:t>
            </w:r>
            <w:r w:rsidR="004B3982" w:rsidRPr="00772D46">
              <w:rPr>
                <w:rFonts w:ascii="Arial" w:hAnsi="Arial" w:cs="Arial"/>
                <w:lang w:val="es-ES_tradnl"/>
              </w:rPr>
              <w:t xml:space="preserve">violación del debido proceso por la falta de una notificación eficaz y la falta de competencia para de adelantar este proceso cuando el contrato fue terminado de forma anticipada. </w:t>
            </w:r>
          </w:p>
        </w:tc>
      </w:tr>
      <w:tr w:rsidR="00772D46" w:rsidRPr="00772D46" w14:paraId="5C7A4DB1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7AEF7D98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>Etapa</w:t>
            </w:r>
          </w:p>
        </w:tc>
        <w:tc>
          <w:tcPr>
            <w:tcW w:w="6869" w:type="dxa"/>
          </w:tcPr>
          <w:p w14:paraId="50B21FC9" w14:textId="6CA25AAF" w:rsidR="00B62D3D" w:rsidRPr="00772D46" w:rsidRDefault="002D0797" w:rsidP="00772D46">
            <w:pPr>
              <w:jc w:val="both"/>
              <w:rPr>
                <w:rFonts w:ascii="Arial" w:hAnsi="Arial" w:cs="Arial"/>
                <w:lang w:val="es-ES_tradnl"/>
              </w:rPr>
            </w:pPr>
            <w:r w:rsidRPr="00772D46">
              <w:rPr>
                <w:rFonts w:ascii="Arial" w:hAnsi="Arial" w:cs="Arial"/>
                <w:lang w:val="es-ES_tradnl"/>
              </w:rPr>
              <w:t xml:space="preserve">En etapa de </w:t>
            </w:r>
            <w:r w:rsidR="00E228FC" w:rsidRPr="00772D46">
              <w:rPr>
                <w:rFonts w:ascii="Arial" w:hAnsi="Arial" w:cs="Arial"/>
                <w:lang w:val="es-ES_tradnl"/>
              </w:rPr>
              <w:t xml:space="preserve">decisión de acuerdo con </w:t>
            </w:r>
            <w:r w:rsidRPr="00772D46">
              <w:rPr>
                <w:rFonts w:ascii="Arial" w:hAnsi="Arial" w:cs="Arial"/>
                <w:lang w:val="es-ES_tradnl"/>
              </w:rPr>
              <w:t>descargos</w:t>
            </w:r>
            <w:r w:rsidR="00E228FC" w:rsidRPr="00772D46">
              <w:rPr>
                <w:rFonts w:ascii="Arial" w:hAnsi="Arial" w:cs="Arial"/>
                <w:lang w:val="es-ES_tradnl"/>
              </w:rPr>
              <w:t xml:space="preserve"> presentados</w:t>
            </w:r>
          </w:p>
        </w:tc>
      </w:tr>
      <w:tr w:rsidR="00772D46" w:rsidRPr="00772D46" w14:paraId="5A9AD727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5B0359D0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772D46">
              <w:rPr>
                <w:rFonts w:ascii="Arial" w:hAnsi="Arial" w:cs="Arial"/>
                <w:b/>
                <w:bCs/>
                <w:lang w:val="es-ES"/>
              </w:rPr>
              <w:t>Fecha última actuación</w:t>
            </w:r>
          </w:p>
        </w:tc>
        <w:tc>
          <w:tcPr>
            <w:tcW w:w="6869" w:type="dxa"/>
          </w:tcPr>
          <w:p w14:paraId="2A996A96" w14:textId="0F553F7D" w:rsidR="00B62D3D" w:rsidRPr="00772D46" w:rsidRDefault="002D0797" w:rsidP="00772D46">
            <w:pPr>
              <w:jc w:val="both"/>
              <w:rPr>
                <w:rFonts w:ascii="Arial" w:hAnsi="Arial" w:cs="Arial"/>
                <w:lang w:val="es-ES_tradnl"/>
              </w:rPr>
            </w:pPr>
            <w:r w:rsidRPr="00772D46">
              <w:rPr>
                <w:rFonts w:ascii="Arial" w:hAnsi="Arial" w:cs="Arial"/>
                <w:lang w:val="es-ES_tradnl"/>
              </w:rPr>
              <w:t>17 de julio de 2023 (presentación de descargos)</w:t>
            </w:r>
          </w:p>
        </w:tc>
      </w:tr>
      <w:tr w:rsidR="00772D46" w:rsidRPr="00772D46" w14:paraId="5AFC457E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013CEB22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772D46">
              <w:rPr>
                <w:rFonts w:ascii="Arial" w:hAnsi="Arial" w:cs="Arial"/>
                <w:b/>
                <w:bCs/>
                <w:lang w:val="es-ES"/>
              </w:rPr>
              <w:t>¿Se debe pagar? Fecha de pago oportuna</w:t>
            </w:r>
          </w:p>
        </w:tc>
        <w:tc>
          <w:tcPr>
            <w:tcW w:w="6869" w:type="dxa"/>
          </w:tcPr>
          <w:p w14:paraId="19152369" w14:textId="17821225" w:rsidR="00B62D3D" w:rsidRPr="00772D46" w:rsidRDefault="004F768E" w:rsidP="00772D46">
            <w:pPr>
              <w:jc w:val="both"/>
              <w:rPr>
                <w:rFonts w:ascii="Arial" w:hAnsi="Arial" w:cs="Arial"/>
                <w:lang w:val="es-ES_tradnl"/>
              </w:rPr>
            </w:pPr>
            <w:r w:rsidRPr="00772D46">
              <w:rPr>
                <w:rFonts w:ascii="Arial" w:hAnsi="Arial" w:cs="Arial"/>
                <w:lang w:val="es-ES_tradnl"/>
              </w:rPr>
              <w:t>No</w:t>
            </w:r>
          </w:p>
        </w:tc>
      </w:tr>
      <w:tr w:rsidR="00772D46" w:rsidRPr="00772D46" w14:paraId="525B5687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B02C9A8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>Debe demandarse el acto administrativo (Si/No)</w:t>
            </w:r>
          </w:p>
        </w:tc>
        <w:tc>
          <w:tcPr>
            <w:tcW w:w="6869" w:type="dxa"/>
          </w:tcPr>
          <w:p w14:paraId="54FEE9C7" w14:textId="7000CC55" w:rsidR="00B62D3D" w:rsidRPr="00772D46" w:rsidRDefault="004F768E" w:rsidP="00772D46">
            <w:pPr>
              <w:jc w:val="both"/>
              <w:rPr>
                <w:rFonts w:ascii="Arial" w:hAnsi="Arial" w:cs="Arial"/>
                <w:lang w:val="es-ES_tradnl"/>
              </w:rPr>
            </w:pPr>
            <w:r w:rsidRPr="00772D46">
              <w:rPr>
                <w:rFonts w:ascii="Arial" w:hAnsi="Arial" w:cs="Arial"/>
                <w:lang w:val="es-ES_tradnl"/>
              </w:rPr>
              <w:t>Aún no existe un acto administrativo</w:t>
            </w:r>
            <w:r w:rsidR="00FD3B7B" w:rsidRPr="00772D46">
              <w:rPr>
                <w:rFonts w:ascii="Arial" w:hAnsi="Arial" w:cs="Arial"/>
                <w:lang w:val="es-ES_tradnl"/>
              </w:rPr>
              <w:t xml:space="preserve"> que declare el incumplimiento contractual y declare el siniestro</w:t>
            </w:r>
            <w:r w:rsidR="00D37883">
              <w:rPr>
                <w:rFonts w:ascii="Arial" w:hAnsi="Arial" w:cs="Arial"/>
                <w:lang w:val="es-ES_tradnl"/>
              </w:rPr>
              <w:t xml:space="preserve">. </w:t>
            </w:r>
          </w:p>
        </w:tc>
      </w:tr>
      <w:tr w:rsidR="00772D46" w:rsidRPr="00772D46" w14:paraId="2DD4EFDD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5134DB7" w14:textId="77777777" w:rsidR="00B62D3D" w:rsidRPr="00772D46" w:rsidRDefault="00B62D3D" w:rsidP="00772D46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72D46">
              <w:rPr>
                <w:rFonts w:ascii="Arial" w:hAnsi="Arial" w:cs="Arial"/>
                <w:b/>
                <w:lang w:val="es-ES_tradnl"/>
              </w:rPr>
              <w:t>Argumentos para demandar</w:t>
            </w:r>
          </w:p>
        </w:tc>
        <w:tc>
          <w:tcPr>
            <w:tcW w:w="6869" w:type="dxa"/>
          </w:tcPr>
          <w:p w14:paraId="209922B3" w14:textId="2223DC35" w:rsidR="00B62D3D" w:rsidRPr="00772D46" w:rsidRDefault="00772D46" w:rsidP="00772D46">
            <w:pPr>
              <w:jc w:val="both"/>
              <w:rPr>
                <w:rFonts w:ascii="Arial" w:hAnsi="Arial" w:cs="Arial"/>
                <w:lang w:val="es-ES_tradnl"/>
              </w:rPr>
            </w:pPr>
            <w:r w:rsidRPr="00772D46">
              <w:rPr>
                <w:rFonts w:ascii="Arial" w:hAnsi="Arial" w:cs="Arial"/>
                <w:lang w:val="es-ES_tradnl"/>
              </w:rPr>
              <w:t>N/A</w:t>
            </w:r>
          </w:p>
        </w:tc>
      </w:tr>
    </w:tbl>
    <w:p w14:paraId="5D02CC06" w14:textId="77777777" w:rsidR="00B62D3D" w:rsidRPr="00772D46" w:rsidRDefault="00B62D3D" w:rsidP="00772D46">
      <w:pPr>
        <w:spacing w:after="160"/>
        <w:jc w:val="both"/>
        <w:rPr>
          <w:rFonts w:ascii="Arial" w:hAnsi="Arial" w:cs="Arial"/>
        </w:rPr>
      </w:pPr>
    </w:p>
    <w:p w14:paraId="4F59DABF" w14:textId="77777777" w:rsidR="00FD1141" w:rsidRPr="00772D46" w:rsidRDefault="00FD1141" w:rsidP="00772D46">
      <w:pPr>
        <w:jc w:val="both"/>
        <w:rPr>
          <w:rFonts w:ascii="Arial" w:hAnsi="Arial" w:cs="Arial"/>
        </w:rPr>
      </w:pPr>
    </w:p>
    <w:sectPr w:rsidR="00FD1141" w:rsidRPr="00772D46" w:rsidSect="00B62D3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9AADE" w14:textId="77777777" w:rsidR="007E431D" w:rsidRDefault="007E431D" w:rsidP="009551EE">
      <w:r>
        <w:separator/>
      </w:r>
    </w:p>
  </w:endnote>
  <w:endnote w:type="continuationSeparator" w:id="0">
    <w:p w14:paraId="4E708565" w14:textId="77777777" w:rsidR="007E431D" w:rsidRDefault="007E431D" w:rsidP="0095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EB6EF" w14:textId="77777777" w:rsidR="007E431D" w:rsidRDefault="007E431D" w:rsidP="009551EE">
      <w:r>
        <w:separator/>
      </w:r>
    </w:p>
  </w:footnote>
  <w:footnote w:type="continuationSeparator" w:id="0">
    <w:p w14:paraId="2610FDE4" w14:textId="77777777" w:rsidR="007E431D" w:rsidRDefault="007E431D" w:rsidP="0095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94EB" w14:textId="52F286E9" w:rsidR="009551EE" w:rsidRPr="009551EE" w:rsidRDefault="009551EE" w:rsidP="009551EE">
    <w:pPr>
      <w:pStyle w:val="Encabezado"/>
      <w:jc w:val="center"/>
      <w:rPr>
        <w:b/>
        <w:bCs/>
      </w:rPr>
    </w:pPr>
    <w:r w:rsidRPr="009551EE">
      <w:rPr>
        <w:b/>
        <w:bCs/>
      </w:rPr>
      <w:t>INFORMES PROCESOS INDEMNIZACIONES PRESENTADO POR GHA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3D"/>
    <w:rsid w:val="000F0ACE"/>
    <w:rsid w:val="00193178"/>
    <w:rsid w:val="001F5DD3"/>
    <w:rsid w:val="002D0797"/>
    <w:rsid w:val="003353B2"/>
    <w:rsid w:val="00353131"/>
    <w:rsid w:val="004B3982"/>
    <w:rsid w:val="004F768E"/>
    <w:rsid w:val="00632BC5"/>
    <w:rsid w:val="00651815"/>
    <w:rsid w:val="006F1FE2"/>
    <w:rsid w:val="00737CD7"/>
    <w:rsid w:val="00740375"/>
    <w:rsid w:val="00772D46"/>
    <w:rsid w:val="007A0022"/>
    <w:rsid w:val="007E431D"/>
    <w:rsid w:val="008E7852"/>
    <w:rsid w:val="00913443"/>
    <w:rsid w:val="009551EE"/>
    <w:rsid w:val="00A643DA"/>
    <w:rsid w:val="00AD2481"/>
    <w:rsid w:val="00AF155B"/>
    <w:rsid w:val="00B273B1"/>
    <w:rsid w:val="00B62D3D"/>
    <w:rsid w:val="00D37883"/>
    <w:rsid w:val="00D6593E"/>
    <w:rsid w:val="00D75D72"/>
    <w:rsid w:val="00E228FC"/>
    <w:rsid w:val="00F855EB"/>
    <w:rsid w:val="00FB7BA5"/>
    <w:rsid w:val="00FD1141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D861"/>
  <w15:chartTrackingRefBased/>
  <w15:docId w15:val="{B2436A61-90EE-4AB0-9B18-EA4CD51C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D3D"/>
    <w:pPr>
      <w:spacing w:after="0" w:line="240" w:lineRule="auto"/>
    </w:pPr>
    <w:rPr>
      <w:rFonts w:ascii="Calibri" w:hAnsi="Calibri" w:cs="Calibri"/>
      <w:kern w:val="0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2D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2D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551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1EE"/>
    <w:rPr>
      <w:rFonts w:ascii="Calibri" w:hAnsi="Calibri" w:cs="Calibri"/>
      <w:kern w:val="0"/>
      <w:lang w:eastAsia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551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EE"/>
    <w:rPr>
      <w:rFonts w:ascii="Calibri" w:hAnsi="Calibri" w:cs="Calibri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Nicolas Loaiza Segura</cp:lastModifiedBy>
  <cp:revision>2</cp:revision>
  <dcterms:created xsi:type="dcterms:W3CDTF">2024-06-18T21:32:00Z</dcterms:created>
  <dcterms:modified xsi:type="dcterms:W3CDTF">2024-06-18T21:32:00Z</dcterms:modified>
</cp:coreProperties>
</file>