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FF0E1" w14:textId="77777777" w:rsidR="00481C74" w:rsidRPr="00897AD1" w:rsidRDefault="002C24FB" w:rsidP="00C977AE">
      <w:pPr>
        <w:spacing w:line="240" w:lineRule="auto"/>
        <w:jc w:val="center"/>
        <w:rPr>
          <w:rFonts w:ascii="Times New Roman" w:eastAsia="Times New Roman" w:hAnsi="Times New Roman" w:cs="Times New Roman"/>
          <w:b/>
          <w:sz w:val="28"/>
          <w:szCs w:val="28"/>
        </w:rPr>
      </w:pPr>
      <w:r w:rsidRPr="00897AD1">
        <w:rPr>
          <w:rFonts w:ascii="Times New Roman" w:eastAsia="Times New Roman" w:hAnsi="Times New Roman" w:cs="Times New Roman"/>
          <w:b/>
          <w:sz w:val="28"/>
          <w:szCs w:val="28"/>
        </w:rPr>
        <w:t>REPÚBLICA DE COLOMBIA</w:t>
      </w:r>
    </w:p>
    <w:p w14:paraId="672A6659" w14:textId="77777777" w:rsidR="00481C74" w:rsidRPr="00897AD1" w:rsidRDefault="00481C74" w:rsidP="00C977AE">
      <w:pPr>
        <w:spacing w:line="240" w:lineRule="auto"/>
        <w:jc w:val="center"/>
        <w:rPr>
          <w:rFonts w:ascii="Times New Roman" w:eastAsia="Times New Roman" w:hAnsi="Times New Roman" w:cs="Times New Roman"/>
          <w:b/>
          <w:sz w:val="28"/>
          <w:szCs w:val="28"/>
        </w:rPr>
      </w:pPr>
    </w:p>
    <w:p w14:paraId="0A37501D" w14:textId="77777777" w:rsidR="00481C74" w:rsidRPr="00897AD1" w:rsidRDefault="002C24FB" w:rsidP="00C977AE">
      <w:pPr>
        <w:spacing w:line="240" w:lineRule="auto"/>
        <w:jc w:val="center"/>
        <w:rPr>
          <w:rFonts w:ascii="Times New Roman" w:eastAsia="Times New Roman" w:hAnsi="Times New Roman" w:cs="Times New Roman"/>
          <w:b/>
          <w:sz w:val="28"/>
          <w:szCs w:val="28"/>
        </w:rPr>
      </w:pPr>
      <w:r w:rsidRPr="00897AD1">
        <w:rPr>
          <w:rFonts w:ascii="Times New Roman" w:eastAsia="Times New Roman" w:hAnsi="Times New Roman" w:cs="Times New Roman"/>
          <w:b/>
          <w:noProof/>
          <w:sz w:val="28"/>
          <w:szCs w:val="28"/>
          <w:lang w:val="es-CO" w:eastAsia="es-CO"/>
        </w:rPr>
        <w:drawing>
          <wp:inline distT="114300" distB="114300" distL="114300" distR="114300" wp14:anchorId="546F6265" wp14:editId="07777777">
            <wp:extent cx="787400" cy="787400"/>
            <wp:effectExtent l="0" t="0" r="0" b="0"/>
            <wp:docPr id="1" name="image1.jpg" descr="Logotipo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Descripción generada automáticamente"/>
                    <pic:cNvPicPr preferRelativeResize="0"/>
                  </pic:nvPicPr>
                  <pic:blipFill>
                    <a:blip r:embed="rId8"/>
                    <a:srcRect/>
                    <a:stretch>
                      <a:fillRect/>
                    </a:stretch>
                  </pic:blipFill>
                  <pic:spPr>
                    <a:xfrm>
                      <a:off x="0" y="0"/>
                      <a:ext cx="787400" cy="787400"/>
                    </a:xfrm>
                    <a:prstGeom prst="rect">
                      <a:avLst/>
                    </a:prstGeom>
                    <a:ln/>
                  </pic:spPr>
                </pic:pic>
              </a:graphicData>
            </a:graphic>
          </wp:inline>
        </w:drawing>
      </w:r>
    </w:p>
    <w:p w14:paraId="22FA162C" w14:textId="77777777" w:rsidR="00481C74" w:rsidRPr="00897AD1" w:rsidRDefault="002C24FB" w:rsidP="00C977AE">
      <w:pPr>
        <w:spacing w:line="240" w:lineRule="auto"/>
        <w:jc w:val="center"/>
        <w:rPr>
          <w:rFonts w:ascii="Times New Roman" w:eastAsia="Times New Roman" w:hAnsi="Times New Roman" w:cs="Times New Roman"/>
          <w:b/>
          <w:sz w:val="28"/>
          <w:szCs w:val="28"/>
        </w:rPr>
      </w:pPr>
      <w:r w:rsidRPr="00897AD1">
        <w:rPr>
          <w:rFonts w:ascii="Times New Roman" w:eastAsia="Times New Roman" w:hAnsi="Times New Roman" w:cs="Times New Roman"/>
          <w:b/>
          <w:sz w:val="28"/>
          <w:szCs w:val="28"/>
        </w:rPr>
        <w:t xml:space="preserve">CORTE CONSTITUCIONAL </w:t>
      </w:r>
    </w:p>
    <w:p w14:paraId="0DAFACDD" w14:textId="77777777" w:rsidR="00481C74" w:rsidRPr="00897AD1" w:rsidRDefault="002C24FB" w:rsidP="00C977AE">
      <w:pPr>
        <w:spacing w:line="240" w:lineRule="auto"/>
        <w:jc w:val="center"/>
        <w:rPr>
          <w:rFonts w:ascii="Times New Roman" w:eastAsia="Times New Roman" w:hAnsi="Times New Roman" w:cs="Times New Roman"/>
          <w:b/>
          <w:sz w:val="28"/>
          <w:szCs w:val="28"/>
        </w:rPr>
      </w:pPr>
      <w:r w:rsidRPr="00897AD1">
        <w:rPr>
          <w:rFonts w:ascii="Times New Roman" w:eastAsia="Times New Roman" w:hAnsi="Times New Roman" w:cs="Times New Roman"/>
          <w:b/>
          <w:sz w:val="28"/>
          <w:szCs w:val="28"/>
        </w:rPr>
        <w:t xml:space="preserve">SALA PLENA </w:t>
      </w:r>
    </w:p>
    <w:p w14:paraId="5DAB6C7B" w14:textId="77777777" w:rsidR="00481C74" w:rsidRPr="00897AD1" w:rsidRDefault="00481C74" w:rsidP="00C977AE">
      <w:pPr>
        <w:spacing w:line="240" w:lineRule="auto"/>
        <w:jc w:val="center"/>
        <w:rPr>
          <w:rFonts w:ascii="Times New Roman" w:eastAsia="Times New Roman" w:hAnsi="Times New Roman" w:cs="Times New Roman"/>
          <w:b/>
          <w:sz w:val="28"/>
          <w:szCs w:val="28"/>
        </w:rPr>
      </w:pPr>
    </w:p>
    <w:p w14:paraId="2ABCDF5D" w14:textId="06751C27" w:rsidR="00481C74" w:rsidRPr="00897AD1" w:rsidRDefault="002C24FB" w:rsidP="00C977AE">
      <w:pPr>
        <w:spacing w:line="240" w:lineRule="auto"/>
        <w:jc w:val="center"/>
        <w:rPr>
          <w:rFonts w:ascii="Times New Roman" w:eastAsia="Times New Roman" w:hAnsi="Times New Roman" w:cs="Times New Roman"/>
          <w:b/>
          <w:sz w:val="28"/>
          <w:szCs w:val="28"/>
        </w:rPr>
      </w:pPr>
      <w:r w:rsidRPr="00897AD1">
        <w:rPr>
          <w:rFonts w:ascii="Times New Roman" w:eastAsia="Times New Roman" w:hAnsi="Times New Roman" w:cs="Times New Roman"/>
          <w:b/>
          <w:sz w:val="28"/>
          <w:szCs w:val="28"/>
        </w:rPr>
        <w:t xml:space="preserve">AUTO </w:t>
      </w:r>
      <w:r w:rsidR="00C06740">
        <w:rPr>
          <w:rFonts w:ascii="Times New Roman" w:eastAsia="Times New Roman" w:hAnsi="Times New Roman" w:cs="Times New Roman"/>
          <w:b/>
          <w:sz w:val="28"/>
          <w:szCs w:val="28"/>
        </w:rPr>
        <w:t>1168</w:t>
      </w:r>
      <w:r w:rsidR="000B089E">
        <w:rPr>
          <w:rFonts w:ascii="Times New Roman" w:eastAsia="Times New Roman" w:hAnsi="Times New Roman" w:cs="Times New Roman"/>
          <w:b/>
          <w:sz w:val="28"/>
          <w:szCs w:val="28"/>
        </w:rPr>
        <w:t xml:space="preserve"> DE 2024</w:t>
      </w:r>
    </w:p>
    <w:p w14:paraId="02EB378F" w14:textId="77777777" w:rsidR="00481C74" w:rsidRPr="00897AD1" w:rsidRDefault="00481C74" w:rsidP="00C977AE">
      <w:pPr>
        <w:spacing w:line="240" w:lineRule="auto"/>
        <w:jc w:val="center"/>
        <w:rPr>
          <w:rFonts w:ascii="Times New Roman" w:eastAsia="Times New Roman" w:hAnsi="Times New Roman" w:cs="Times New Roman"/>
          <w:b/>
          <w:sz w:val="28"/>
          <w:szCs w:val="28"/>
        </w:rPr>
      </w:pPr>
    </w:p>
    <w:p w14:paraId="03C8A5B0" w14:textId="77777777" w:rsidR="00481C74" w:rsidRPr="00897AD1" w:rsidRDefault="002C24FB" w:rsidP="00C902F4">
      <w:pPr>
        <w:spacing w:line="240" w:lineRule="auto"/>
        <w:ind w:left="720"/>
        <w:rPr>
          <w:rFonts w:ascii="Times New Roman" w:eastAsia="Times New Roman" w:hAnsi="Times New Roman" w:cs="Times New Roman"/>
          <w:b/>
          <w:sz w:val="28"/>
          <w:szCs w:val="28"/>
        </w:rPr>
      </w:pPr>
      <w:r w:rsidRPr="00897AD1">
        <w:rPr>
          <w:rFonts w:ascii="Times New Roman" w:eastAsia="Times New Roman" w:hAnsi="Times New Roman" w:cs="Times New Roman"/>
          <w:b/>
          <w:sz w:val="28"/>
          <w:szCs w:val="28"/>
        </w:rPr>
        <w:tab/>
      </w:r>
      <w:r w:rsidRPr="00897AD1">
        <w:rPr>
          <w:rFonts w:ascii="Times New Roman" w:eastAsia="Times New Roman" w:hAnsi="Times New Roman" w:cs="Times New Roman"/>
          <w:b/>
          <w:sz w:val="28"/>
          <w:szCs w:val="28"/>
        </w:rPr>
        <w:tab/>
      </w:r>
      <w:r w:rsidRPr="00897AD1">
        <w:rPr>
          <w:rFonts w:ascii="Times New Roman" w:eastAsia="Times New Roman" w:hAnsi="Times New Roman" w:cs="Times New Roman"/>
          <w:b/>
          <w:sz w:val="28"/>
          <w:szCs w:val="28"/>
        </w:rPr>
        <w:tab/>
      </w:r>
      <w:r w:rsidRPr="00897AD1">
        <w:rPr>
          <w:rFonts w:ascii="Times New Roman" w:eastAsia="Times New Roman" w:hAnsi="Times New Roman" w:cs="Times New Roman"/>
          <w:b/>
          <w:sz w:val="28"/>
          <w:szCs w:val="28"/>
        </w:rPr>
        <w:tab/>
      </w:r>
      <w:r w:rsidRPr="00897AD1">
        <w:rPr>
          <w:rFonts w:ascii="Times New Roman" w:eastAsia="Times New Roman" w:hAnsi="Times New Roman" w:cs="Times New Roman"/>
          <w:b/>
          <w:sz w:val="28"/>
          <w:szCs w:val="28"/>
        </w:rPr>
        <w:tab/>
        <w:t>Ref.: CJU-5512</w:t>
      </w:r>
    </w:p>
    <w:p w14:paraId="6A05A809" w14:textId="77777777" w:rsidR="00481C74" w:rsidRPr="00897AD1" w:rsidRDefault="00481C74" w:rsidP="00C902F4">
      <w:pPr>
        <w:spacing w:line="240" w:lineRule="auto"/>
        <w:ind w:left="720"/>
        <w:rPr>
          <w:rFonts w:ascii="Times New Roman" w:eastAsia="Times New Roman" w:hAnsi="Times New Roman" w:cs="Times New Roman"/>
          <w:b/>
          <w:sz w:val="28"/>
          <w:szCs w:val="28"/>
        </w:rPr>
      </w:pPr>
    </w:p>
    <w:p w14:paraId="5A39BBE3" w14:textId="77777777" w:rsidR="00481C74" w:rsidRPr="00897AD1" w:rsidRDefault="00481C74" w:rsidP="00C902F4">
      <w:pPr>
        <w:spacing w:line="240" w:lineRule="auto"/>
        <w:ind w:left="720"/>
        <w:jc w:val="center"/>
        <w:rPr>
          <w:rFonts w:ascii="Times New Roman" w:eastAsia="Times New Roman" w:hAnsi="Times New Roman" w:cs="Times New Roman"/>
          <w:b/>
          <w:sz w:val="28"/>
          <w:szCs w:val="28"/>
        </w:rPr>
      </w:pPr>
    </w:p>
    <w:p w14:paraId="132B518B" w14:textId="77777777" w:rsidR="00481C74" w:rsidRPr="00897AD1" w:rsidRDefault="002C24FB" w:rsidP="00C902F4">
      <w:pPr>
        <w:spacing w:line="240" w:lineRule="auto"/>
        <w:ind w:left="4320"/>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Conflicto de jurisdicciones suscitado entre el Tribunal Administrativo de Boyacá y el Juzgado Tercero Civil del Circuito de Oralidad de Tunja</w:t>
      </w:r>
    </w:p>
    <w:p w14:paraId="41C8F396" w14:textId="77777777" w:rsidR="00481C74" w:rsidRPr="00897AD1" w:rsidRDefault="00481C74" w:rsidP="00C902F4">
      <w:pPr>
        <w:spacing w:line="240" w:lineRule="auto"/>
        <w:ind w:left="4320"/>
        <w:jc w:val="both"/>
        <w:rPr>
          <w:rFonts w:ascii="Times New Roman" w:eastAsia="Times New Roman" w:hAnsi="Times New Roman" w:cs="Times New Roman"/>
          <w:sz w:val="28"/>
          <w:szCs w:val="28"/>
        </w:rPr>
      </w:pPr>
    </w:p>
    <w:p w14:paraId="51846206" w14:textId="77777777" w:rsidR="00481C74" w:rsidRPr="00897AD1" w:rsidRDefault="002C24FB" w:rsidP="00C902F4">
      <w:pPr>
        <w:spacing w:line="240" w:lineRule="auto"/>
        <w:ind w:left="4320"/>
        <w:jc w:val="both"/>
        <w:rPr>
          <w:rFonts w:ascii="Times New Roman" w:eastAsia="Times New Roman" w:hAnsi="Times New Roman" w:cs="Times New Roman"/>
          <w:sz w:val="28"/>
          <w:szCs w:val="28"/>
        </w:rPr>
      </w:pPr>
      <w:r w:rsidRPr="00897AD1">
        <w:rPr>
          <w:rFonts w:ascii="Times New Roman" w:eastAsia="Times New Roman" w:hAnsi="Times New Roman" w:cs="Times New Roman"/>
          <w:b/>
          <w:sz w:val="28"/>
          <w:szCs w:val="28"/>
        </w:rPr>
        <w:t>Magistrada sustanciadora:</w:t>
      </w:r>
      <w:r w:rsidRPr="00897AD1">
        <w:rPr>
          <w:rFonts w:ascii="Times New Roman" w:eastAsia="Times New Roman" w:hAnsi="Times New Roman" w:cs="Times New Roman"/>
          <w:sz w:val="28"/>
          <w:szCs w:val="28"/>
        </w:rPr>
        <w:t xml:space="preserve"> </w:t>
      </w:r>
    </w:p>
    <w:p w14:paraId="36F66460" w14:textId="77777777" w:rsidR="00481C74" w:rsidRPr="00897AD1" w:rsidRDefault="002C24FB" w:rsidP="00C902F4">
      <w:pPr>
        <w:spacing w:line="240" w:lineRule="auto"/>
        <w:ind w:left="3600" w:firstLine="720"/>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CRISTINA PARDO SCHLESINGER</w:t>
      </w:r>
    </w:p>
    <w:p w14:paraId="72A3D3EC" w14:textId="77777777" w:rsidR="00481C74" w:rsidRPr="00897AD1" w:rsidRDefault="00481C74" w:rsidP="00C977AE">
      <w:pPr>
        <w:spacing w:line="240" w:lineRule="auto"/>
        <w:ind w:left="2880" w:firstLine="720"/>
        <w:jc w:val="both"/>
        <w:rPr>
          <w:rFonts w:ascii="Times New Roman" w:eastAsia="Times New Roman" w:hAnsi="Times New Roman" w:cs="Times New Roman"/>
          <w:sz w:val="28"/>
          <w:szCs w:val="28"/>
        </w:rPr>
      </w:pPr>
    </w:p>
    <w:p w14:paraId="0D0B940D" w14:textId="77777777" w:rsidR="00481C74" w:rsidRPr="00897AD1" w:rsidRDefault="00481C74" w:rsidP="00C977AE">
      <w:pPr>
        <w:spacing w:line="240" w:lineRule="auto"/>
        <w:jc w:val="both"/>
        <w:rPr>
          <w:rFonts w:ascii="Times New Roman" w:eastAsia="Times New Roman" w:hAnsi="Times New Roman" w:cs="Times New Roman"/>
          <w:sz w:val="28"/>
          <w:szCs w:val="28"/>
        </w:rPr>
      </w:pPr>
    </w:p>
    <w:p w14:paraId="0CD271CB" w14:textId="06DBCAD7" w:rsidR="00481C74" w:rsidRPr="00897AD1" w:rsidRDefault="002C24FB" w:rsidP="00C977AE">
      <w:pPr>
        <w:spacing w:line="240" w:lineRule="auto"/>
        <w:jc w:val="both"/>
        <w:rPr>
          <w:rFonts w:ascii="Times New Roman" w:eastAsia="Times New Roman" w:hAnsi="Times New Roman" w:cs="Times New Roman"/>
          <w:b/>
          <w:sz w:val="28"/>
          <w:szCs w:val="28"/>
        </w:rPr>
      </w:pPr>
      <w:r w:rsidRPr="00897AD1">
        <w:rPr>
          <w:rFonts w:ascii="Times New Roman" w:eastAsia="Times New Roman" w:hAnsi="Times New Roman" w:cs="Times New Roman"/>
          <w:sz w:val="28"/>
          <w:szCs w:val="28"/>
        </w:rPr>
        <w:t xml:space="preserve">Bogotá D.C., </w:t>
      </w:r>
      <w:r w:rsidR="00C06740">
        <w:rPr>
          <w:rFonts w:ascii="Times New Roman" w:eastAsia="Times New Roman" w:hAnsi="Times New Roman" w:cs="Times New Roman"/>
          <w:sz w:val="28"/>
          <w:szCs w:val="28"/>
        </w:rPr>
        <w:t>once</w:t>
      </w:r>
      <w:r w:rsidRPr="00897AD1">
        <w:rPr>
          <w:rFonts w:ascii="Times New Roman" w:eastAsia="Times New Roman" w:hAnsi="Times New Roman" w:cs="Times New Roman"/>
          <w:sz w:val="28"/>
          <w:szCs w:val="28"/>
        </w:rPr>
        <w:t xml:space="preserve"> (</w:t>
      </w:r>
      <w:r w:rsidR="00C06740">
        <w:rPr>
          <w:rFonts w:ascii="Times New Roman" w:eastAsia="Times New Roman" w:hAnsi="Times New Roman" w:cs="Times New Roman"/>
          <w:sz w:val="28"/>
          <w:szCs w:val="28"/>
        </w:rPr>
        <w:t>11</w:t>
      </w:r>
      <w:r w:rsidRPr="00897AD1">
        <w:rPr>
          <w:rFonts w:ascii="Times New Roman" w:eastAsia="Times New Roman" w:hAnsi="Times New Roman" w:cs="Times New Roman"/>
          <w:sz w:val="28"/>
          <w:szCs w:val="28"/>
        </w:rPr>
        <w:t xml:space="preserve">) de </w:t>
      </w:r>
      <w:r w:rsidR="00C06740">
        <w:rPr>
          <w:rFonts w:ascii="Times New Roman" w:eastAsia="Times New Roman" w:hAnsi="Times New Roman" w:cs="Times New Roman"/>
          <w:sz w:val="28"/>
          <w:szCs w:val="28"/>
        </w:rPr>
        <w:t xml:space="preserve">julio </w:t>
      </w:r>
      <w:r w:rsidRPr="00897AD1">
        <w:rPr>
          <w:rFonts w:ascii="Times New Roman" w:eastAsia="Times New Roman" w:hAnsi="Times New Roman" w:cs="Times New Roman"/>
          <w:sz w:val="28"/>
          <w:szCs w:val="28"/>
        </w:rPr>
        <w:t>de dos mil veinticuatro (2024)</w:t>
      </w:r>
    </w:p>
    <w:p w14:paraId="0E27B00A" w14:textId="77777777" w:rsidR="00481C74" w:rsidRPr="00897AD1" w:rsidRDefault="00481C74" w:rsidP="00C977AE">
      <w:pPr>
        <w:spacing w:line="240" w:lineRule="auto"/>
        <w:jc w:val="both"/>
        <w:rPr>
          <w:rFonts w:ascii="Times New Roman" w:eastAsia="Times New Roman" w:hAnsi="Times New Roman" w:cs="Times New Roman"/>
          <w:sz w:val="28"/>
          <w:szCs w:val="28"/>
        </w:rPr>
      </w:pPr>
    </w:p>
    <w:p w14:paraId="10CEDF74" w14:textId="77777777" w:rsidR="00481C74" w:rsidRPr="00897AD1" w:rsidRDefault="002C24FB" w:rsidP="00C977AE">
      <w:pPr>
        <w:spacing w:line="240" w:lineRule="auto"/>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La Sala Plena de la Corte Constitucional, en virtud de sus atribuciones constitucionales, en particular la prevista en el numeral 11 del artículo 241 de la Constitución Política, profiere el siguiente:</w:t>
      </w:r>
    </w:p>
    <w:p w14:paraId="60061E4C" w14:textId="77777777" w:rsidR="00481C74" w:rsidRPr="00897AD1" w:rsidRDefault="00481C74" w:rsidP="00C977AE">
      <w:pPr>
        <w:spacing w:line="240" w:lineRule="auto"/>
        <w:jc w:val="both"/>
        <w:rPr>
          <w:rFonts w:ascii="Times New Roman" w:eastAsia="Times New Roman" w:hAnsi="Times New Roman" w:cs="Times New Roman"/>
          <w:b/>
          <w:sz w:val="28"/>
          <w:szCs w:val="28"/>
        </w:rPr>
      </w:pPr>
    </w:p>
    <w:p w14:paraId="3E8D95F5" w14:textId="77777777" w:rsidR="00E746AF" w:rsidRDefault="002C24FB" w:rsidP="00C977AE">
      <w:pPr>
        <w:spacing w:line="240" w:lineRule="auto"/>
        <w:jc w:val="center"/>
        <w:rPr>
          <w:rFonts w:ascii="Times New Roman" w:eastAsia="Times New Roman" w:hAnsi="Times New Roman" w:cs="Times New Roman"/>
          <w:b/>
          <w:sz w:val="28"/>
          <w:szCs w:val="28"/>
        </w:rPr>
      </w:pPr>
      <w:r w:rsidRPr="00897AD1">
        <w:rPr>
          <w:rFonts w:ascii="Times New Roman" w:eastAsia="Times New Roman" w:hAnsi="Times New Roman" w:cs="Times New Roman"/>
          <w:b/>
          <w:sz w:val="28"/>
          <w:szCs w:val="28"/>
        </w:rPr>
        <w:t>AUTO</w:t>
      </w:r>
    </w:p>
    <w:p w14:paraId="524C4AE3" w14:textId="77777777" w:rsidR="00E746AF" w:rsidRDefault="00E746AF" w:rsidP="00E746AF">
      <w:pPr>
        <w:spacing w:line="240" w:lineRule="auto"/>
        <w:rPr>
          <w:rFonts w:ascii="Times New Roman" w:eastAsia="Times New Roman" w:hAnsi="Times New Roman" w:cs="Times New Roman"/>
          <w:b/>
          <w:sz w:val="28"/>
          <w:szCs w:val="28"/>
        </w:rPr>
      </w:pPr>
    </w:p>
    <w:p w14:paraId="0D98B4F3" w14:textId="77777777" w:rsidR="00E746AF" w:rsidRPr="00D06837" w:rsidRDefault="00E746AF" w:rsidP="00E746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 New Roman" w:hAnsi="Times New Roman" w:cs="Times New Roman"/>
          <w:b/>
          <w:bCs/>
          <w:sz w:val="28"/>
          <w:szCs w:val="28"/>
        </w:rPr>
      </w:pPr>
      <w:r w:rsidRPr="00D06837">
        <w:rPr>
          <w:rFonts w:ascii="Times New Roman" w:eastAsia="Times New Roman" w:hAnsi="Times New Roman" w:cs="Times New Roman"/>
          <w:b/>
          <w:bCs/>
          <w:sz w:val="28"/>
          <w:szCs w:val="28"/>
        </w:rPr>
        <w:t>Aclaración previa  </w:t>
      </w:r>
    </w:p>
    <w:p w14:paraId="36629935" w14:textId="77777777" w:rsidR="00E746AF" w:rsidRPr="00D06837" w:rsidRDefault="00E746AF" w:rsidP="00E746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eastAsia="Times New Roman" w:hAnsi="Times New Roman" w:cs="Times New Roman"/>
          <w:sz w:val="28"/>
          <w:szCs w:val="28"/>
        </w:rPr>
      </w:pPr>
    </w:p>
    <w:p w14:paraId="4FD0E465" w14:textId="466A4496" w:rsidR="00481C74" w:rsidRDefault="00E746AF" w:rsidP="00E746AF">
      <w:pPr>
        <w:spacing w:line="240" w:lineRule="auto"/>
        <w:jc w:val="both"/>
        <w:rPr>
          <w:rFonts w:ascii="Times New Roman" w:eastAsia="Times New Roman" w:hAnsi="Times New Roman" w:cs="Times New Roman"/>
          <w:sz w:val="28"/>
          <w:szCs w:val="28"/>
        </w:rPr>
      </w:pPr>
      <w:r w:rsidRPr="00D06837">
        <w:rPr>
          <w:rFonts w:ascii="Times New Roman" w:eastAsia="Times New Roman" w:hAnsi="Times New Roman" w:cs="Times New Roman"/>
          <w:sz w:val="28"/>
          <w:szCs w:val="28"/>
        </w:rPr>
        <w:t xml:space="preserve">En observancia de la Circular Interna No. 10 de 2022 de la Presidencia de la Corte Constitucional sobre la anonimización de nombres en las providencias disponibles al público en la página web de la Corte Constitucional, la Sala dispuso que la presente providencia fuera presentada en dos ejemplares. Uno, con los nombres reales y la información completa de las personas involucradas en este caso, y otro, con nombres ficticios. Lo anterior debido a que el presente caso contiene información relacionada con la historia clínica de la </w:t>
      </w:r>
      <w:r w:rsidR="00D06837">
        <w:rPr>
          <w:rFonts w:ascii="Times New Roman" w:eastAsia="Times New Roman" w:hAnsi="Times New Roman" w:cs="Times New Roman"/>
          <w:sz w:val="28"/>
          <w:szCs w:val="28"/>
        </w:rPr>
        <w:t xml:space="preserve">parte </w:t>
      </w:r>
      <w:r w:rsidRPr="00D06837">
        <w:rPr>
          <w:rFonts w:ascii="Times New Roman" w:eastAsia="Times New Roman" w:hAnsi="Times New Roman" w:cs="Times New Roman"/>
          <w:sz w:val="28"/>
          <w:szCs w:val="28"/>
        </w:rPr>
        <w:t>demandante. Por ese motivo y como medida de protección de su intimidad, se ordenará suprimir de esta providencia y de toda futura publicación de esta el nombre de los demandantes y los datos e información que permitan su identificación.</w:t>
      </w:r>
    </w:p>
    <w:p w14:paraId="2F38747C" w14:textId="77777777" w:rsidR="00D06837" w:rsidRPr="00D06837" w:rsidRDefault="00D06837" w:rsidP="00E746AF">
      <w:pPr>
        <w:spacing w:line="240" w:lineRule="auto"/>
        <w:jc w:val="both"/>
        <w:rPr>
          <w:rFonts w:ascii="Times New Roman" w:eastAsia="Times New Roman" w:hAnsi="Times New Roman" w:cs="Times New Roman"/>
          <w:sz w:val="28"/>
          <w:szCs w:val="28"/>
        </w:rPr>
      </w:pPr>
    </w:p>
    <w:p w14:paraId="36ACF560" w14:textId="77777777" w:rsidR="00481C74" w:rsidRPr="00897AD1" w:rsidRDefault="002C24FB" w:rsidP="00C977AE">
      <w:pPr>
        <w:numPr>
          <w:ilvl w:val="0"/>
          <w:numId w:val="1"/>
        </w:num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rPr>
          <w:rFonts w:ascii="Times New Roman" w:hAnsi="Times New Roman" w:cs="Times New Roman"/>
          <w:sz w:val="28"/>
          <w:szCs w:val="28"/>
        </w:rPr>
      </w:pPr>
      <w:r w:rsidRPr="00897AD1">
        <w:rPr>
          <w:rFonts w:ascii="Times New Roman" w:eastAsia="Times New Roman" w:hAnsi="Times New Roman" w:cs="Times New Roman"/>
          <w:b/>
          <w:sz w:val="28"/>
          <w:szCs w:val="28"/>
        </w:rPr>
        <w:t xml:space="preserve">ANTECEDENTES </w:t>
      </w:r>
    </w:p>
    <w:p w14:paraId="696B364E" w14:textId="1243B6B0" w:rsidR="00481C74" w:rsidRPr="00897AD1" w:rsidRDefault="0B142657"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themeFill="background1"/>
        <w:spacing w:line="240" w:lineRule="auto"/>
        <w:jc w:val="both"/>
        <w:rPr>
          <w:rFonts w:ascii="Times New Roman" w:eastAsia="Times New Roman" w:hAnsi="Times New Roman" w:cs="Times New Roman"/>
          <w:sz w:val="28"/>
          <w:szCs w:val="28"/>
          <w:highlight w:val="yellow"/>
        </w:rPr>
      </w:pPr>
      <w:r w:rsidRPr="00897AD1">
        <w:rPr>
          <w:rFonts w:ascii="Times New Roman" w:eastAsia="Times New Roman" w:hAnsi="Times New Roman" w:cs="Times New Roman"/>
          <w:sz w:val="28"/>
          <w:szCs w:val="28"/>
          <w:highlight w:val="white"/>
        </w:rPr>
        <w:t xml:space="preserve">1. El señor </w:t>
      </w:r>
      <w:r w:rsidR="00F56772" w:rsidRPr="00F56772">
        <w:rPr>
          <w:rFonts w:ascii="Times New Roman" w:eastAsia="Times New Roman" w:hAnsi="Times New Roman" w:cs="Times New Roman"/>
          <w:i/>
          <w:iCs/>
          <w:sz w:val="28"/>
          <w:szCs w:val="28"/>
          <w:highlight w:val="white"/>
        </w:rPr>
        <w:t>Juan</w:t>
      </w:r>
      <w:r w:rsidRPr="00897AD1">
        <w:rPr>
          <w:rFonts w:ascii="Times New Roman" w:eastAsia="Times New Roman" w:hAnsi="Times New Roman" w:cs="Times New Roman"/>
          <w:sz w:val="28"/>
          <w:szCs w:val="28"/>
          <w:highlight w:val="white"/>
        </w:rPr>
        <w:t xml:space="preserve">, en calidad de afectado, y las señoras </w:t>
      </w:r>
      <w:r w:rsidR="00F56772" w:rsidRPr="00F56772">
        <w:rPr>
          <w:rFonts w:ascii="Times New Roman" w:eastAsia="Times New Roman" w:hAnsi="Times New Roman" w:cs="Times New Roman"/>
          <w:i/>
          <w:iCs/>
          <w:sz w:val="28"/>
          <w:szCs w:val="28"/>
          <w:highlight w:val="white"/>
        </w:rPr>
        <w:t>Mariana</w:t>
      </w:r>
      <w:r w:rsidRPr="00897AD1">
        <w:rPr>
          <w:rFonts w:ascii="Times New Roman" w:eastAsia="Times New Roman" w:hAnsi="Times New Roman" w:cs="Times New Roman"/>
          <w:sz w:val="28"/>
          <w:szCs w:val="28"/>
          <w:highlight w:val="white"/>
        </w:rPr>
        <w:t xml:space="preserve"> y </w:t>
      </w:r>
      <w:r w:rsidR="00F56772" w:rsidRPr="00F56772">
        <w:rPr>
          <w:rFonts w:ascii="Times New Roman" w:eastAsia="Times New Roman" w:hAnsi="Times New Roman" w:cs="Times New Roman"/>
          <w:i/>
          <w:iCs/>
          <w:sz w:val="28"/>
          <w:szCs w:val="28"/>
          <w:highlight w:val="white"/>
        </w:rPr>
        <w:t>Laura</w:t>
      </w:r>
      <w:r w:rsidRPr="00897AD1">
        <w:rPr>
          <w:rFonts w:ascii="Times New Roman" w:eastAsia="Times New Roman" w:hAnsi="Times New Roman" w:cs="Times New Roman"/>
          <w:sz w:val="28"/>
          <w:szCs w:val="28"/>
          <w:highlight w:val="white"/>
        </w:rPr>
        <w:t>, en calidad de esposa e hija del afectado</w:t>
      </w:r>
      <w:r w:rsidR="4E09D43D" w:rsidRPr="041F913F">
        <w:rPr>
          <w:rFonts w:ascii="Times New Roman" w:eastAsia="Times New Roman" w:hAnsi="Times New Roman" w:cs="Times New Roman"/>
          <w:sz w:val="28"/>
          <w:szCs w:val="28"/>
          <w:highlight w:val="white"/>
        </w:rPr>
        <w:t>,</w:t>
      </w:r>
      <w:r w:rsidRPr="00897AD1">
        <w:rPr>
          <w:rFonts w:ascii="Times New Roman" w:eastAsia="Times New Roman" w:hAnsi="Times New Roman" w:cs="Times New Roman"/>
          <w:sz w:val="28"/>
          <w:szCs w:val="28"/>
          <w:highlight w:val="white"/>
        </w:rPr>
        <w:t xml:space="preserve"> respectivamente, interpusieron una demanda en ejercicio del medio de control de reparación directa en contra de la Clínica Medilaser </w:t>
      </w:r>
      <w:r w:rsidRPr="00897AD1">
        <w:rPr>
          <w:rFonts w:ascii="Times New Roman" w:eastAsia="Times New Roman" w:hAnsi="Times New Roman" w:cs="Times New Roman"/>
          <w:sz w:val="28"/>
          <w:szCs w:val="28"/>
          <w:highlight w:val="white"/>
        </w:rPr>
        <w:lastRenderedPageBreak/>
        <w:t>S.A., la Nueva EPS S.A.</w:t>
      </w:r>
      <w:r w:rsidRPr="041F913F">
        <w:rPr>
          <w:rStyle w:val="Refdenotaalpie"/>
          <w:rFonts w:ascii="Times New Roman" w:eastAsia="Times New Roman" w:hAnsi="Times New Roman" w:cs="Times New Roman"/>
          <w:sz w:val="28"/>
          <w:szCs w:val="28"/>
          <w:highlight w:val="white"/>
        </w:rPr>
        <w:footnoteReference w:id="2"/>
      </w:r>
      <w:r w:rsidRPr="00897AD1">
        <w:rPr>
          <w:rFonts w:ascii="Times New Roman" w:eastAsia="Times New Roman" w:hAnsi="Times New Roman" w:cs="Times New Roman"/>
          <w:sz w:val="28"/>
          <w:szCs w:val="28"/>
          <w:highlight w:val="white"/>
        </w:rPr>
        <w:t xml:space="preserve"> y la Secretaría de Salud de Boyacá. Lo anterior, con el fin de que </w:t>
      </w:r>
      <w:r w:rsidR="70FD8950" w:rsidRPr="00897AD1">
        <w:rPr>
          <w:rFonts w:ascii="Times New Roman" w:eastAsia="Times New Roman" w:hAnsi="Times New Roman" w:cs="Times New Roman"/>
          <w:sz w:val="28"/>
          <w:szCs w:val="28"/>
          <w:highlight w:val="white"/>
        </w:rPr>
        <w:t xml:space="preserve">se </w:t>
      </w:r>
      <w:r w:rsidRPr="00897AD1">
        <w:rPr>
          <w:rFonts w:ascii="Times New Roman" w:eastAsia="Times New Roman" w:hAnsi="Times New Roman" w:cs="Times New Roman"/>
          <w:sz w:val="28"/>
          <w:szCs w:val="28"/>
          <w:highlight w:val="white"/>
        </w:rPr>
        <w:t>declare la responsabilidad administrativa y solidaria de las demandadas junto con el reconocimiento y pago de los perjuicios materiales e inmateriales causados (daño a la vida en relación, lucro cesante, entre otros) como consecuencia de una presunta falla en el servicio en el marco del procedimiento quirúrgico que se le practicó al primero de los demandantes el 14 de noviembre de 2018</w:t>
      </w:r>
      <w:r w:rsidR="002C24FB" w:rsidRPr="00897AD1">
        <w:rPr>
          <w:rFonts w:ascii="Times New Roman" w:eastAsia="Times New Roman" w:hAnsi="Times New Roman" w:cs="Times New Roman"/>
          <w:sz w:val="28"/>
          <w:szCs w:val="28"/>
          <w:highlight w:val="white"/>
          <w:vertAlign w:val="superscript"/>
        </w:rPr>
        <w:footnoteReference w:id="3"/>
      </w:r>
      <w:r w:rsidRPr="00897AD1">
        <w:rPr>
          <w:rFonts w:ascii="Times New Roman" w:eastAsia="Times New Roman" w:hAnsi="Times New Roman" w:cs="Times New Roman"/>
          <w:sz w:val="28"/>
          <w:szCs w:val="28"/>
          <w:highlight w:val="white"/>
        </w:rPr>
        <w:t xml:space="preserve">. </w:t>
      </w:r>
    </w:p>
    <w:p w14:paraId="10E88FB4" w14:textId="77777777" w:rsidR="00481C74" w:rsidRPr="00897AD1" w:rsidRDefault="002C24FB"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2. Como sustento de sus pretensiones, los demandantes señalaron los siguientes hechos</w:t>
      </w:r>
      <w:r w:rsidRPr="00897AD1">
        <w:rPr>
          <w:rFonts w:ascii="Times New Roman" w:eastAsia="Times New Roman" w:hAnsi="Times New Roman" w:cs="Times New Roman"/>
          <w:sz w:val="28"/>
          <w:szCs w:val="28"/>
          <w:vertAlign w:val="superscript"/>
        </w:rPr>
        <w:footnoteReference w:id="4"/>
      </w:r>
      <w:r w:rsidRPr="00897AD1">
        <w:rPr>
          <w:rFonts w:ascii="Times New Roman" w:eastAsia="Times New Roman" w:hAnsi="Times New Roman" w:cs="Times New Roman"/>
          <w:sz w:val="28"/>
          <w:szCs w:val="28"/>
        </w:rPr>
        <w:t xml:space="preserve">: </w:t>
      </w:r>
    </w:p>
    <w:p w14:paraId="44EAFD9C" w14:textId="77777777" w:rsidR="00481C74" w:rsidRPr="00897AD1" w:rsidRDefault="00481C74" w:rsidP="00C977AE">
      <w:pPr>
        <w:spacing w:line="240" w:lineRule="auto"/>
        <w:jc w:val="both"/>
        <w:rPr>
          <w:rFonts w:ascii="Times New Roman" w:eastAsia="Times New Roman" w:hAnsi="Times New Roman" w:cs="Times New Roman"/>
          <w:sz w:val="28"/>
          <w:szCs w:val="28"/>
        </w:rPr>
      </w:pPr>
    </w:p>
    <w:p w14:paraId="50FF8A8E" w14:textId="3AA5DE66" w:rsidR="00481C74" w:rsidRPr="00897AD1" w:rsidRDefault="0B142657" w:rsidP="00C977AE">
      <w:pPr>
        <w:spacing w:line="240" w:lineRule="auto"/>
        <w:ind w:left="720"/>
        <w:jc w:val="both"/>
        <w:rPr>
          <w:rFonts w:ascii="Times New Roman" w:eastAsia="Times New Roman" w:hAnsi="Times New Roman" w:cs="Times New Roman"/>
          <w:sz w:val="28"/>
          <w:szCs w:val="28"/>
        </w:rPr>
      </w:pPr>
      <w:r w:rsidRPr="325E21D9">
        <w:rPr>
          <w:rFonts w:ascii="Times New Roman" w:eastAsia="Times New Roman" w:hAnsi="Times New Roman" w:cs="Times New Roman"/>
          <w:sz w:val="28"/>
          <w:szCs w:val="28"/>
        </w:rPr>
        <w:t xml:space="preserve">(i) El 24 de enero de 2017, </w:t>
      </w:r>
      <w:r w:rsidR="00237E27" w:rsidRPr="325E21D9">
        <w:rPr>
          <w:rFonts w:ascii="Times New Roman" w:eastAsia="Times New Roman" w:hAnsi="Times New Roman" w:cs="Times New Roman"/>
          <w:sz w:val="28"/>
          <w:szCs w:val="28"/>
        </w:rPr>
        <w:t>el afectado</w:t>
      </w:r>
      <w:r w:rsidRPr="325E21D9">
        <w:rPr>
          <w:rFonts w:ascii="Times New Roman" w:eastAsia="Times New Roman" w:hAnsi="Times New Roman" w:cs="Times New Roman"/>
          <w:sz w:val="28"/>
          <w:szCs w:val="28"/>
        </w:rPr>
        <w:t xml:space="preserve"> fue diagnosticado con una “Hernia inguinal unilateral no especificada, sin obstrucción ni gangrena” en la Clínica Medilaser. Ello, después de que se le practicara una “</w:t>
      </w:r>
      <w:r w:rsidR="5123A4D2" w:rsidRPr="325E21D9">
        <w:rPr>
          <w:rFonts w:ascii="Times New Roman" w:eastAsia="Times New Roman" w:hAnsi="Times New Roman" w:cs="Times New Roman"/>
          <w:sz w:val="28"/>
          <w:szCs w:val="28"/>
        </w:rPr>
        <w:t>Herniorrafía</w:t>
      </w:r>
      <w:r w:rsidRPr="325E21D9">
        <w:rPr>
          <w:rFonts w:ascii="Times New Roman" w:eastAsia="Times New Roman" w:hAnsi="Times New Roman" w:cs="Times New Roman"/>
          <w:sz w:val="28"/>
          <w:szCs w:val="28"/>
        </w:rPr>
        <w:t xml:space="preserve"> inguinal reproducida” en dicha institución. </w:t>
      </w:r>
    </w:p>
    <w:p w14:paraId="4B94D5A5" w14:textId="77777777" w:rsidR="00481C74" w:rsidRPr="00897AD1" w:rsidRDefault="00481C74" w:rsidP="00C977AE">
      <w:pPr>
        <w:spacing w:line="240" w:lineRule="auto"/>
        <w:ind w:left="720"/>
        <w:jc w:val="both"/>
        <w:rPr>
          <w:rFonts w:ascii="Times New Roman" w:eastAsia="Times New Roman" w:hAnsi="Times New Roman" w:cs="Times New Roman"/>
          <w:sz w:val="28"/>
          <w:szCs w:val="28"/>
        </w:rPr>
      </w:pPr>
    </w:p>
    <w:p w14:paraId="7950E2BE" w14:textId="49F8383E" w:rsidR="00481C74" w:rsidRPr="00897AD1" w:rsidRDefault="002C24FB" w:rsidP="00C977AE">
      <w:pPr>
        <w:spacing w:line="240" w:lineRule="auto"/>
        <w:ind w:left="720"/>
        <w:jc w:val="both"/>
        <w:rPr>
          <w:rFonts w:ascii="Times New Roman" w:eastAsia="Times New Roman" w:hAnsi="Times New Roman" w:cs="Times New Roman"/>
          <w:sz w:val="28"/>
          <w:szCs w:val="28"/>
        </w:rPr>
      </w:pPr>
      <w:r w:rsidRPr="325E21D9">
        <w:rPr>
          <w:rFonts w:ascii="Times New Roman" w:eastAsia="Times New Roman" w:hAnsi="Times New Roman" w:cs="Times New Roman"/>
          <w:sz w:val="28"/>
          <w:szCs w:val="28"/>
        </w:rPr>
        <w:t xml:space="preserve">(ii) El 16 de febrero siguiente, </w:t>
      </w:r>
      <w:r w:rsidR="00237E27" w:rsidRPr="325E21D9">
        <w:rPr>
          <w:rFonts w:ascii="Times New Roman" w:eastAsia="Times New Roman" w:hAnsi="Times New Roman" w:cs="Times New Roman"/>
          <w:sz w:val="28"/>
          <w:szCs w:val="28"/>
        </w:rPr>
        <w:t>el afectado</w:t>
      </w:r>
      <w:r w:rsidRPr="325E21D9">
        <w:rPr>
          <w:rFonts w:ascii="Times New Roman" w:eastAsia="Times New Roman" w:hAnsi="Times New Roman" w:cs="Times New Roman"/>
          <w:sz w:val="28"/>
          <w:szCs w:val="28"/>
        </w:rPr>
        <w:t xml:space="preserve"> acudió a la Clínica Medilaser debido a molestias en su abdomen. Allí se le reiteró el diagnóstico previamente referenciado. </w:t>
      </w:r>
    </w:p>
    <w:p w14:paraId="3DEEC669" w14:textId="77777777" w:rsidR="00481C74" w:rsidRPr="00897AD1" w:rsidRDefault="00481C74" w:rsidP="00C977AE">
      <w:pPr>
        <w:spacing w:line="240" w:lineRule="auto"/>
        <w:ind w:left="720"/>
        <w:jc w:val="both"/>
        <w:rPr>
          <w:rFonts w:ascii="Times New Roman" w:eastAsia="Times New Roman" w:hAnsi="Times New Roman" w:cs="Times New Roman"/>
          <w:sz w:val="28"/>
          <w:szCs w:val="28"/>
        </w:rPr>
      </w:pPr>
    </w:p>
    <w:p w14:paraId="79813AF4" w14:textId="5803B53E" w:rsidR="00481C74" w:rsidRPr="00897AD1" w:rsidRDefault="0B142657" w:rsidP="00C977AE">
      <w:pPr>
        <w:spacing w:line="240" w:lineRule="auto"/>
        <w:ind w:left="720"/>
        <w:jc w:val="both"/>
        <w:rPr>
          <w:rFonts w:ascii="Times New Roman" w:eastAsia="Times New Roman" w:hAnsi="Times New Roman" w:cs="Times New Roman"/>
          <w:sz w:val="28"/>
          <w:szCs w:val="28"/>
        </w:rPr>
      </w:pPr>
      <w:r w:rsidRPr="325E21D9">
        <w:rPr>
          <w:rFonts w:ascii="Times New Roman" w:eastAsia="Times New Roman" w:hAnsi="Times New Roman" w:cs="Times New Roman"/>
          <w:sz w:val="28"/>
          <w:szCs w:val="28"/>
        </w:rPr>
        <w:t xml:space="preserve">(iii) El 6 de diciembre de la misma anualidad, </w:t>
      </w:r>
      <w:r w:rsidR="00237E27" w:rsidRPr="325E21D9">
        <w:rPr>
          <w:rFonts w:ascii="Times New Roman" w:eastAsia="Times New Roman" w:hAnsi="Times New Roman" w:cs="Times New Roman"/>
          <w:sz w:val="28"/>
          <w:szCs w:val="28"/>
        </w:rPr>
        <w:t>el afectado</w:t>
      </w:r>
      <w:r w:rsidRPr="325E21D9">
        <w:rPr>
          <w:rFonts w:ascii="Times New Roman" w:eastAsia="Times New Roman" w:hAnsi="Times New Roman" w:cs="Times New Roman"/>
          <w:sz w:val="28"/>
          <w:szCs w:val="28"/>
        </w:rPr>
        <w:t xml:space="preserve"> ingresó nuevamente a la Clínica Medilaser por un “dolor regional inguinal izquierdo” y se le indicó que debía continuar con el trámite para la “programación de [un</w:t>
      </w:r>
      <w:r w:rsidR="02E1004A" w:rsidRPr="325E21D9">
        <w:rPr>
          <w:rFonts w:ascii="Times New Roman" w:eastAsia="Times New Roman" w:hAnsi="Times New Roman" w:cs="Times New Roman"/>
          <w:sz w:val="28"/>
          <w:szCs w:val="28"/>
        </w:rPr>
        <w:t>] procedimiento</w:t>
      </w:r>
      <w:r w:rsidRPr="325E21D9">
        <w:rPr>
          <w:rFonts w:ascii="Times New Roman" w:eastAsia="Times New Roman" w:hAnsi="Times New Roman" w:cs="Times New Roman"/>
          <w:sz w:val="28"/>
          <w:szCs w:val="28"/>
        </w:rPr>
        <w:t xml:space="preserve"> quirúrgico”.</w:t>
      </w:r>
    </w:p>
    <w:p w14:paraId="3656B9AB" w14:textId="77777777" w:rsidR="00481C74" w:rsidRPr="00897AD1" w:rsidRDefault="00481C74" w:rsidP="00C977AE">
      <w:pPr>
        <w:spacing w:line="240" w:lineRule="auto"/>
        <w:ind w:left="720"/>
        <w:jc w:val="both"/>
        <w:rPr>
          <w:rFonts w:ascii="Times New Roman" w:eastAsia="Times New Roman" w:hAnsi="Times New Roman" w:cs="Times New Roman"/>
          <w:sz w:val="28"/>
          <w:szCs w:val="28"/>
        </w:rPr>
      </w:pPr>
    </w:p>
    <w:p w14:paraId="2754205E" w14:textId="085688AE" w:rsidR="00481C74" w:rsidRPr="00897AD1" w:rsidRDefault="0B142657" w:rsidP="00C977AE">
      <w:pPr>
        <w:spacing w:line="240" w:lineRule="auto"/>
        <w:ind w:left="720"/>
        <w:jc w:val="both"/>
        <w:rPr>
          <w:rFonts w:ascii="Times New Roman" w:eastAsia="Times New Roman" w:hAnsi="Times New Roman" w:cs="Times New Roman"/>
          <w:sz w:val="28"/>
          <w:szCs w:val="28"/>
        </w:rPr>
      </w:pPr>
      <w:r w:rsidRPr="371DDEB1">
        <w:rPr>
          <w:rFonts w:ascii="Times New Roman" w:eastAsia="Times New Roman" w:hAnsi="Times New Roman" w:cs="Times New Roman"/>
          <w:sz w:val="28"/>
          <w:szCs w:val="28"/>
        </w:rPr>
        <w:t xml:space="preserve">(iv) Posteriormente, el 21 de </w:t>
      </w:r>
      <w:r w:rsidR="35C94566" w:rsidRPr="371DDEB1">
        <w:rPr>
          <w:rFonts w:ascii="Times New Roman" w:eastAsia="Times New Roman" w:hAnsi="Times New Roman" w:cs="Times New Roman"/>
          <w:sz w:val="28"/>
          <w:szCs w:val="28"/>
        </w:rPr>
        <w:t>diciembre de</w:t>
      </w:r>
      <w:r w:rsidRPr="371DDEB1">
        <w:rPr>
          <w:rFonts w:ascii="Times New Roman" w:eastAsia="Times New Roman" w:hAnsi="Times New Roman" w:cs="Times New Roman"/>
          <w:sz w:val="28"/>
          <w:szCs w:val="28"/>
        </w:rPr>
        <w:t xml:space="preserve"> 2017</w:t>
      </w:r>
      <w:r w:rsidR="00854029">
        <w:rPr>
          <w:rFonts w:ascii="Times New Roman" w:eastAsia="Times New Roman" w:hAnsi="Times New Roman" w:cs="Times New Roman"/>
          <w:sz w:val="28"/>
          <w:szCs w:val="28"/>
        </w:rPr>
        <w:t>,</w:t>
      </w:r>
      <w:r w:rsidRPr="371DDEB1">
        <w:rPr>
          <w:rFonts w:ascii="Times New Roman" w:eastAsia="Times New Roman" w:hAnsi="Times New Roman" w:cs="Times New Roman"/>
          <w:sz w:val="28"/>
          <w:szCs w:val="28"/>
        </w:rPr>
        <w:t xml:space="preserve"> asistió a la institución para que se le practicara la “valoración </w:t>
      </w:r>
      <w:r w:rsidR="6B423AF3" w:rsidRPr="371DDEB1">
        <w:rPr>
          <w:rFonts w:ascii="Times New Roman" w:eastAsia="Times New Roman" w:hAnsi="Times New Roman" w:cs="Times New Roman"/>
          <w:sz w:val="28"/>
          <w:szCs w:val="28"/>
        </w:rPr>
        <w:t>preanestésica</w:t>
      </w:r>
      <w:r w:rsidRPr="371DDEB1">
        <w:rPr>
          <w:rFonts w:ascii="Times New Roman" w:eastAsia="Times New Roman" w:hAnsi="Times New Roman" w:cs="Times New Roman"/>
          <w:sz w:val="28"/>
          <w:szCs w:val="28"/>
        </w:rPr>
        <w:t xml:space="preserve">” correspondiente. </w:t>
      </w:r>
    </w:p>
    <w:p w14:paraId="45FB0818" w14:textId="77777777" w:rsidR="00481C74" w:rsidRPr="00897AD1" w:rsidRDefault="00481C74" w:rsidP="00C977AE">
      <w:pPr>
        <w:spacing w:line="240" w:lineRule="auto"/>
        <w:ind w:left="720"/>
        <w:jc w:val="both"/>
        <w:rPr>
          <w:rFonts w:ascii="Times New Roman" w:eastAsia="Times New Roman" w:hAnsi="Times New Roman" w:cs="Times New Roman"/>
          <w:sz w:val="28"/>
          <w:szCs w:val="28"/>
        </w:rPr>
      </w:pPr>
    </w:p>
    <w:p w14:paraId="3B9C2C3B" w14:textId="70113A8D" w:rsidR="00481C74" w:rsidRPr="00897AD1" w:rsidRDefault="002C24FB" w:rsidP="00C977AE">
      <w:pPr>
        <w:spacing w:line="240" w:lineRule="auto"/>
        <w:ind w:left="720"/>
        <w:jc w:val="both"/>
        <w:rPr>
          <w:rFonts w:ascii="Times New Roman" w:eastAsia="Times New Roman" w:hAnsi="Times New Roman" w:cs="Times New Roman"/>
          <w:sz w:val="28"/>
          <w:szCs w:val="28"/>
        </w:rPr>
      </w:pPr>
      <w:r w:rsidRPr="325E21D9">
        <w:rPr>
          <w:rFonts w:ascii="Times New Roman" w:eastAsia="Times New Roman" w:hAnsi="Times New Roman" w:cs="Times New Roman"/>
          <w:sz w:val="28"/>
          <w:szCs w:val="28"/>
        </w:rPr>
        <w:t xml:space="preserve">(v) El 16 de octubre de 2018, se presentó de nuevo en la Clínica Medilaser porque sentía “una masa de hernia inguinal izquierda reproducida”. También, puesto que, pese a haber transcurrido 10 meses desde que se realizó la valoración, no se le había practicado “cirugía alguna”. </w:t>
      </w:r>
    </w:p>
    <w:p w14:paraId="049F31CB" w14:textId="77777777" w:rsidR="00481C74" w:rsidRPr="00897AD1" w:rsidRDefault="00481C74" w:rsidP="00C977AE">
      <w:pPr>
        <w:spacing w:line="240" w:lineRule="auto"/>
        <w:ind w:left="720"/>
        <w:jc w:val="both"/>
        <w:rPr>
          <w:rFonts w:ascii="Times New Roman" w:eastAsia="Times New Roman" w:hAnsi="Times New Roman" w:cs="Times New Roman"/>
          <w:sz w:val="28"/>
          <w:szCs w:val="28"/>
        </w:rPr>
      </w:pPr>
    </w:p>
    <w:p w14:paraId="1749F660" w14:textId="18A4B68D" w:rsidR="00481C74" w:rsidRPr="00897AD1" w:rsidRDefault="0B142657" w:rsidP="00C977AE">
      <w:pPr>
        <w:spacing w:line="240" w:lineRule="auto"/>
        <w:ind w:left="720"/>
        <w:jc w:val="both"/>
        <w:rPr>
          <w:rFonts w:ascii="Times New Roman" w:eastAsia="Times New Roman" w:hAnsi="Times New Roman" w:cs="Times New Roman"/>
          <w:sz w:val="28"/>
          <w:szCs w:val="28"/>
        </w:rPr>
      </w:pPr>
      <w:r w:rsidRPr="371DDEB1">
        <w:rPr>
          <w:rFonts w:ascii="Times New Roman" w:eastAsia="Times New Roman" w:hAnsi="Times New Roman" w:cs="Times New Roman"/>
          <w:sz w:val="28"/>
          <w:szCs w:val="28"/>
        </w:rPr>
        <w:t xml:space="preserve">(vi) El 22 de octubre siguiente, se le realizó una valoración </w:t>
      </w:r>
      <w:r w:rsidR="5A10895A" w:rsidRPr="371DDEB1">
        <w:rPr>
          <w:rFonts w:ascii="Times New Roman" w:eastAsia="Times New Roman" w:hAnsi="Times New Roman" w:cs="Times New Roman"/>
          <w:sz w:val="28"/>
          <w:szCs w:val="28"/>
        </w:rPr>
        <w:t>preanestésica</w:t>
      </w:r>
      <w:r w:rsidRPr="371DDEB1">
        <w:rPr>
          <w:rFonts w:ascii="Times New Roman" w:eastAsia="Times New Roman" w:hAnsi="Times New Roman" w:cs="Times New Roman"/>
          <w:sz w:val="28"/>
          <w:szCs w:val="28"/>
        </w:rPr>
        <w:t xml:space="preserve"> con el fin de practicar y programar con posterioridad la “</w:t>
      </w:r>
      <w:r w:rsidR="2877053A" w:rsidRPr="371DDEB1">
        <w:rPr>
          <w:rFonts w:ascii="Times New Roman" w:eastAsia="Times New Roman" w:hAnsi="Times New Roman" w:cs="Times New Roman"/>
          <w:sz w:val="28"/>
          <w:szCs w:val="28"/>
        </w:rPr>
        <w:t>Herniorrafía</w:t>
      </w:r>
      <w:r w:rsidRPr="371DDEB1">
        <w:rPr>
          <w:rFonts w:ascii="Times New Roman" w:eastAsia="Times New Roman" w:hAnsi="Times New Roman" w:cs="Times New Roman"/>
          <w:sz w:val="28"/>
          <w:szCs w:val="28"/>
        </w:rPr>
        <w:t xml:space="preserve"> inguinal izquierda con malla”. </w:t>
      </w:r>
    </w:p>
    <w:p w14:paraId="53128261" w14:textId="77777777" w:rsidR="00481C74" w:rsidRPr="00897AD1" w:rsidRDefault="00481C74" w:rsidP="00C977AE">
      <w:pPr>
        <w:spacing w:line="240" w:lineRule="auto"/>
        <w:ind w:left="720"/>
        <w:jc w:val="both"/>
        <w:rPr>
          <w:rFonts w:ascii="Times New Roman" w:eastAsia="Times New Roman" w:hAnsi="Times New Roman" w:cs="Times New Roman"/>
          <w:sz w:val="28"/>
          <w:szCs w:val="28"/>
        </w:rPr>
      </w:pPr>
    </w:p>
    <w:p w14:paraId="4ED015E0" w14:textId="77777777" w:rsidR="00481C74" w:rsidRPr="00897AD1" w:rsidRDefault="002C24FB" w:rsidP="00C977AE">
      <w:pPr>
        <w:spacing w:line="240" w:lineRule="auto"/>
        <w:ind w:left="720"/>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 xml:space="preserve">(vii) El 14 de noviembre de 2018, se le practicó “el procedimiento de incisión transversa sobre región inguinal derecha, se tallan colgajos de fascia hacia cefálico y hacia caudal, se diseca saco herniario y se reduce, se reseca epiplón al interior de saco herniario; se liga saco con vicryl”. Procedimiento por el cual fue incapacitado desde el 14 hasta el 28 de noviembre de 2018. </w:t>
      </w:r>
    </w:p>
    <w:p w14:paraId="62486C05" w14:textId="77777777" w:rsidR="00481C74" w:rsidRPr="00897AD1" w:rsidRDefault="00481C74" w:rsidP="00C977AE">
      <w:pPr>
        <w:spacing w:line="240" w:lineRule="auto"/>
        <w:ind w:left="720"/>
        <w:jc w:val="both"/>
        <w:rPr>
          <w:rFonts w:ascii="Times New Roman" w:eastAsia="Times New Roman" w:hAnsi="Times New Roman" w:cs="Times New Roman"/>
          <w:sz w:val="28"/>
          <w:szCs w:val="28"/>
        </w:rPr>
      </w:pPr>
    </w:p>
    <w:p w14:paraId="6F951461" w14:textId="4512C1FE" w:rsidR="00481C74" w:rsidRPr="00897AD1" w:rsidRDefault="0B142657" w:rsidP="00C977AE">
      <w:pPr>
        <w:spacing w:line="240" w:lineRule="auto"/>
        <w:ind w:left="720"/>
        <w:jc w:val="both"/>
        <w:rPr>
          <w:rFonts w:ascii="Times New Roman" w:eastAsia="Times New Roman" w:hAnsi="Times New Roman" w:cs="Times New Roman"/>
          <w:sz w:val="28"/>
          <w:szCs w:val="28"/>
        </w:rPr>
      </w:pPr>
      <w:r w:rsidRPr="371DDEB1">
        <w:rPr>
          <w:rFonts w:ascii="Times New Roman" w:eastAsia="Times New Roman" w:hAnsi="Times New Roman" w:cs="Times New Roman"/>
          <w:sz w:val="28"/>
          <w:szCs w:val="28"/>
        </w:rPr>
        <w:lastRenderedPageBreak/>
        <w:t xml:space="preserve">(viii) El 12 de diciembre de 2018, se le efectuó un ultrasonido de abdomen total que arrojó como resultado “que a nivel de ambas regiones inguinales se observan defectos de pared, a través de los cuales protruye aparentemente grasa </w:t>
      </w:r>
      <w:r w:rsidR="65F7E422" w:rsidRPr="371DDEB1">
        <w:rPr>
          <w:rFonts w:ascii="Times New Roman" w:eastAsia="Times New Roman" w:hAnsi="Times New Roman" w:cs="Times New Roman"/>
          <w:sz w:val="28"/>
          <w:szCs w:val="28"/>
        </w:rPr>
        <w:t>epiglótica</w:t>
      </w:r>
      <w:r w:rsidRPr="371DDEB1">
        <w:rPr>
          <w:rFonts w:ascii="Times New Roman" w:eastAsia="Times New Roman" w:hAnsi="Times New Roman" w:cs="Times New Roman"/>
          <w:sz w:val="28"/>
          <w:szCs w:val="28"/>
        </w:rPr>
        <w:t>, conformando sacos hérnianos”.</w:t>
      </w:r>
    </w:p>
    <w:p w14:paraId="4101652C" w14:textId="77777777" w:rsidR="00481C74" w:rsidRPr="00897AD1" w:rsidRDefault="00481C74" w:rsidP="00C977AE">
      <w:pPr>
        <w:spacing w:line="240" w:lineRule="auto"/>
        <w:ind w:left="720"/>
        <w:jc w:val="both"/>
        <w:rPr>
          <w:rFonts w:ascii="Times New Roman" w:eastAsia="Times New Roman" w:hAnsi="Times New Roman" w:cs="Times New Roman"/>
          <w:sz w:val="28"/>
          <w:szCs w:val="28"/>
        </w:rPr>
      </w:pPr>
    </w:p>
    <w:p w14:paraId="79101EBF" w14:textId="77777777" w:rsidR="00481C74" w:rsidRPr="00897AD1" w:rsidRDefault="002C24FB" w:rsidP="00C977AE">
      <w:pPr>
        <w:spacing w:line="240" w:lineRule="auto"/>
        <w:ind w:left="720"/>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(ix) El 19 de diciembre de 2018, acudió a consulta general en la Clínica de Chía en Tunja, toda vez que transcurrido un mes después de practicada la cirugía continuaba padeciendo dolores en su abdomen. En ese momento, le indicaron la existencia de “Hernias inguinales bilaterales”.</w:t>
      </w:r>
    </w:p>
    <w:p w14:paraId="4B99056E" w14:textId="77777777" w:rsidR="00481C74" w:rsidRPr="00897AD1" w:rsidRDefault="00481C74" w:rsidP="00C977AE">
      <w:pPr>
        <w:spacing w:line="240" w:lineRule="auto"/>
        <w:ind w:left="720"/>
        <w:jc w:val="both"/>
        <w:rPr>
          <w:rFonts w:ascii="Times New Roman" w:eastAsia="Times New Roman" w:hAnsi="Times New Roman" w:cs="Times New Roman"/>
          <w:sz w:val="28"/>
          <w:szCs w:val="28"/>
        </w:rPr>
      </w:pPr>
    </w:p>
    <w:p w14:paraId="119CC8D9" w14:textId="77777777" w:rsidR="00481C74" w:rsidRPr="00897AD1" w:rsidRDefault="002C24FB" w:rsidP="00C977AE">
      <w:pPr>
        <w:spacing w:line="240" w:lineRule="auto"/>
        <w:ind w:left="720"/>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 xml:space="preserve">(x) El 13 de febrero de 2019, se realizó una “escanografía abdominal total con contraste” que permitió advertir que padece “hernias inguinales bilaterales, de tipo directo, con mayor volumen en el lado izquierdo: con un defecto de discopatía degenerativa L2-L3”. </w:t>
      </w:r>
    </w:p>
    <w:p w14:paraId="1299C43A" w14:textId="77777777" w:rsidR="00481C74" w:rsidRPr="00897AD1" w:rsidRDefault="00481C74" w:rsidP="00C977AE">
      <w:pPr>
        <w:spacing w:line="240" w:lineRule="auto"/>
        <w:ind w:left="720"/>
        <w:jc w:val="both"/>
        <w:rPr>
          <w:rFonts w:ascii="Times New Roman" w:eastAsia="Times New Roman" w:hAnsi="Times New Roman" w:cs="Times New Roman"/>
          <w:sz w:val="28"/>
          <w:szCs w:val="28"/>
        </w:rPr>
      </w:pPr>
    </w:p>
    <w:p w14:paraId="163B51BF" w14:textId="41E9284E" w:rsidR="00481C74" w:rsidRPr="00897AD1" w:rsidRDefault="002C24FB" w:rsidP="00C977AE">
      <w:pPr>
        <w:spacing w:line="240" w:lineRule="auto"/>
        <w:ind w:left="720"/>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 xml:space="preserve">(xi) Teniendo en cuenta lo anterior, </w:t>
      </w:r>
      <w:r w:rsidR="00F56772" w:rsidRPr="00F56772">
        <w:rPr>
          <w:rFonts w:ascii="Times New Roman" w:eastAsia="Times New Roman" w:hAnsi="Times New Roman" w:cs="Times New Roman"/>
          <w:i/>
          <w:iCs/>
          <w:sz w:val="28"/>
          <w:szCs w:val="28"/>
          <w:highlight w:val="white"/>
        </w:rPr>
        <w:t>Jua</w:t>
      </w:r>
      <w:r w:rsidR="00F56772">
        <w:rPr>
          <w:rFonts w:ascii="Times New Roman" w:eastAsia="Times New Roman" w:hAnsi="Times New Roman" w:cs="Times New Roman"/>
          <w:i/>
          <w:iCs/>
          <w:sz w:val="28"/>
          <w:szCs w:val="28"/>
        </w:rPr>
        <w:t xml:space="preserve">n </w:t>
      </w:r>
      <w:r w:rsidRPr="00897AD1">
        <w:rPr>
          <w:rFonts w:ascii="Times New Roman" w:eastAsia="Times New Roman" w:hAnsi="Times New Roman" w:cs="Times New Roman"/>
          <w:sz w:val="28"/>
          <w:szCs w:val="28"/>
        </w:rPr>
        <w:t xml:space="preserve">afirma que la cirugía realizada el 14 de noviembre de 2019 no fue satisfactoria ya que continúa padeciendo hernia inguinal y persisten las molestias derivadas de la misma. </w:t>
      </w:r>
    </w:p>
    <w:p w14:paraId="4DDBEF00" w14:textId="77777777" w:rsidR="00481C74" w:rsidRPr="00897AD1" w:rsidRDefault="00481C74" w:rsidP="00C977AE">
      <w:pPr>
        <w:spacing w:line="240" w:lineRule="auto"/>
        <w:jc w:val="both"/>
        <w:rPr>
          <w:rFonts w:ascii="Times New Roman" w:eastAsia="Times New Roman" w:hAnsi="Times New Roman" w:cs="Times New Roman"/>
          <w:sz w:val="28"/>
          <w:szCs w:val="28"/>
        </w:rPr>
      </w:pPr>
    </w:p>
    <w:p w14:paraId="52618D2F" w14:textId="77777777" w:rsidR="00481C74" w:rsidRPr="00897AD1" w:rsidRDefault="002C24FB" w:rsidP="00C977AE">
      <w:pPr>
        <w:spacing w:line="240" w:lineRule="auto"/>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3. Frente a la vinculación de la Nueva EPS, los demandantes resaltaron lo siguiente</w:t>
      </w:r>
      <w:r w:rsidRPr="00897AD1">
        <w:rPr>
          <w:rFonts w:ascii="Times New Roman" w:eastAsia="Times New Roman" w:hAnsi="Times New Roman" w:cs="Times New Roman"/>
          <w:sz w:val="28"/>
          <w:szCs w:val="28"/>
          <w:vertAlign w:val="superscript"/>
        </w:rPr>
        <w:footnoteReference w:id="5"/>
      </w:r>
      <w:r w:rsidRPr="00897AD1">
        <w:rPr>
          <w:rFonts w:ascii="Times New Roman" w:eastAsia="Times New Roman" w:hAnsi="Times New Roman" w:cs="Times New Roman"/>
          <w:sz w:val="28"/>
          <w:szCs w:val="28"/>
        </w:rPr>
        <w:t xml:space="preserve">: </w:t>
      </w:r>
    </w:p>
    <w:p w14:paraId="3461D779" w14:textId="77777777" w:rsidR="00481C74" w:rsidRPr="00897AD1" w:rsidRDefault="00481C74" w:rsidP="00C977AE">
      <w:pPr>
        <w:spacing w:line="240" w:lineRule="auto"/>
        <w:jc w:val="both"/>
        <w:rPr>
          <w:rFonts w:ascii="Times New Roman" w:eastAsia="Times New Roman" w:hAnsi="Times New Roman" w:cs="Times New Roman"/>
          <w:sz w:val="28"/>
          <w:szCs w:val="28"/>
        </w:rPr>
      </w:pPr>
    </w:p>
    <w:p w14:paraId="05E58BC7" w14:textId="77777777" w:rsidR="00481C74" w:rsidRPr="00897AD1" w:rsidRDefault="002C24FB" w:rsidP="00C977AE">
      <w:pPr>
        <w:spacing w:line="240" w:lineRule="auto"/>
        <w:ind w:left="720"/>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 xml:space="preserve">[...] QUINCE: Que es NUEVA EPS S.A de Tunja la E.P.S a la que se encuentra afiliado mi poderdante desde el 01 de agosto de 2015, y quien se encargaba de emitir las autorizaciones correspondientes para que se le realizara el procedimiento anteriormente descrito en tanto que era esta E.P.S la encargada de suministrar el servicio y la misma fue quien suscribió el convenio respectivo con la CLÍNICA MEDILASER entidad en la que se adelantó el procedimiento quirúrgico descrito. </w:t>
      </w:r>
    </w:p>
    <w:p w14:paraId="3CF2D8B6" w14:textId="77777777" w:rsidR="00481C74" w:rsidRPr="00897AD1" w:rsidRDefault="00481C74" w:rsidP="00C977AE">
      <w:pPr>
        <w:spacing w:line="240" w:lineRule="auto"/>
        <w:ind w:left="720"/>
        <w:jc w:val="both"/>
        <w:rPr>
          <w:rFonts w:ascii="Times New Roman" w:eastAsia="Times New Roman" w:hAnsi="Times New Roman" w:cs="Times New Roman"/>
          <w:sz w:val="28"/>
          <w:szCs w:val="28"/>
        </w:rPr>
      </w:pPr>
    </w:p>
    <w:p w14:paraId="6068FF1E" w14:textId="77777777" w:rsidR="00481C74" w:rsidRPr="00897AD1" w:rsidRDefault="002C24FB" w:rsidP="00C977AE">
      <w:pPr>
        <w:spacing w:line="240" w:lineRule="auto"/>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4. Frente a la vinculación de la entidad pública, los demandantes señalaron que</w:t>
      </w:r>
      <w:r w:rsidRPr="00897AD1">
        <w:rPr>
          <w:rFonts w:ascii="Times New Roman" w:eastAsia="Times New Roman" w:hAnsi="Times New Roman" w:cs="Times New Roman"/>
          <w:sz w:val="28"/>
          <w:szCs w:val="28"/>
          <w:vertAlign w:val="superscript"/>
        </w:rPr>
        <w:footnoteReference w:id="6"/>
      </w:r>
      <w:r w:rsidRPr="00897AD1">
        <w:rPr>
          <w:rFonts w:ascii="Times New Roman" w:eastAsia="Times New Roman" w:hAnsi="Times New Roman" w:cs="Times New Roman"/>
          <w:sz w:val="28"/>
          <w:szCs w:val="28"/>
        </w:rPr>
        <w:t>:</w:t>
      </w:r>
    </w:p>
    <w:p w14:paraId="0FB78278" w14:textId="77777777" w:rsidR="00481C74" w:rsidRPr="00897AD1" w:rsidRDefault="00481C74" w:rsidP="00C977AE">
      <w:pPr>
        <w:spacing w:line="240" w:lineRule="auto"/>
        <w:jc w:val="both"/>
        <w:rPr>
          <w:rFonts w:ascii="Times New Roman" w:eastAsia="Times New Roman" w:hAnsi="Times New Roman" w:cs="Times New Roman"/>
          <w:sz w:val="28"/>
          <w:szCs w:val="28"/>
        </w:rPr>
      </w:pPr>
    </w:p>
    <w:p w14:paraId="236DB8FC" w14:textId="38418767" w:rsidR="00481C74" w:rsidRPr="00897AD1" w:rsidRDefault="002C24FB" w:rsidP="00C977AE">
      <w:pPr>
        <w:spacing w:line="240" w:lineRule="auto"/>
        <w:ind w:left="720"/>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 xml:space="preserve">[...] DIECISÉIS: Que la SECRETARÍA DE SALUD DE BOYACÁ es el ente de control encargado de realizar la inspección y vigilancia de las entidades prestadoras de los servicios de salud, como es el caso de NUEVA EPS S.A y CLÍNICA MEDILASER, según lo establece el Art. 17° Decreto 1237 de 2006 cuando menciona que “ (…) Planear el desarrollo sectorial como garantía al cumplimiento de las políticas en materia de la cobertura y calidad, acorde con las funciones y las directrices nacionales y departamentales y (…) aplicar los procedimientos de planeación, ejecución, seguimiento, evaluación y control de las actividades de la entidad, soportando la gestión en los informes y recomendaciones de mejoramiento. (…) de manera que es la secretaría de salud la encargada de verificar la calidad y seguridad con que se lleven a cabo procedimientos quirúrgicos como el que le fue realizado a </w:t>
      </w:r>
      <w:r w:rsidR="00F56772" w:rsidRPr="00F56772">
        <w:rPr>
          <w:rFonts w:ascii="Times New Roman" w:eastAsia="Times New Roman" w:hAnsi="Times New Roman" w:cs="Times New Roman"/>
          <w:i/>
          <w:iCs/>
          <w:sz w:val="28"/>
          <w:szCs w:val="28"/>
          <w:highlight w:val="white"/>
        </w:rPr>
        <w:t>Jua</w:t>
      </w:r>
      <w:r w:rsidR="00F56772">
        <w:rPr>
          <w:rFonts w:ascii="Times New Roman" w:eastAsia="Times New Roman" w:hAnsi="Times New Roman" w:cs="Times New Roman"/>
          <w:i/>
          <w:iCs/>
          <w:sz w:val="28"/>
          <w:szCs w:val="28"/>
        </w:rPr>
        <w:t>n</w:t>
      </w:r>
      <w:r w:rsidRPr="00897AD1">
        <w:rPr>
          <w:rFonts w:ascii="Times New Roman" w:eastAsia="Times New Roman" w:hAnsi="Times New Roman" w:cs="Times New Roman"/>
          <w:sz w:val="28"/>
          <w:szCs w:val="28"/>
        </w:rPr>
        <w:t xml:space="preserve">. [...]” </w:t>
      </w:r>
    </w:p>
    <w:p w14:paraId="1FC39945" w14:textId="77777777" w:rsidR="00481C74" w:rsidRPr="00897AD1" w:rsidRDefault="00481C74" w:rsidP="00C977AE">
      <w:pPr>
        <w:spacing w:line="240" w:lineRule="auto"/>
        <w:jc w:val="both"/>
        <w:rPr>
          <w:rFonts w:ascii="Times New Roman" w:eastAsia="Times New Roman" w:hAnsi="Times New Roman" w:cs="Times New Roman"/>
          <w:sz w:val="28"/>
          <w:szCs w:val="28"/>
        </w:rPr>
      </w:pPr>
    </w:p>
    <w:p w14:paraId="4A5133A8" w14:textId="77777777" w:rsidR="00481C74" w:rsidRPr="00897AD1" w:rsidRDefault="002C24FB" w:rsidP="00C977AE">
      <w:pPr>
        <w:spacing w:line="240" w:lineRule="auto"/>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5. El asunto fue repartido al Juzgado Décimo Administrativo de Tunja, autoridad judicial que negó las pretensiones de la demanda mediante sentencia proferida el 25 de noviembre de 2022. Dicha decisión fue apelada por la parte demandante y, mediante auto del 24 de marzo de 2023, el Tribunal Administrativo de Boyacá admitió el recurso</w:t>
      </w:r>
      <w:r w:rsidRPr="00897AD1">
        <w:rPr>
          <w:rFonts w:ascii="Times New Roman" w:eastAsia="Times New Roman" w:hAnsi="Times New Roman" w:cs="Times New Roman"/>
          <w:sz w:val="28"/>
          <w:szCs w:val="28"/>
          <w:vertAlign w:val="superscript"/>
        </w:rPr>
        <w:footnoteReference w:id="7"/>
      </w:r>
      <w:r w:rsidRPr="00897AD1">
        <w:rPr>
          <w:rFonts w:ascii="Times New Roman" w:eastAsia="Times New Roman" w:hAnsi="Times New Roman" w:cs="Times New Roman"/>
          <w:sz w:val="28"/>
          <w:szCs w:val="28"/>
        </w:rPr>
        <w:t xml:space="preserve">. </w:t>
      </w:r>
    </w:p>
    <w:p w14:paraId="0562CB0E" w14:textId="77777777" w:rsidR="00481C74" w:rsidRPr="00897AD1" w:rsidRDefault="00481C74" w:rsidP="00C977AE">
      <w:pPr>
        <w:spacing w:line="240" w:lineRule="auto"/>
        <w:jc w:val="both"/>
        <w:rPr>
          <w:rFonts w:ascii="Times New Roman" w:eastAsia="Times New Roman" w:hAnsi="Times New Roman" w:cs="Times New Roman"/>
          <w:sz w:val="28"/>
          <w:szCs w:val="28"/>
        </w:rPr>
      </w:pPr>
    </w:p>
    <w:p w14:paraId="5C9167E6" w14:textId="4A2ED5A6" w:rsidR="00481C74" w:rsidRPr="00897AD1" w:rsidRDefault="002C24FB" w:rsidP="00C977AE">
      <w:pPr>
        <w:spacing w:line="240" w:lineRule="auto"/>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6. El 28 de febrero de 2024, el Tribunal Administrativo de Boyacá declaró su falta de jurisdicción para conocer del asunto. Argumentó que</w:t>
      </w:r>
      <w:r w:rsidR="00854029">
        <w:rPr>
          <w:rFonts w:ascii="Times New Roman" w:eastAsia="Times New Roman" w:hAnsi="Times New Roman" w:cs="Times New Roman"/>
          <w:sz w:val="28"/>
          <w:szCs w:val="28"/>
        </w:rPr>
        <w:t>,</w:t>
      </w:r>
      <w:r w:rsidRPr="00897AD1">
        <w:rPr>
          <w:rFonts w:ascii="Times New Roman" w:eastAsia="Times New Roman" w:hAnsi="Times New Roman" w:cs="Times New Roman"/>
          <w:sz w:val="28"/>
          <w:szCs w:val="28"/>
        </w:rPr>
        <w:t xml:space="preserve"> en el caso estudiado</w:t>
      </w:r>
      <w:r w:rsidR="00854029">
        <w:rPr>
          <w:rFonts w:ascii="Times New Roman" w:eastAsia="Times New Roman" w:hAnsi="Times New Roman" w:cs="Times New Roman"/>
          <w:sz w:val="28"/>
          <w:szCs w:val="28"/>
        </w:rPr>
        <w:t>,</w:t>
      </w:r>
      <w:r w:rsidRPr="00897AD1">
        <w:rPr>
          <w:rFonts w:ascii="Times New Roman" w:eastAsia="Times New Roman" w:hAnsi="Times New Roman" w:cs="Times New Roman"/>
          <w:sz w:val="28"/>
          <w:szCs w:val="28"/>
        </w:rPr>
        <w:t xml:space="preserve"> no se configura el fuero de atracción debido a que no se efectuó ninguna imputación fáctica en contra de la Secretaría de Salud de Boyacá que pudiera generar su responsabilidad por los hechos acaecidos y que, como lo que se pretende en el fondo es que se declare la responsabilidad de entidades privadas, es la jurisdicción ordinaria en su especialidad civil la que debe conocer el expediente. Lo anterior, de conformidad con (i) el artículo 104 del Código de Procedimiento Administrativo y de lo Contencioso Administrativo; (ii) el artículo 15 del Código General del Proceso (en adelante, CGP); (iii) la providencia proferida por la Sección Tercera del Consejo de Estado el 1 de julio de 2020, reiterada el 18 de marzo de 2022; y (iv) la providencia emitida por dicha corporación el 19 de julio de 2016</w:t>
      </w:r>
      <w:r w:rsidRPr="00897AD1">
        <w:rPr>
          <w:rFonts w:ascii="Times New Roman" w:eastAsia="Times New Roman" w:hAnsi="Times New Roman" w:cs="Times New Roman"/>
          <w:sz w:val="28"/>
          <w:szCs w:val="28"/>
          <w:vertAlign w:val="superscript"/>
        </w:rPr>
        <w:footnoteReference w:id="8"/>
      </w:r>
      <w:r w:rsidRPr="00897AD1">
        <w:rPr>
          <w:rFonts w:ascii="Times New Roman" w:eastAsia="Times New Roman" w:hAnsi="Times New Roman" w:cs="Times New Roman"/>
          <w:sz w:val="28"/>
          <w:szCs w:val="28"/>
        </w:rPr>
        <w:t>.</w:t>
      </w:r>
    </w:p>
    <w:p w14:paraId="34CE0A41" w14:textId="77777777" w:rsidR="00481C74" w:rsidRPr="00897AD1" w:rsidRDefault="00481C74" w:rsidP="00C977AE">
      <w:pPr>
        <w:spacing w:line="240" w:lineRule="auto"/>
        <w:jc w:val="both"/>
        <w:rPr>
          <w:rFonts w:ascii="Times New Roman" w:eastAsia="Times New Roman" w:hAnsi="Times New Roman" w:cs="Times New Roman"/>
          <w:sz w:val="28"/>
          <w:szCs w:val="28"/>
        </w:rPr>
      </w:pPr>
    </w:p>
    <w:p w14:paraId="1FB8D54D" w14:textId="738108E3" w:rsidR="00481C74" w:rsidRPr="00897AD1" w:rsidRDefault="002C24FB" w:rsidP="00C977AE">
      <w:pPr>
        <w:spacing w:line="240" w:lineRule="auto"/>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7. El 3 de mayo de 2024, el Juzgado Tercero Civil del Circuito de Oralidad de Tunja decidió no asumir el conocimiento de la demanda y declaró su falta de jurisdicción. Señaló que, en virtud del principio de la perpetuidad en la jurisdicción, los jueces no pueden declararse incompetentes de oficio para conocer de un asunto cuyo conocimiento ya habían asumido previamente. Adicionalmente, indicó que el fuero de atracción extiende la competencia a la jurisdicción de lo contencioso administrativo para conocer de procesos en los que los demandados son personas tanto de derecho privado como de derecho público. Ello, según (i) el artículo 15 del CGP y (ii) el Auto 1182 de 2021 de la Corte Constitucional</w:t>
      </w:r>
      <w:r w:rsidRPr="00897AD1">
        <w:rPr>
          <w:rFonts w:ascii="Times New Roman" w:eastAsia="Times New Roman" w:hAnsi="Times New Roman" w:cs="Times New Roman"/>
          <w:sz w:val="28"/>
          <w:szCs w:val="28"/>
          <w:vertAlign w:val="superscript"/>
        </w:rPr>
        <w:footnoteReference w:id="9"/>
      </w:r>
      <w:r w:rsidRPr="00897AD1">
        <w:rPr>
          <w:rFonts w:ascii="Times New Roman" w:eastAsia="Times New Roman" w:hAnsi="Times New Roman" w:cs="Times New Roman"/>
          <w:sz w:val="28"/>
          <w:szCs w:val="28"/>
        </w:rPr>
        <w:t xml:space="preserve">.  </w:t>
      </w:r>
    </w:p>
    <w:p w14:paraId="62EBF3C5" w14:textId="77777777" w:rsidR="00481C74" w:rsidRPr="00897AD1" w:rsidRDefault="00481C74" w:rsidP="00C977AE">
      <w:pPr>
        <w:spacing w:line="240" w:lineRule="auto"/>
        <w:jc w:val="both"/>
        <w:rPr>
          <w:rFonts w:ascii="Times New Roman" w:eastAsia="Times New Roman" w:hAnsi="Times New Roman" w:cs="Times New Roman"/>
          <w:sz w:val="28"/>
          <w:szCs w:val="28"/>
        </w:rPr>
      </w:pPr>
    </w:p>
    <w:p w14:paraId="6D98A12B" w14:textId="66A4EAD5" w:rsidR="00481C74" w:rsidRDefault="00854029" w:rsidP="00854029">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2C24FB" w:rsidRPr="72561D99">
        <w:rPr>
          <w:rFonts w:ascii="Times New Roman" w:eastAsia="Times New Roman" w:hAnsi="Times New Roman" w:cs="Times New Roman"/>
          <w:sz w:val="28"/>
          <w:szCs w:val="28"/>
        </w:rPr>
        <w:t xml:space="preserve">El expediente fue radicado en la Secretaría General de la Corte el 23 de mayo de 2024, siendo repartido a la magistrada sustanciadora el 24 de mayo de 2024 y entregado a su despacho el 28 de mayo siguiente. </w:t>
      </w:r>
    </w:p>
    <w:p w14:paraId="49606888" w14:textId="77777777" w:rsidR="00854029" w:rsidRPr="00854029" w:rsidRDefault="00854029" w:rsidP="00854029">
      <w:pPr>
        <w:spacing w:line="240" w:lineRule="auto"/>
        <w:jc w:val="both"/>
        <w:rPr>
          <w:rFonts w:ascii="Times New Roman" w:eastAsia="Times New Roman" w:hAnsi="Times New Roman" w:cs="Times New Roman"/>
          <w:sz w:val="28"/>
          <w:szCs w:val="28"/>
        </w:rPr>
      </w:pPr>
    </w:p>
    <w:p w14:paraId="4203144E" w14:textId="77777777" w:rsidR="00481C74" w:rsidRPr="00897AD1" w:rsidRDefault="002C24FB" w:rsidP="00C977AE">
      <w:pPr>
        <w:numPr>
          <w:ilvl w:val="0"/>
          <w:numId w:val="1"/>
        </w:numPr>
        <w:spacing w:line="240" w:lineRule="auto"/>
        <w:jc w:val="both"/>
        <w:rPr>
          <w:rFonts w:ascii="Times New Roman" w:hAnsi="Times New Roman" w:cs="Times New Roman"/>
          <w:sz w:val="28"/>
          <w:szCs w:val="28"/>
        </w:rPr>
      </w:pPr>
      <w:r w:rsidRPr="00897AD1">
        <w:rPr>
          <w:rFonts w:ascii="Times New Roman" w:eastAsia="Times New Roman" w:hAnsi="Times New Roman" w:cs="Times New Roman"/>
          <w:b/>
          <w:sz w:val="28"/>
          <w:szCs w:val="28"/>
        </w:rPr>
        <w:t>CONSIDERACIONES DE LA CORTE CONSTITUCIONAL</w:t>
      </w:r>
    </w:p>
    <w:p w14:paraId="2C90DDA2" w14:textId="77777777" w:rsidR="00481C74" w:rsidRPr="00897AD1" w:rsidRDefault="002C24FB"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rPr>
          <w:rFonts w:ascii="Times New Roman" w:eastAsia="Times New Roman" w:hAnsi="Times New Roman" w:cs="Times New Roman"/>
          <w:b/>
          <w:sz w:val="28"/>
          <w:szCs w:val="28"/>
        </w:rPr>
      </w:pPr>
      <w:r w:rsidRPr="00897AD1">
        <w:rPr>
          <w:rFonts w:ascii="Times New Roman" w:eastAsia="Times New Roman" w:hAnsi="Times New Roman" w:cs="Times New Roman"/>
          <w:b/>
          <w:sz w:val="28"/>
          <w:szCs w:val="28"/>
        </w:rPr>
        <w:t xml:space="preserve">Competencia </w:t>
      </w:r>
    </w:p>
    <w:p w14:paraId="3F234E28" w14:textId="6276B5AA" w:rsidR="00481C74" w:rsidRPr="00897AD1" w:rsidRDefault="00854029"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9.</w:t>
      </w:r>
      <w:r w:rsidR="002C24FB" w:rsidRPr="00897AD1">
        <w:rPr>
          <w:rFonts w:ascii="Times New Roman" w:eastAsia="Times New Roman" w:hAnsi="Times New Roman" w:cs="Times New Roman"/>
          <w:sz w:val="28"/>
          <w:szCs w:val="28"/>
        </w:rPr>
        <w:t xml:space="preserve"> La Corte Constitucional es competente para resolver los conflictos de competencia entre jurisdicciones conforme a lo establecido en el numeral 11 del artículo 241 de la Constitución, adicionado por el artículo 14 del Acto Legislativo 02 de 2015</w:t>
      </w:r>
      <w:r w:rsidR="002C24FB" w:rsidRPr="00897AD1">
        <w:rPr>
          <w:rFonts w:ascii="Times New Roman" w:eastAsia="Times New Roman" w:hAnsi="Times New Roman" w:cs="Times New Roman"/>
          <w:sz w:val="28"/>
          <w:szCs w:val="28"/>
          <w:vertAlign w:val="superscript"/>
        </w:rPr>
        <w:footnoteReference w:id="10"/>
      </w:r>
      <w:r w:rsidR="002C24FB" w:rsidRPr="00897AD1">
        <w:rPr>
          <w:rFonts w:ascii="Times New Roman" w:eastAsia="Times New Roman" w:hAnsi="Times New Roman" w:cs="Times New Roman"/>
          <w:sz w:val="28"/>
          <w:szCs w:val="28"/>
        </w:rPr>
        <w:t>.</w:t>
      </w:r>
    </w:p>
    <w:p w14:paraId="5068CACA" w14:textId="77777777" w:rsidR="00481C74" w:rsidRPr="00897AD1" w:rsidRDefault="002C24FB"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Times New Roman" w:eastAsia="Times New Roman" w:hAnsi="Times New Roman" w:cs="Times New Roman"/>
          <w:sz w:val="28"/>
          <w:szCs w:val="28"/>
        </w:rPr>
      </w:pPr>
      <w:r w:rsidRPr="00897AD1">
        <w:rPr>
          <w:rFonts w:ascii="Times New Roman" w:eastAsia="Times New Roman" w:hAnsi="Times New Roman" w:cs="Times New Roman"/>
          <w:b/>
          <w:sz w:val="28"/>
          <w:szCs w:val="28"/>
        </w:rPr>
        <w:t>Presupuestos para la configuración de un conflicto de jurisdicciones</w:t>
      </w:r>
    </w:p>
    <w:p w14:paraId="3E6751BA" w14:textId="0C13D977" w:rsidR="00481C74" w:rsidRPr="00897AD1" w:rsidRDefault="00854029" w:rsidP="00F92442">
      <w:pPr>
        <w:pBdr>
          <w:top w:val="none" w:sz="0" w:space="7" w:color="000000"/>
          <w:left w:val="none" w:sz="0" w:space="7" w:color="000000"/>
          <w:bottom w:val="none" w:sz="0" w:space="7" w:color="000000"/>
          <w:right w:val="none" w:sz="0" w:space="7" w:color="000000"/>
          <w:between w:val="none" w:sz="0" w:space="7" w:color="000000"/>
        </w:pBdr>
        <w:shd w:val="clear" w:color="auto" w:fill="FFFFFF" w:themeFill="background1"/>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C24FB" w:rsidRPr="00897AD1">
        <w:rPr>
          <w:rFonts w:ascii="Times New Roman" w:eastAsia="Times New Roman" w:hAnsi="Times New Roman" w:cs="Times New Roman"/>
          <w:sz w:val="28"/>
          <w:szCs w:val="28"/>
        </w:rPr>
        <w:t>. Este Tribunal ha señalado que los conflictos entre jurisdicciones se presentan cuando “dos o más autoridades que administran justicia y pertenecen a distintas jurisdicciones se disputan el conocimiento de un proceso, bien sea porque estiman que a ninguna le corresponde (negativo), o porque consideran que es de su exclusiva incumbencia (positivo)”</w:t>
      </w:r>
      <w:r w:rsidR="002C24FB" w:rsidRPr="00897AD1">
        <w:rPr>
          <w:rFonts w:ascii="Times New Roman" w:eastAsia="Times New Roman" w:hAnsi="Times New Roman" w:cs="Times New Roman"/>
          <w:sz w:val="28"/>
          <w:szCs w:val="28"/>
          <w:vertAlign w:val="superscript"/>
        </w:rPr>
        <w:footnoteReference w:id="11"/>
      </w:r>
      <w:r w:rsidR="005653C2">
        <w:rPr>
          <w:rFonts w:ascii="Times New Roman" w:eastAsia="Times New Roman" w:hAnsi="Times New Roman" w:cs="Times New Roman"/>
          <w:sz w:val="28"/>
          <w:szCs w:val="28"/>
        </w:rPr>
        <w:t>.</w:t>
      </w:r>
      <w:r w:rsidR="00F92442">
        <w:rPr>
          <w:rFonts w:ascii="Times New Roman" w:eastAsia="Times New Roman" w:hAnsi="Times New Roman" w:cs="Times New Roman"/>
          <w:sz w:val="28"/>
          <w:szCs w:val="28"/>
        </w:rPr>
        <w:t xml:space="preserve"> </w:t>
      </w:r>
      <w:r w:rsidR="002C24FB" w:rsidRPr="00897AD1">
        <w:rPr>
          <w:rFonts w:ascii="Times New Roman" w:eastAsia="Times New Roman" w:hAnsi="Times New Roman" w:cs="Times New Roman"/>
          <w:sz w:val="28"/>
          <w:szCs w:val="28"/>
        </w:rPr>
        <w:t>De igual forma, ha establecido en reiteradas ocasiones que, para que se configure un conflicto de jurisdicciones, se requiere el cumplimiento de tres presupuestos: subjetivo, objetivo y normativo</w:t>
      </w:r>
      <w:r w:rsidR="002C24FB" w:rsidRPr="00897AD1">
        <w:rPr>
          <w:rFonts w:ascii="Times New Roman" w:eastAsia="Times New Roman" w:hAnsi="Times New Roman" w:cs="Times New Roman"/>
          <w:sz w:val="28"/>
          <w:szCs w:val="28"/>
          <w:vertAlign w:val="superscript"/>
        </w:rPr>
        <w:footnoteReference w:id="12"/>
      </w:r>
      <w:r w:rsidR="005653C2">
        <w:rPr>
          <w:rFonts w:ascii="Times New Roman" w:eastAsia="Times New Roman" w:hAnsi="Times New Roman" w:cs="Times New Roman"/>
          <w:sz w:val="28"/>
          <w:szCs w:val="28"/>
        </w:rPr>
        <w:t>.</w:t>
      </w:r>
    </w:p>
    <w:p w14:paraId="4C2D05E1" w14:textId="4D4A69E3" w:rsidR="00481C74" w:rsidRPr="00897AD1" w:rsidRDefault="002C24FB"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1</w:t>
      </w:r>
      <w:r w:rsidR="00F92442">
        <w:rPr>
          <w:rFonts w:ascii="Times New Roman" w:eastAsia="Times New Roman" w:hAnsi="Times New Roman" w:cs="Times New Roman"/>
          <w:sz w:val="28"/>
          <w:szCs w:val="28"/>
        </w:rPr>
        <w:t>1</w:t>
      </w:r>
      <w:r w:rsidRPr="00897AD1">
        <w:rPr>
          <w:rFonts w:ascii="Times New Roman" w:eastAsia="Times New Roman" w:hAnsi="Times New Roman" w:cs="Times New Roman"/>
          <w:sz w:val="28"/>
          <w:szCs w:val="28"/>
        </w:rPr>
        <w:t xml:space="preserve">. El presupuesto subjetivo exige que la controversia sea suscitada por al menos dos autoridades que administren justicia y que pertenezcan a diferentes jurisdicciones. </w:t>
      </w:r>
    </w:p>
    <w:p w14:paraId="5304E538" w14:textId="67354B4C" w:rsidR="00481C74" w:rsidRPr="00897AD1" w:rsidRDefault="002C24FB"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1</w:t>
      </w:r>
      <w:r w:rsidR="00F92442">
        <w:rPr>
          <w:rFonts w:ascii="Times New Roman" w:eastAsia="Times New Roman" w:hAnsi="Times New Roman" w:cs="Times New Roman"/>
          <w:sz w:val="28"/>
          <w:szCs w:val="28"/>
        </w:rPr>
        <w:t>2</w:t>
      </w:r>
      <w:r w:rsidRPr="00897AD1">
        <w:rPr>
          <w:rFonts w:ascii="Times New Roman" w:eastAsia="Times New Roman" w:hAnsi="Times New Roman" w:cs="Times New Roman"/>
          <w:sz w:val="28"/>
          <w:szCs w:val="28"/>
        </w:rPr>
        <w:t>. El presupuesto objetivo establece que debe existir una causa judicial sobre la cual se suscite la controversia, es decir, que pueda verificarse que está en desarrollo un proceso, un incidente o cualquier otro trámite de naturaleza jurisdiccional</w:t>
      </w:r>
      <w:r w:rsidRPr="00897AD1">
        <w:rPr>
          <w:rFonts w:ascii="Times New Roman" w:eastAsia="Times New Roman" w:hAnsi="Times New Roman" w:cs="Times New Roman"/>
          <w:sz w:val="28"/>
          <w:szCs w:val="28"/>
          <w:vertAlign w:val="superscript"/>
        </w:rPr>
        <w:footnoteReference w:id="13"/>
      </w:r>
      <w:r w:rsidRPr="00897AD1">
        <w:rPr>
          <w:rFonts w:ascii="Times New Roman" w:eastAsia="Times New Roman" w:hAnsi="Times New Roman" w:cs="Times New Roman"/>
          <w:sz w:val="28"/>
          <w:szCs w:val="28"/>
        </w:rPr>
        <w:t>.</w:t>
      </w:r>
    </w:p>
    <w:p w14:paraId="69C6FCF0" w14:textId="09AC5E3D" w:rsidR="00481C74" w:rsidRPr="00897AD1" w:rsidRDefault="002C24FB"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Times New Roman" w:eastAsia="Times New Roman" w:hAnsi="Times New Roman" w:cs="Times New Roman"/>
          <w:sz w:val="28"/>
          <w:szCs w:val="28"/>
          <w:vertAlign w:val="superscript"/>
        </w:rPr>
      </w:pPr>
      <w:r w:rsidRPr="00897AD1">
        <w:rPr>
          <w:rFonts w:ascii="Times New Roman" w:eastAsia="Times New Roman" w:hAnsi="Times New Roman" w:cs="Times New Roman"/>
          <w:sz w:val="28"/>
          <w:szCs w:val="28"/>
        </w:rPr>
        <w:t>13. El presupuesto normativo señala que es necesario que las autoridades en colisión hayan manifestado de manera expresa las razones de índole constitucional o legal por las cuales se consideran competentes o no para conocer de la causa</w:t>
      </w:r>
      <w:r w:rsidRPr="00897AD1">
        <w:rPr>
          <w:rFonts w:ascii="Times New Roman" w:eastAsia="Times New Roman" w:hAnsi="Times New Roman" w:cs="Times New Roman"/>
          <w:sz w:val="28"/>
          <w:szCs w:val="28"/>
          <w:vertAlign w:val="superscript"/>
        </w:rPr>
        <w:footnoteReference w:id="14"/>
      </w:r>
      <w:r w:rsidR="005653C2">
        <w:rPr>
          <w:rFonts w:ascii="Times New Roman" w:eastAsia="Times New Roman" w:hAnsi="Times New Roman" w:cs="Times New Roman"/>
          <w:sz w:val="28"/>
          <w:szCs w:val="28"/>
        </w:rPr>
        <w:t>.</w:t>
      </w:r>
    </w:p>
    <w:p w14:paraId="62DEC101" w14:textId="77777777" w:rsidR="00481C74" w:rsidRPr="00897AD1" w:rsidRDefault="002C24FB"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 xml:space="preserve">14. En el caso concreto, la Corte Constitucional considera que se encuentran acreditados los presupuestos para que se configure un conflicto de jurisdicciones entre el Tribunal Administrativo de Boyacá y el Juzgado Tercero Civil del Circuito de Oralidad de Tunja. </w:t>
      </w:r>
    </w:p>
    <w:p w14:paraId="5F6C3BDE" w14:textId="65A6719D" w:rsidR="00481C74" w:rsidRPr="00897AD1" w:rsidRDefault="002C24FB"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Times New Roman" w:eastAsia="Times New Roman" w:hAnsi="Times New Roman" w:cs="Times New Roman"/>
          <w:sz w:val="28"/>
          <w:szCs w:val="28"/>
          <w:highlight w:val="yellow"/>
        </w:rPr>
      </w:pPr>
      <w:r w:rsidRPr="00897AD1">
        <w:rPr>
          <w:rFonts w:ascii="Times New Roman" w:eastAsia="Times New Roman" w:hAnsi="Times New Roman" w:cs="Times New Roman"/>
          <w:sz w:val="28"/>
          <w:szCs w:val="28"/>
        </w:rPr>
        <w:t>1</w:t>
      </w:r>
      <w:r w:rsidR="00F92442">
        <w:rPr>
          <w:rFonts w:ascii="Times New Roman" w:eastAsia="Times New Roman" w:hAnsi="Times New Roman" w:cs="Times New Roman"/>
          <w:sz w:val="28"/>
          <w:szCs w:val="28"/>
        </w:rPr>
        <w:t>5</w:t>
      </w:r>
      <w:r w:rsidRPr="00897AD1">
        <w:rPr>
          <w:rFonts w:ascii="Times New Roman" w:eastAsia="Times New Roman" w:hAnsi="Times New Roman" w:cs="Times New Roman"/>
          <w:sz w:val="28"/>
          <w:szCs w:val="28"/>
        </w:rPr>
        <w:t xml:space="preserve">. La Sala encuentra que se cumple el </w:t>
      </w:r>
      <w:r w:rsidRPr="00897AD1">
        <w:rPr>
          <w:rFonts w:ascii="Times New Roman" w:eastAsia="Times New Roman" w:hAnsi="Times New Roman" w:cs="Times New Roman"/>
          <w:b/>
          <w:sz w:val="28"/>
          <w:szCs w:val="28"/>
        </w:rPr>
        <w:t>presupuesto subjetivo</w:t>
      </w:r>
      <w:r w:rsidRPr="00897AD1">
        <w:rPr>
          <w:rFonts w:ascii="Times New Roman" w:eastAsia="Times New Roman" w:hAnsi="Times New Roman" w:cs="Times New Roman"/>
          <w:sz w:val="28"/>
          <w:szCs w:val="28"/>
        </w:rPr>
        <w:t>. El Tribunal Administrativo de Boyacá (autoridad que integra la jurisdicción de lo contencioso administrativo) rechazó su competencia para asumir el conocimiento de este asunto el 28 de febrero de 2024. Por su parte, el Juzgado Tercero Civil del Circuito de Oralidad de Tunja (que integra la jurisdicción ordinaria) hizo lo mismo el 3 de mayo de 2024.</w:t>
      </w:r>
    </w:p>
    <w:p w14:paraId="6EC55007" w14:textId="7B79EBE7" w:rsidR="00481C74" w:rsidRPr="00897AD1" w:rsidRDefault="0B142657" w:rsidP="668F987B">
      <w:pPr>
        <w:pBdr>
          <w:top w:val="none" w:sz="0" w:space="7" w:color="000000"/>
          <w:left w:val="none" w:sz="0" w:space="7" w:color="000000"/>
          <w:bottom w:val="none" w:sz="0" w:space="7" w:color="000000"/>
          <w:right w:val="none" w:sz="0" w:space="7" w:color="000000"/>
          <w:between w:val="none" w:sz="0" w:space="7" w:color="000000"/>
        </w:pBdr>
        <w:shd w:val="clear" w:color="auto" w:fill="FFFFFF" w:themeFill="background1"/>
        <w:spacing w:line="240" w:lineRule="auto"/>
        <w:jc w:val="both"/>
        <w:rPr>
          <w:rFonts w:ascii="Times New Roman" w:eastAsia="Times New Roman" w:hAnsi="Times New Roman" w:cs="Times New Roman"/>
          <w:sz w:val="28"/>
          <w:szCs w:val="28"/>
        </w:rPr>
      </w:pPr>
      <w:r w:rsidRPr="668F987B">
        <w:rPr>
          <w:rFonts w:ascii="Times New Roman" w:eastAsia="Times New Roman" w:hAnsi="Times New Roman" w:cs="Times New Roman"/>
          <w:sz w:val="28"/>
          <w:szCs w:val="28"/>
        </w:rPr>
        <w:t>1</w:t>
      </w:r>
      <w:r w:rsidR="00F92442">
        <w:rPr>
          <w:rFonts w:ascii="Times New Roman" w:eastAsia="Times New Roman" w:hAnsi="Times New Roman" w:cs="Times New Roman"/>
          <w:sz w:val="28"/>
          <w:szCs w:val="28"/>
        </w:rPr>
        <w:t>6</w:t>
      </w:r>
      <w:r w:rsidRPr="668F987B">
        <w:rPr>
          <w:rFonts w:ascii="Times New Roman" w:eastAsia="Times New Roman" w:hAnsi="Times New Roman" w:cs="Times New Roman"/>
          <w:sz w:val="28"/>
          <w:szCs w:val="28"/>
        </w:rPr>
        <w:t xml:space="preserve">. También se encuentra satisfecho el </w:t>
      </w:r>
      <w:r w:rsidRPr="668F987B">
        <w:rPr>
          <w:rFonts w:ascii="Times New Roman" w:eastAsia="Times New Roman" w:hAnsi="Times New Roman" w:cs="Times New Roman"/>
          <w:b/>
          <w:bCs/>
          <w:sz w:val="28"/>
          <w:szCs w:val="28"/>
        </w:rPr>
        <w:t>presupuesto objetivo</w:t>
      </w:r>
      <w:r w:rsidRPr="668F987B">
        <w:rPr>
          <w:rFonts w:ascii="Times New Roman" w:eastAsia="Times New Roman" w:hAnsi="Times New Roman" w:cs="Times New Roman"/>
          <w:sz w:val="28"/>
          <w:szCs w:val="28"/>
        </w:rPr>
        <w:t xml:space="preserve"> porque existe una demanda de </w:t>
      </w:r>
      <w:r w:rsidRPr="668F987B">
        <w:rPr>
          <w:rFonts w:ascii="Times New Roman" w:eastAsia="Times New Roman" w:hAnsi="Times New Roman" w:cs="Times New Roman"/>
          <w:sz w:val="28"/>
          <w:szCs w:val="28"/>
          <w:highlight w:val="white"/>
        </w:rPr>
        <w:t xml:space="preserve">reparación directa promovida por </w:t>
      </w:r>
      <w:r w:rsidR="00F56772" w:rsidRPr="00F56772">
        <w:rPr>
          <w:rFonts w:ascii="Times New Roman" w:eastAsia="Times New Roman" w:hAnsi="Times New Roman" w:cs="Times New Roman"/>
          <w:i/>
          <w:iCs/>
          <w:sz w:val="28"/>
          <w:szCs w:val="28"/>
          <w:highlight w:val="white"/>
        </w:rPr>
        <w:t>Juan</w:t>
      </w:r>
      <w:r w:rsidR="00F56772">
        <w:rPr>
          <w:rFonts w:ascii="Times New Roman" w:eastAsia="Times New Roman" w:hAnsi="Times New Roman" w:cs="Times New Roman"/>
          <w:sz w:val="28"/>
          <w:szCs w:val="28"/>
          <w:highlight w:val="white"/>
        </w:rPr>
        <w:t xml:space="preserve">, </w:t>
      </w:r>
      <w:r w:rsidR="00F56772" w:rsidRPr="00F56772">
        <w:rPr>
          <w:rFonts w:ascii="Times New Roman" w:eastAsia="Times New Roman" w:hAnsi="Times New Roman" w:cs="Times New Roman"/>
          <w:i/>
          <w:iCs/>
          <w:sz w:val="28"/>
          <w:szCs w:val="28"/>
          <w:highlight w:val="white"/>
        </w:rPr>
        <w:t xml:space="preserve">Mariana </w:t>
      </w:r>
      <w:r w:rsidR="00F56772">
        <w:rPr>
          <w:rFonts w:ascii="Times New Roman" w:eastAsia="Times New Roman" w:hAnsi="Times New Roman" w:cs="Times New Roman"/>
          <w:sz w:val="28"/>
          <w:szCs w:val="28"/>
          <w:highlight w:val="white"/>
        </w:rPr>
        <w:t xml:space="preserve">y </w:t>
      </w:r>
      <w:r w:rsidR="00F56772" w:rsidRPr="00F56772">
        <w:rPr>
          <w:rFonts w:ascii="Times New Roman" w:eastAsia="Times New Roman" w:hAnsi="Times New Roman" w:cs="Times New Roman"/>
          <w:i/>
          <w:iCs/>
          <w:sz w:val="28"/>
          <w:szCs w:val="28"/>
          <w:highlight w:val="white"/>
        </w:rPr>
        <w:t>Laura</w:t>
      </w:r>
      <w:r w:rsidRPr="668F987B">
        <w:rPr>
          <w:rFonts w:ascii="Times New Roman" w:eastAsia="Times New Roman" w:hAnsi="Times New Roman" w:cs="Times New Roman"/>
          <w:sz w:val="28"/>
          <w:szCs w:val="28"/>
          <w:highlight w:val="white"/>
        </w:rPr>
        <w:t xml:space="preserve"> en contra de la Clínica Medilaser, la Nueva EPS y la Secretaría de Salud de Boyacá</w:t>
      </w:r>
      <w:r w:rsidR="74B14709" w:rsidRPr="668F987B">
        <w:rPr>
          <w:rFonts w:ascii="Times New Roman" w:eastAsia="Times New Roman" w:hAnsi="Times New Roman" w:cs="Times New Roman"/>
          <w:sz w:val="28"/>
          <w:szCs w:val="28"/>
          <w:highlight w:val="white"/>
        </w:rPr>
        <w:t>.</w:t>
      </w:r>
    </w:p>
    <w:p w14:paraId="11A0FEE0" w14:textId="68B51B16" w:rsidR="00481C74" w:rsidRPr="00897AD1" w:rsidRDefault="002C24FB" w:rsidP="668F987B">
      <w:pPr>
        <w:pBdr>
          <w:top w:val="none" w:sz="0" w:space="7" w:color="000000"/>
          <w:left w:val="none" w:sz="0" w:space="7" w:color="000000"/>
          <w:bottom w:val="none" w:sz="0" w:space="7" w:color="000000"/>
          <w:right w:val="none" w:sz="0" w:space="7" w:color="000000"/>
          <w:between w:val="none" w:sz="0" w:space="7" w:color="000000"/>
        </w:pBdr>
        <w:shd w:val="clear" w:color="auto" w:fill="FFFFFF" w:themeFill="background1"/>
        <w:spacing w:line="240" w:lineRule="auto"/>
        <w:jc w:val="both"/>
        <w:rPr>
          <w:rFonts w:ascii="Times New Roman" w:eastAsia="Times New Roman" w:hAnsi="Times New Roman" w:cs="Times New Roman"/>
          <w:sz w:val="28"/>
          <w:szCs w:val="28"/>
        </w:rPr>
      </w:pPr>
      <w:r w:rsidRPr="668F987B">
        <w:rPr>
          <w:rFonts w:ascii="Times New Roman" w:eastAsia="Times New Roman" w:hAnsi="Times New Roman" w:cs="Times New Roman"/>
          <w:sz w:val="28"/>
          <w:szCs w:val="28"/>
        </w:rPr>
        <w:t>1</w:t>
      </w:r>
      <w:r w:rsidR="00F92442">
        <w:rPr>
          <w:rFonts w:ascii="Times New Roman" w:eastAsia="Times New Roman" w:hAnsi="Times New Roman" w:cs="Times New Roman"/>
          <w:sz w:val="28"/>
          <w:szCs w:val="28"/>
        </w:rPr>
        <w:t>7</w:t>
      </w:r>
      <w:r w:rsidRPr="668F987B">
        <w:rPr>
          <w:rFonts w:ascii="Times New Roman" w:eastAsia="Times New Roman" w:hAnsi="Times New Roman" w:cs="Times New Roman"/>
          <w:sz w:val="28"/>
          <w:szCs w:val="28"/>
        </w:rPr>
        <w:t xml:space="preserve">. Adicionalmente, se encuentra acreditado el </w:t>
      </w:r>
      <w:r w:rsidRPr="668F987B">
        <w:rPr>
          <w:rFonts w:ascii="Times New Roman" w:eastAsia="Times New Roman" w:hAnsi="Times New Roman" w:cs="Times New Roman"/>
          <w:b/>
          <w:bCs/>
          <w:sz w:val="28"/>
          <w:szCs w:val="28"/>
        </w:rPr>
        <w:t>presupuesto normativo</w:t>
      </w:r>
      <w:r w:rsidRPr="668F987B">
        <w:rPr>
          <w:rFonts w:ascii="Times New Roman" w:eastAsia="Times New Roman" w:hAnsi="Times New Roman" w:cs="Times New Roman"/>
          <w:sz w:val="28"/>
          <w:szCs w:val="28"/>
        </w:rPr>
        <w:t xml:space="preserve"> puesto que ambas autoridades enunciaron, expresamente, los fundamentos legales en los cuales soportan sus decisiones de rechazar el conocimiento de la demanda (</w:t>
      </w:r>
      <w:r w:rsidRPr="668F987B">
        <w:rPr>
          <w:rFonts w:ascii="Times New Roman" w:eastAsia="Times New Roman" w:hAnsi="Times New Roman" w:cs="Times New Roman"/>
          <w:i/>
          <w:iCs/>
          <w:sz w:val="28"/>
          <w:szCs w:val="28"/>
        </w:rPr>
        <w:t>cfr.,</w:t>
      </w:r>
      <w:r w:rsidRPr="668F987B">
        <w:rPr>
          <w:rFonts w:ascii="Times New Roman" w:eastAsia="Times New Roman" w:hAnsi="Times New Roman" w:cs="Times New Roman"/>
          <w:sz w:val="28"/>
          <w:szCs w:val="28"/>
        </w:rPr>
        <w:t xml:space="preserve"> antecedentes 5 y 6).</w:t>
      </w:r>
    </w:p>
    <w:p w14:paraId="4E9EA0F7" w14:textId="77777777" w:rsidR="00481C74" w:rsidRPr="00897AD1" w:rsidRDefault="002C24FB"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themeFill="background1"/>
        <w:spacing w:line="240" w:lineRule="auto"/>
        <w:jc w:val="both"/>
        <w:rPr>
          <w:rFonts w:ascii="Times New Roman" w:eastAsia="Times New Roman" w:hAnsi="Times New Roman" w:cs="Times New Roman"/>
          <w:b/>
          <w:bCs/>
          <w:sz w:val="28"/>
          <w:szCs w:val="28"/>
        </w:rPr>
      </w:pPr>
      <w:r w:rsidRPr="041F913F">
        <w:rPr>
          <w:rFonts w:ascii="Times New Roman" w:eastAsia="Times New Roman" w:hAnsi="Times New Roman" w:cs="Times New Roman"/>
          <w:b/>
          <w:bCs/>
          <w:sz w:val="28"/>
          <w:szCs w:val="28"/>
        </w:rPr>
        <w:t>Reglas de competencia para conocer sobre demandas de responsabilidad médica cuando el conflicto de jurisdicciones se suscita entre la jurisdicción ordinaria en su especialidad civil y la jurisdicción de lo contencioso administrativo. Reiteración del Auto 913 de 2023</w:t>
      </w:r>
      <w:r w:rsidRPr="041F913F">
        <w:rPr>
          <w:rFonts w:ascii="Times New Roman" w:eastAsia="Times New Roman" w:hAnsi="Times New Roman" w:cs="Times New Roman"/>
          <w:b/>
          <w:bCs/>
          <w:sz w:val="28"/>
          <w:szCs w:val="28"/>
          <w:vertAlign w:val="superscript"/>
        </w:rPr>
        <w:footnoteReference w:id="15"/>
      </w:r>
      <w:r w:rsidRPr="041F913F">
        <w:rPr>
          <w:rFonts w:ascii="Times New Roman" w:eastAsia="Times New Roman" w:hAnsi="Times New Roman" w:cs="Times New Roman"/>
          <w:b/>
          <w:bCs/>
          <w:sz w:val="28"/>
          <w:szCs w:val="28"/>
        </w:rPr>
        <w:t xml:space="preserve"> </w:t>
      </w:r>
    </w:p>
    <w:p w14:paraId="1B24C077" w14:textId="66EE326F" w:rsidR="00481C74" w:rsidRPr="00897AD1" w:rsidRDefault="002C24FB"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1</w:t>
      </w:r>
      <w:r w:rsidR="00F92442">
        <w:rPr>
          <w:rFonts w:ascii="Times New Roman" w:eastAsia="Times New Roman" w:hAnsi="Times New Roman" w:cs="Times New Roman"/>
          <w:sz w:val="28"/>
          <w:szCs w:val="28"/>
        </w:rPr>
        <w:t>8</w:t>
      </w:r>
      <w:r w:rsidRPr="00897AD1">
        <w:rPr>
          <w:rFonts w:ascii="Times New Roman" w:eastAsia="Times New Roman" w:hAnsi="Times New Roman" w:cs="Times New Roman"/>
          <w:sz w:val="28"/>
          <w:szCs w:val="28"/>
        </w:rPr>
        <w:t>. En el Auto 646 de 2021</w:t>
      </w:r>
      <w:r w:rsidRPr="00897AD1">
        <w:rPr>
          <w:rFonts w:ascii="Times New Roman" w:eastAsia="Times New Roman" w:hAnsi="Times New Roman" w:cs="Times New Roman"/>
          <w:sz w:val="28"/>
          <w:szCs w:val="28"/>
          <w:vertAlign w:val="superscript"/>
        </w:rPr>
        <w:footnoteReference w:id="16"/>
      </w:r>
      <w:r w:rsidRPr="00897AD1">
        <w:rPr>
          <w:rFonts w:ascii="Times New Roman" w:eastAsia="Times New Roman" w:hAnsi="Times New Roman" w:cs="Times New Roman"/>
          <w:sz w:val="28"/>
          <w:szCs w:val="28"/>
        </w:rPr>
        <w:t>, la Corte Constitucional determinó que la competencia para conocer de los procesos de responsabilidad médica se establece a partir de los siguientes criterios o factores de competencia: (i) el criterio orgánico</w:t>
      </w:r>
      <w:r w:rsidRPr="00897AD1">
        <w:rPr>
          <w:rFonts w:ascii="Times New Roman" w:eastAsia="Times New Roman" w:hAnsi="Times New Roman" w:cs="Times New Roman"/>
          <w:sz w:val="28"/>
          <w:szCs w:val="28"/>
          <w:vertAlign w:val="superscript"/>
        </w:rPr>
        <w:footnoteReference w:id="17"/>
      </w:r>
      <w:r w:rsidRPr="00897AD1">
        <w:rPr>
          <w:rFonts w:ascii="Times New Roman" w:eastAsia="Times New Roman" w:hAnsi="Times New Roman" w:cs="Times New Roman"/>
          <w:sz w:val="28"/>
          <w:szCs w:val="28"/>
        </w:rPr>
        <w:t xml:space="preserve"> y (ii) el fuero de atracción o criterio de conexidad</w:t>
      </w:r>
      <w:r w:rsidRPr="00897AD1">
        <w:rPr>
          <w:rFonts w:ascii="Times New Roman" w:eastAsia="Times New Roman" w:hAnsi="Times New Roman" w:cs="Times New Roman"/>
          <w:sz w:val="28"/>
          <w:szCs w:val="28"/>
          <w:vertAlign w:val="superscript"/>
        </w:rPr>
        <w:footnoteReference w:id="18"/>
      </w:r>
      <w:r w:rsidRPr="00897AD1">
        <w:rPr>
          <w:rFonts w:ascii="Times New Roman" w:eastAsia="Times New Roman" w:hAnsi="Times New Roman" w:cs="Times New Roman"/>
          <w:sz w:val="28"/>
          <w:szCs w:val="28"/>
        </w:rPr>
        <w:t xml:space="preserve">. </w:t>
      </w:r>
    </w:p>
    <w:p w14:paraId="6AEDD485" w14:textId="2B4D4AFB" w:rsidR="00481C74" w:rsidRPr="00897AD1" w:rsidRDefault="002C24FB"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1</w:t>
      </w:r>
      <w:r w:rsidR="00F92442">
        <w:rPr>
          <w:rFonts w:ascii="Times New Roman" w:eastAsia="Times New Roman" w:hAnsi="Times New Roman" w:cs="Times New Roman"/>
          <w:sz w:val="28"/>
          <w:szCs w:val="28"/>
        </w:rPr>
        <w:t>9</w:t>
      </w:r>
      <w:r w:rsidRPr="00897AD1">
        <w:rPr>
          <w:rFonts w:ascii="Times New Roman" w:eastAsia="Times New Roman" w:hAnsi="Times New Roman" w:cs="Times New Roman"/>
          <w:sz w:val="28"/>
          <w:szCs w:val="28"/>
        </w:rPr>
        <w:t>. Adicionalmente, para resumir la regla de decisión, en dicha providencia</w:t>
      </w:r>
      <w:r w:rsidR="00F92442">
        <w:rPr>
          <w:rFonts w:ascii="Times New Roman" w:eastAsia="Times New Roman" w:hAnsi="Times New Roman" w:cs="Times New Roman"/>
          <w:sz w:val="28"/>
          <w:szCs w:val="28"/>
        </w:rPr>
        <w:t>,</w:t>
      </w:r>
      <w:r w:rsidRPr="00897AD1">
        <w:rPr>
          <w:rFonts w:ascii="Times New Roman" w:eastAsia="Times New Roman" w:hAnsi="Times New Roman" w:cs="Times New Roman"/>
          <w:sz w:val="28"/>
          <w:szCs w:val="28"/>
        </w:rPr>
        <w:t xml:space="preserve"> se incluyó el siguiente cuadro: </w:t>
      </w:r>
    </w:p>
    <w:p w14:paraId="2946DB82" w14:textId="77777777" w:rsidR="00481C74" w:rsidRPr="00897AD1" w:rsidRDefault="00481C74"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Times New Roman" w:eastAsia="Times New Roman" w:hAnsi="Times New Roman" w:cs="Times New Roman"/>
          <w:sz w:val="28"/>
          <w:szCs w:val="28"/>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481C74" w:rsidRPr="00897AD1" w14:paraId="3EF6D856" w14:textId="77777777" w:rsidTr="325E21D9">
        <w:tc>
          <w:tcPr>
            <w:tcW w:w="9360" w:type="dxa"/>
            <w:shd w:val="clear" w:color="auto" w:fill="auto"/>
            <w:tcMar>
              <w:top w:w="100" w:type="dxa"/>
              <w:left w:w="100" w:type="dxa"/>
              <w:bottom w:w="100" w:type="dxa"/>
              <w:right w:w="100" w:type="dxa"/>
            </w:tcMar>
          </w:tcPr>
          <w:p w14:paraId="7681450B" w14:textId="77777777" w:rsidR="00481C74" w:rsidRPr="00897AD1" w:rsidRDefault="002C24FB" w:rsidP="00C977AE">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r w:rsidRPr="00897AD1">
              <w:rPr>
                <w:rFonts w:ascii="Times New Roman" w:eastAsia="Times New Roman" w:hAnsi="Times New Roman" w:cs="Times New Roman"/>
                <w:b/>
                <w:sz w:val="28"/>
                <w:szCs w:val="28"/>
                <w:highlight w:val="white"/>
              </w:rPr>
              <w:t>Competencia para conocer demandas de responsabilidad médica</w:t>
            </w:r>
          </w:p>
        </w:tc>
      </w:tr>
      <w:tr w:rsidR="00481C74" w:rsidRPr="00897AD1" w14:paraId="2F850C0A" w14:textId="77777777" w:rsidTr="325E21D9">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349D63AD" w14:textId="77777777" w:rsidR="00481C74" w:rsidRPr="00897AD1" w:rsidRDefault="002C24FB" w:rsidP="00C977AE">
            <w:pPr>
              <w:widowControl w:val="0"/>
              <w:spacing w:before="80" w:after="80" w:line="240" w:lineRule="auto"/>
              <w:jc w:val="both"/>
              <w:rPr>
                <w:rFonts w:ascii="Times New Roman" w:eastAsia="Times New Roman" w:hAnsi="Times New Roman" w:cs="Times New Roman"/>
                <w:sz w:val="28"/>
                <w:szCs w:val="28"/>
                <w:highlight w:val="white"/>
              </w:rPr>
            </w:pPr>
            <w:r w:rsidRPr="00897AD1">
              <w:rPr>
                <w:rFonts w:ascii="Times New Roman" w:eastAsia="Times New Roman" w:hAnsi="Times New Roman" w:cs="Times New Roman"/>
                <w:b/>
                <w:sz w:val="28"/>
                <w:szCs w:val="28"/>
              </w:rPr>
              <w:t>I.</w:t>
            </w:r>
            <w:r w:rsidRPr="00897AD1">
              <w:rPr>
                <w:rFonts w:ascii="Times New Roman" w:eastAsia="Times New Roman" w:hAnsi="Times New Roman" w:cs="Times New Roman"/>
                <w:sz w:val="28"/>
                <w:szCs w:val="28"/>
              </w:rPr>
              <w:t xml:space="preserve">       </w:t>
            </w:r>
            <w:r w:rsidRPr="00897AD1">
              <w:rPr>
                <w:rFonts w:ascii="Times New Roman" w:eastAsia="Times New Roman" w:hAnsi="Times New Roman" w:cs="Times New Roman"/>
                <w:sz w:val="28"/>
                <w:szCs w:val="28"/>
              </w:rPr>
              <w:tab/>
            </w:r>
            <w:r w:rsidRPr="00897AD1">
              <w:rPr>
                <w:rFonts w:ascii="Times New Roman" w:eastAsia="Times New Roman" w:hAnsi="Times New Roman" w:cs="Times New Roman"/>
                <w:sz w:val="28"/>
                <w:szCs w:val="28"/>
                <w:highlight w:val="white"/>
              </w:rPr>
              <w:t>Premisa general. La competencia para conocer procesos de responsabilidad médica debe determinarse a partir de dos criterios o factores: (i) el criterio orgánico de competencia y (ii) el factor de conexidad o fuero de atracción.</w:t>
            </w:r>
          </w:p>
          <w:p w14:paraId="33990045" w14:textId="77777777" w:rsidR="00481C74" w:rsidRPr="00897AD1" w:rsidRDefault="002C24FB" w:rsidP="00C977AE">
            <w:pPr>
              <w:widowControl w:val="0"/>
              <w:spacing w:before="80" w:after="80" w:line="240" w:lineRule="auto"/>
              <w:jc w:val="both"/>
              <w:rPr>
                <w:rFonts w:ascii="Times New Roman" w:eastAsia="Times New Roman" w:hAnsi="Times New Roman" w:cs="Times New Roman"/>
                <w:sz w:val="28"/>
                <w:szCs w:val="28"/>
                <w:highlight w:val="white"/>
              </w:rPr>
            </w:pPr>
            <w:r w:rsidRPr="00897AD1">
              <w:rPr>
                <w:rFonts w:ascii="Times New Roman" w:eastAsia="Times New Roman" w:hAnsi="Times New Roman" w:cs="Times New Roman"/>
                <w:b/>
                <w:sz w:val="28"/>
                <w:szCs w:val="28"/>
              </w:rPr>
              <w:t>II.</w:t>
            </w:r>
            <w:r w:rsidRPr="00897AD1">
              <w:rPr>
                <w:rFonts w:ascii="Times New Roman" w:eastAsia="Times New Roman" w:hAnsi="Times New Roman" w:cs="Times New Roman"/>
                <w:sz w:val="28"/>
                <w:szCs w:val="28"/>
              </w:rPr>
              <w:t xml:space="preserve">    </w:t>
            </w:r>
            <w:r w:rsidRPr="00897AD1">
              <w:rPr>
                <w:rFonts w:ascii="Times New Roman" w:eastAsia="Times New Roman" w:hAnsi="Times New Roman" w:cs="Times New Roman"/>
                <w:sz w:val="28"/>
                <w:szCs w:val="28"/>
              </w:rPr>
              <w:tab/>
            </w:r>
            <w:r w:rsidRPr="00897AD1">
              <w:rPr>
                <w:rFonts w:ascii="Times New Roman" w:eastAsia="Times New Roman" w:hAnsi="Times New Roman" w:cs="Times New Roman"/>
                <w:sz w:val="28"/>
                <w:szCs w:val="28"/>
                <w:highlight w:val="white"/>
              </w:rPr>
              <w:t>Factores o criterios para determinar la competencia en casos de responsabilidad médica.</w:t>
            </w:r>
          </w:p>
          <w:p w14:paraId="1B63C0A5" w14:textId="77777777" w:rsidR="00481C74" w:rsidRPr="00897AD1" w:rsidRDefault="002C24FB" w:rsidP="00C977AE">
            <w:pPr>
              <w:widowControl w:val="0"/>
              <w:spacing w:before="80" w:after="80" w:line="240" w:lineRule="auto"/>
              <w:ind w:left="1240" w:hanging="360"/>
              <w:jc w:val="both"/>
              <w:rPr>
                <w:rFonts w:ascii="Times New Roman" w:eastAsia="Times New Roman" w:hAnsi="Times New Roman" w:cs="Times New Roman"/>
                <w:sz w:val="28"/>
                <w:szCs w:val="28"/>
                <w:highlight w:val="white"/>
              </w:rPr>
            </w:pPr>
            <w:r w:rsidRPr="00897AD1">
              <w:rPr>
                <w:rFonts w:ascii="Times New Roman" w:eastAsia="Times New Roman" w:hAnsi="Times New Roman" w:cs="Times New Roman"/>
                <w:b/>
                <w:sz w:val="28"/>
                <w:szCs w:val="28"/>
              </w:rPr>
              <w:t>1.</w:t>
            </w:r>
            <w:r w:rsidRPr="00897AD1">
              <w:rPr>
                <w:rFonts w:ascii="Times New Roman" w:eastAsia="Times New Roman" w:hAnsi="Times New Roman" w:cs="Times New Roman"/>
                <w:b/>
                <w:sz w:val="28"/>
                <w:szCs w:val="28"/>
              </w:rPr>
              <w:tab/>
            </w:r>
            <w:r w:rsidRPr="00897AD1">
              <w:rPr>
                <w:rFonts w:ascii="Times New Roman" w:eastAsia="Times New Roman" w:hAnsi="Times New Roman" w:cs="Times New Roman"/>
                <w:sz w:val="28"/>
                <w:szCs w:val="28"/>
                <w:highlight w:val="white"/>
              </w:rPr>
              <w:t>El criterio orgánico. En virtud del criterio orgánico:</w:t>
            </w:r>
          </w:p>
          <w:p w14:paraId="021EE221" w14:textId="77777777" w:rsidR="00481C74" w:rsidRPr="00897AD1" w:rsidRDefault="002C24FB" w:rsidP="00C977AE">
            <w:pPr>
              <w:widowControl w:val="0"/>
              <w:spacing w:before="80" w:after="80" w:line="240" w:lineRule="auto"/>
              <w:ind w:left="1180" w:hanging="20"/>
              <w:jc w:val="both"/>
              <w:rPr>
                <w:rFonts w:ascii="Times New Roman" w:eastAsia="Times New Roman" w:hAnsi="Times New Roman" w:cs="Times New Roman"/>
                <w:sz w:val="28"/>
                <w:szCs w:val="28"/>
                <w:highlight w:val="white"/>
              </w:rPr>
            </w:pPr>
            <w:r w:rsidRPr="00897AD1">
              <w:rPr>
                <w:rFonts w:ascii="Times New Roman" w:eastAsia="Times New Roman" w:hAnsi="Times New Roman" w:cs="Times New Roman"/>
                <w:sz w:val="28"/>
                <w:szCs w:val="28"/>
              </w:rPr>
              <w:t xml:space="preserve">(i)    </w:t>
            </w:r>
            <w:r w:rsidRPr="00897AD1">
              <w:rPr>
                <w:rFonts w:ascii="Times New Roman" w:eastAsia="Times New Roman" w:hAnsi="Times New Roman" w:cs="Times New Roman"/>
                <w:sz w:val="28"/>
                <w:szCs w:val="28"/>
              </w:rPr>
              <w:tab/>
            </w:r>
            <w:r w:rsidRPr="00897AD1">
              <w:rPr>
                <w:rFonts w:ascii="Times New Roman" w:eastAsia="Times New Roman" w:hAnsi="Times New Roman" w:cs="Times New Roman"/>
                <w:sz w:val="28"/>
                <w:szCs w:val="28"/>
                <w:highlight w:val="white"/>
              </w:rPr>
              <w:t>La competencia para conocer los procesos de responsabilidad médica será de la jurisdicción ordinaria, en su especialidad civil, si la entidad demandada es privada.</w:t>
            </w:r>
          </w:p>
          <w:p w14:paraId="5020E583" w14:textId="77777777" w:rsidR="00481C74" w:rsidRPr="00897AD1" w:rsidRDefault="002C24FB" w:rsidP="00C977AE">
            <w:pPr>
              <w:widowControl w:val="0"/>
              <w:spacing w:before="80" w:after="80" w:line="240" w:lineRule="auto"/>
              <w:ind w:left="1180" w:hanging="20"/>
              <w:jc w:val="both"/>
              <w:rPr>
                <w:rFonts w:ascii="Times New Roman" w:eastAsia="Times New Roman" w:hAnsi="Times New Roman" w:cs="Times New Roman"/>
                <w:sz w:val="28"/>
                <w:szCs w:val="28"/>
                <w:highlight w:val="white"/>
              </w:rPr>
            </w:pPr>
            <w:r w:rsidRPr="00897AD1">
              <w:rPr>
                <w:rFonts w:ascii="Times New Roman" w:eastAsia="Times New Roman" w:hAnsi="Times New Roman" w:cs="Times New Roman"/>
                <w:sz w:val="28"/>
                <w:szCs w:val="28"/>
              </w:rPr>
              <w:t xml:space="preserve">(ii)  </w:t>
            </w:r>
            <w:r w:rsidRPr="00897AD1">
              <w:rPr>
                <w:rFonts w:ascii="Times New Roman" w:eastAsia="Times New Roman" w:hAnsi="Times New Roman" w:cs="Times New Roman"/>
                <w:sz w:val="28"/>
                <w:szCs w:val="28"/>
              </w:rPr>
              <w:tab/>
            </w:r>
            <w:r w:rsidRPr="00897AD1">
              <w:rPr>
                <w:rFonts w:ascii="Times New Roman" w:eastAsia="Times New Roman" w:hAnsi="Times New Roman" w:cs="Times New Roman"/>
                <w:sz w:val="28"/>
                <w:szCs w:val="28"/>
                <w:highlight w:val="white"/>
              </w:rPr>
              <w:t>La competencia para conocer los procesos de responsabilidad médica será de la jurisdicción de lo contencioso administrativo si la entidad demandada es pública, independientemente de la relación entre la entidad prestadora del servicio de salud y sus afiliados o beneficiarios.</w:t>
            </w:r>
          </w:p>
          <w:p w14:paraId="70B7F18E" w14:textId="77777777" w:rsidR="00481C74" w:rsidRPr="00897AD1" w:rsidRDefault="002C24FB" w:rsidP="00C977AE">
            <w:pPr>
              <w:widowControl w:val="0"/>
              <w:spacing w:before="80" w:after="80" w:line="240" w:lineRule="auto"/>
              <w:ind w:left="1180" w:hanging="20"/>
              <w:jc w:val="both"/>
              <w:rPr>
                <w:rFonts w:ascii="Times New Roman" w:eastAsia="Times New Roman" w:hAnsi="Times New Roman" w:cs="Times New Roman"/>
                <w:sz w:val="28"/>
                <w:szCs w:val="28"/>
                <w:highlight w:val="white"/>
              </w:rPr>
            </w:pPr>
            <w:r w:rsidRPr="00897AD1">
              <w:rPr>
                <w:rFonts w:ascii="Times New Roman" w:eastAsia="Times New Roman" w:hAnsi="Times New Roman" w:cs="Times New Roman"/>
                <w:sz w:val="28"/>
                <w:szCs w:val="28"/>
              </w:rPr>
              <w:t>(iii)</w:t>
            </w:r>
            <w:r w:rsidRPr="00897AD1">
              <w:rPr>
                <w:rFonts w:ascii="Times New Roman" w:eastAsia="Times New Roman" w:hAnsi="Times New Roman" w:cs="Times New Roman"/>
                <w:sz w:val="28"/>
                <w:szCs w:val="28"/>
              </w:rPr>
              <w:tab/>
            </w:r>
            <w:r w:rsidRPr="00897AD1">
              <w:rPr>
                <w:rFonts w:ascii="Times New Roman" w:eastAsia="Times New Roman" w:hAnsi="Times New Roman" w:cs="Times New Roman"/>
                <w:sz w:val="28"/>
                <w:szCs w:val="28"/>
                <w:highlight w:val="white"/>
              </w:rPr>
              <w:t>El criterio orgánico es insuficiente para determinar la jurisdicción competente para conocer demandas de responsabilidad médica en las que se demanda de forma simultánea a entidades públicas y privadas. En estos casos es necesario acudir al factor de conexidad o fuero de atracción.</w:t>
            </w:r>
          </w:p>
          <w:p w14:paraId="77F6CA1C" w14:textId="77777777" w:rsidR="00481C74" w:rsidRPr="00897AD1" w:rsidRDefault="002C24FB" w:rsidP="00C977AE">
            <w:pPr>
              <w:widowControl w:val="0"/>
              <w:spacing w:before="80" w:after="80" w:line="240" w:lineRule="auto"/>
              <w:ind w:left="1240" w:hanging="360"/>
              <w:jc w:val="both"/>
              <w:rPr>
                <w:rFonts w:ascii="Times New Roman" w:eastAsia="Times New Roman" w:hAnsi="Times New Roman" w:cs="Times New Roman"/>
                <w:sz w:val="28"/>
                <w:szCs w:val="28"/>
                <w:highlight w:val="white"/>
              </w:rPr>
            </w:pPr>
            <w:r w:rsidRPr="00897AD1">
              <w:rPr>
                <w:rFonts w:ascii="Times New Roman" w:eastAsia="Times New Roman" w:hAnsi="Times New Roman" w:cs="Times New Roman"/>
                <w:b/>
                <w:sz w:val="28"/>
                <w:szCs w:val="28"/>
              </w:rPr>
              <w:t>2.</w:t>
            </w:r>
            <w:r w:rsidRPr="00897AD1">
              <w:rPr>
                <w:rFonts w:ascii="Times New Roman" w:eastAsia="Times New Roman" w:hAnsi="Times New Roman" w:cs="Times New Roman"/>
                <w:b/>
                <w:sz w:val="28"/>
                <w:szCs w:val="28"/>
              </w:rPr>
              <w:tab/>
            </w:r>
            <w:r w:rsidRPr="00897AD1">
              <w:rPr>
                <w:rFonts w:ascii="Times New Roman" w:eastAsia="Times New Roman" w:hAnsi="Times New Roman" w:cs="Times New Roman"/>
                <w:sz w:val="28"/>
                <w:szCs w:val="28"/>
                <w:highlight w:val="white"/>
              </w:rPr>
              <w:t>El fuero de atracción</w:t>
            </w:r>
          </w:p>
          <w:p w14:paraId="214D59C5" w14:textId="77777777" w:rsidR="00481C74" w:rsidRPr="00897AD1" w:rsidRDefault="002C24FB" w:rsidP="00C977AE">
            <w:pPr>
              <w:widowControl w:val="0"/>
              <w:spacing w:before="80" w:after="80" w:line="240" w:lineRule="auto"/>
              <w:ind w:left="1180" w:hanging="20"/>
              <w:jc w:val="both"/>
              <w:rPr>
                <w:rFonts w:ascii="Times New Roman" w:eastAsia="Times New Roman" w:hAnsi="Times New Roman" w:cs="Times New Roman"/>
                <w:sz w:val="28"/>
                <w:szCs w:val="28"/>
                <w:highlight w:val="white"/>
              </w:rPr>
            </w:pPr>
            <w:r w:rsidRPr="00897AD1">
              <w:rPr>
                <w:rFonts w:ascii="Times New Roman" w:eastAsia="Times New Roman" w:hAnsi="Times New Roman" w:cs="Times New Roman"/>
                <w:sz w:val="28"/>
                <w:szCs w:val="28"/>
              </w:rPr>
              <w:t xml:space="preserve">(i)    </w:t>
            </w:r>
            <w:r w:rsidRPr="00897AD1">
              <w:rPr>
                <w:rFonts w:ascii="Times New Roman" w:eastAsia="Times New Roman" w:hAnsi="Times New Roman" w:cs="Times New Roman"/>
                <w:sz w:val="28"/>
                <w:szCs w:val="28"/>
              </w:rPr>
              <w:tab/>
            </w:r>
            <w:r w:rsidRPr="00897AD1">
              <w:rPr>
                <w:rFonts w:ascii="Times New Roman" w:eastAsia="Times New Roman" w:hAnsi="Times New Roman" w:cs="Times New Roman"/>
                <w:sz w:val="28"/>
                <w:szCs w:val="28"/>
                <w:highlight w:val="white"/>
              </w:rPr>
              <w:t>Definición. El fuero de atracción es un fenómeno procesal en virtud del cual la competencia de la jurisdicción de lo contencioso administrativo se extiende a personas de derecho privado cuando estas son demandadas de forma concomitante con entidades públicas.</w:t>
            </w:r>
          </w:p>
          <w:p w14:paraId="5CFA13E0" w14:textId="77777777" w:rsidR="00481C74" w:rsidRPr="00897AD1" w:rsidRDefault="002C24FB" w:rsidP="00C977AE">
            <w:pPr>
              <w:widowControl w:val="0"/>
              <w:spacing w:before="80" w:after="80" w:line="240" w:lineRule="auto"/>
              <w:ind w:left="1180" w:hanging="20"/>
              <w:jc w:val="both"/>
              <w:rPr>
                <w:rFonts w:ascii="Times New Roman" w:eastAsia="Times New Roman" w:hAnsi="Times New Roman" w:cs="Times New Roman"/>
                <w:sz w:val="28"/>
                <w:szCs w:val="28"/>
                <w:highlight w:val="white"/>
              </w:rPr>
            </w:pPr>
            <w:r w:rsidRPr="00897AD1">
              <w:rPr>
                <w:rFonts w:ascii="Times New Roman" w:eastAsia="Times New Roman" w:hAnsi="Times New Roman" w:cs="Times New Roman"/>
                <w:sz w:val="28"/>
                <w:szCs w:val="28"/>
              </w:rPr>
              <w:t xml:space="preserve">(ii)  </w:t>
            </w:r>
            <w:r w:rsidRPr="00897AD1">
              <w:rPr>
                <w:rFonts w:ascii="Times New Roman" w:eastAsia="Times New Roman" w:hAnsi="Times New Roman" w:cs="Times New Roman"/>
                <w:sz w:val="28"/>
                <w:szCs w:val="28"/>
              </w:rPr>
              <w:tab/>
            </w:r>
            <w:r w:rsidRPr="00897AD1">
              <w:rPr>
                <w:rFonts w:ascii="Times New Roman" w:eastAsia="Times New Roman" w:hAnsi="Times New Roman" w:cs="Times New Roman"/>
                <w:sz w:val="28"/>
                <w:szCs w:val="28"/>
                <w:highlight w:val="white"/>
              </w:rPr>
              <w:t>Aplicación del fuero de atracción. El fuero de atracción no opera de forma automática. El Consejo de Estado y el Consejo Superior de la Judicatura han establecido algunos criterios orientadores para su aplicación, es decir, para determinar si la jurisdicción de lo contencioso administrativo debe asumir o no el conocimiento de la controversia en estos casos. Al respecto, han señalado que los jueces deben verificar que:</w:t>
            </w:r>
          </w:p>
          <w:p w14:paraId="12E70C5C" w14:textId="77777777" w:rsidR="00481C74" w:rsidRPr="00897AD1" w:rsidRDefault="002C24FB" w:rsidP="00C977AE">
            <w:pPr>
              <w:widowControl w:val="0"/>
              <w:spacing w:before="80" w:after="80" w:line="240" w:lineRule="auto"/>
              <w:ind w:left="1880" w:hanging="360"/>
              <w:jc w:val="both"/>
              <w:rPr>
                <w:rFonts w:ascii="Times New Roman" w:eastAsia="Times New Roman" w:hAnsi="Times New Roman" w:cs="Times New Roman"/>
                <w:sz w:val="28"/>
                <w:szCs w:val="28"/>
                <w:highlight w:val="white"/>
              </w:rPr>
            </w:pPr>
            <w:r w:rsidRPr="00897AD1">
              <w:rPr>
                <w:rFonts w:ascii="Times New Roman" w:eastAsia="Times New Roman" w:hAnsi="Times New Roman" w:cs="Times New Roman"/>
                <w:i/>
                <w:sz w:val="28"/>
                <w:szCs w:val="28"/>
              </w:rPr>
              <w:t>(a)</w:t>
            </w:r>
            <w:r w:rsidRPr="00897AD1">
              <w:rPr>
                <w:rFonts w:ascii="Times New Roman" w:eastAsia="Times New Roman" w:hAnsi="Times New Roman" w:cs="Times New Roman"/>
                <w:sz w:val="28"/>
                <w:szCs w:val="28"/>
              </w:rPr>
              <w:t xml:space="preserve"> </w:t>
            </w:r>
            <w:r w:rsidRPr="00897AD1">
              <w:rPr>
                <w:rFonts w:ascii="Times New Roman" w:eastAsia="Times New Roman" w:hAnsi="Times New Roman" w:cs="Times New Roman"/>
                <w:sz w:val="28"/>
                <w:szCs w:val="28"/>
                <w:highlight w:val="white"/>
              </w:rPr>
              <w:t>Los hechos y la causa que fundamentan la eventual responsabilidad de los sujetos de derecho privado y las entidades estatales son los mismos.</w:t>
            </w:r>
          </w:p>
          <w:p w14:paraId="07E59BCC" w14:textId="77777777" w:rsidR="00481C74" w:rsidRPr="00897AD1" w:rsidRDefault="002C24FB" w:rsidP="00C977AE">
            <w:pPr>
              <w:widowControl w:val="0"/>
              <w:spacing w:before="80" w:after="80" w:line="240" w:lineRule="auto"/>
              <w:ind w:left="1880" w:hanging="360"/>
              <w:jc w:val="both"/>
              <w:rPr>
                <w:rFonts w:ascii="Times New Roman" w:eastAsia="Times New Roman" w:hAnsi="Times New Roman" w:cs="Times New Roman"/>
                <w:sz w:val="28"/>
                <w:szCs w:val="28"/>
                <w:highlight w:val="white"/>
              </w:rPr>
            </w:pPr>
            <w:r w:rsidRPr="00897AD1">
              <w:rPr>
                <w:rFonts w:ascii="Times New Roman" w:eastAsia="Times New Roman" w:hAnsi="Times New Roman" w:cs="Times New Roman"/>
                <w:i/>
                <w:sz w:val="28"/>
                <w:szCs w:val="28"/>
                <w:highlight w:val="white"/>
              </w:rPr>
              <w:t>(b)</w:t>
            </w:r>
            <w:r w:rsidRPr="00897AD1">
              <w:rPr>
                <w:rFonts w:ascii="Times New Roman" w:eastAsia="Times New Roman" w:hAnsi="Times New Roman" w:cs="Times New Roman"/>
                <w:sz w:val="28"/>
                <w:szCs w:val="28"/>
                <w:highlight w:val="white"/>
              </w:rPr>
              <w:t xml:space="preserve"> Los hechos, las pretensiones y las pruebas que obran en el expediente permiten inferir razonablemente que existe una probabilidad “mínimamente seria” de que las entidades estatales serán condenadas.</w:t>
            </w:r>
          </w:p>
          <w:p w14:paraId="665633BD" w14:textId="77777777" w:rsidR="00481C74" w:rsidRPr="00897AD1" w:rsidRDefault="002C24FB" w:rsidP="00C977AE">
            <w:pPr>
              <w:widowControl w:val="0"/>
              <w:spacing w:before="80" w:after="80" w:line="240" w:lineRule="auto"/>
              <w:ind w:left="1880" w:hanging="360"/>
              <w:jc w:val="both"/>
              <w:rPr>
                <w:rFonts w:ascii="Times New Roman" w:eastAsia="Times New Roman" w:hAnsi="Times New Roman" w:cs="Times New Roman"/>
                <w:sz w:val="28"/>
                <w:szCs w:val="28"/>
                <w:highlight w:val="white"/>
              </w:rPr>
            </w:pPr>
            <w:r w:rsidRPr="325E21D9">
              <w:rPr>
                <w:rFonts w:ascii="Times New Roman" w:eastAsia="Times New Roman" w:hAnsi="Times New Roman" w:cs="Times New Roman"/>
                <w:i/>
                <w:iCs/>
                <w:sz w:val="28"/>
                <w:szCs w:val="28"/>
                <w:highlight w:val="white"/>
              </w:rPr>
              <w:t>(c)</w:t>
            </w:r>
            <w:r w:rsidRPr="325E21D9">
              <w:rPr>
                <w:rFonts w:ascii="Times New Roman" w:eastAsia="Times New Roman" w:hAnsi="Times New Roman" w:cs="Times New Roman"/>
                <w:sz w:val="28"/>
                <w:szCs w:val="28"/>
                <w:highlight w:val="white"/>
              </w:rPr>
              <w:t xml:space="preserve"> El demandante haya planteado fundamentos fácticos y jurídicos para imputar el daño antijurídico a la entidad estatal. En este sentido, deben existir suficientes elementos de juicio que permitan concluir, por lo menos </w:t>
            </w:r>
            <w:r w:rsidRPr="325E21D9">
              <w:rPr>
                <w:rFonts w:ascii="Times New Roman" w:eastAsia="Times New Roman" w:hAnsi="Times New Roman" w:cs="Times New Roman"/>
                <w:i/>
                <w:iCs/>
                <w:sz w:val="28"/>
                <w:szCs w:val="28"/>
                <w:highlight w:val="white"/>
              </w:rPr>
              <w:t>prima facie</w:t>
            </w:r>
            <w:r w:rsidRPr="325E21D9">
              <w:rPr>
                <w:rFonts w:ascii="Times New Roman" w:eastAsia="Times New Roman" w:hAnsi="Times New Roman" w:cs="Times New Roman"/>
                <w:sz w:val="28"/>
                <w:szCs w:val="28"/>
                <w:highlight w:val="white"/>
              </w:rPr>
              <w:t>, que las acciones u omisiones de la entidad estatal demandada fueron, al menos, “concausa eficiente del daño”.</w:t>
            </w:r>
          </w:p>
        </w:tc>
      </w:tr>
    </w:tbl>
    <w:p w14:paraId="5997CC1D" w14:textId="77777777" w:rsidR="00481C74" w:rsidRPr="00897AD1" w:rsidRDefault="00481C74"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Times New Roman" w:eastAsia="Times New Roman" w:hAnsi="Times New Roman" w:cs="Times New Roman"/>
          <w:sz w:val="28"/>
          <w:szCs w:val="28"/>
        </w:rPr>
      </w:pPr>
    </w:p>
    <w:p w14:paraId="3261D13B" w14:textId="43095230" w:rsidR="00481C74" w:rsidRPr="00897AD1" w:rsidRDefault="00F92442"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themeFill="background1"/>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20</w:t>
      </w:r>
      <w:r w:rsidR="0B142657" w:rsidRPr="00897AD1">
        <w:rPr>
          <w:rFonts w:ascii="Times New Roman" w:eastAsia="Times New Roman" w:hAnsi="Times New Roman" w:cs="Times New Roman"/>
          <w:sz w:val="28"/>
          <w:szCs w:val="28"/>
        </w:rPr>
        <w:t>. Posteriormente, en el Auto 201 de 2022</w:t>
      </w:r>
      <w:r w:rsidR="002C24FB" w:rsidRPr="00897AD1">
        <w:rPr>
          <w:rFonts w:ascii="Times New Roman" w:eastAsia="Times New Roman" w:hAnsi="Times New Roman" w:cs="Times New Roman"/>
          <w:sz w:val="28"/>
          <w:szCs w:val="28"/>
          <w:vertAlign w:val="superscript"/>
        </w:rPr>
        <w:footnoteReference w:id="19"/>
      </w:r>
      <w:r w:rsidR="0B142657" w:rsidRPr="00897AD1">
        <w:rPr>
          <w:rFonts w:ascii="Times New Roman" w:eastAsia="Times New Roman" w:hAnsi="Times New Roman" w:cs="Times New Roman"/>
          <w:sz w:val="28"/>
          <w:szCs w:val="28"/>
        </w:rPr>
        <w:t xml:space="preserve">, esta Corporación resolvió un </w:t>
      </w:r>
      <w:r w:rsidR="0B142657" w:rsidRPr="00897AD1">
        <w:rPr>
          <w:rFonts w:ascii="Times New Roman" w:eastAsia="Times New Roman" w:hAnsi="Times New Roman" w:cs="Times New Roman"/>
          <w:sz w:val="28"/>
          <w:szCs w:val="28"/>
          <w:highlight w:val="white"/>
        </w:rPr>
        <w:t xml:space="preserve">conflicto de jurisdicciones entre el Juzgado Sexto Administrativo de Armenia y el Juzgado Primero Civil del Circuito de Armenia, en relación con un proceso en el que se alegaba la responsabilidad civil extracontractual y administrativa de algunas entidades de salud y autoridades como la Superintendencia Nacional de Salud, con ocasión de una supuesta mala praxis médica. En dicha oportunidad, la Corte reiteró las reglas anteriormente referenciadas y precisó que la competencia se determina, además de por el criterio orgánico y el fuero de atracción, por el factor objetivo. Sobre </w:t>
      </w:r>
      <w:r w:rsidR="3624FCA6" w:rsidRPr="00897AD1">
        <w:rPr>
          <w:rFonts w:ascii="Times New Roman" w:eastAsia="Times New Roman" w:hAnsi="Times New Roman" w:cs="Times New Roman"/>
          <w:sz w:val="28"/>
          <w:szCs w:val="28"/>
          <w:highlight w:val="white"/>
        </w:rPr>
        <w:t>este</w:t>
      </w:r>
      <w:r w:rsidR="0B142657" w:rsidRPr="00897AD1">
        <w:rPr>
          <w:rFonts w:ascii="Times New Roman" w:eastAsia="Times New Roman" w:hAnsi="Times New Roman" w:cs="Times New Roman"/>
          <w:sz w:val="28"/>
          <w:szCs w:val="28"/>
          <w:highlight w:val="white"/>
        </w:rPr>
        <w:t xml:space="preserve"> último señaló que:</w:t>
      </w:r>
    </w:p>
    <w:p w14:paraId="57B179FC" w14:textId="77777777" w:rsidR="00481C74" w:rsidRPr="00897AD1" w:rsidRDefault="002C24FB"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before="240" w:after="240" w:line="240" w:lineRule="auto"/>
        <w:ind w:left="560"/>
        <w:jc w:val="both"/>
        <w:rPr>
          <w:rFonts w:ascii="Times New Roman" w:eastAsia="Times New Roman" w:hAnsi="Times New Roman" w:cs="Times New Roman"/>
          <w:sz w:val="28"/>
          <w:szCs w:val="28"/>
          <w:highlight w:val="white"/>
        </w:rPr>
      </w:pPr>
      <w:r w:rsidRPr="00897AD1">
        <w:rPr>
          <w:rFonts w:ascii="Times New Roman" w:eastAsia="Times New Roman" w:hAnsi="Times New Roman" w:cs="Times New Roman"/>
          <w:sz w:val="28"/>
          <w:szCs w:val="28"/>
          <w:highlight w:val="white"/>
        </w:rPr>
        <w:t>“Atiende a la especialidad de la materia objeto de controversia litigiosa. En virtud de este criterio, la competencia para conocer de los procesos de responsabilidad médica de cualquier naturaleza y origen, sin consideración a las partes, será de la jurisdicción ordinaria, en su especialidad civil, si el asunto no es de conocimiento de la justicia contencioso administrativa. Este criterio de asignación de competencia es una aplicación de la cláusula general o residual de competencia prevista en el artículo 15 del CGP y de la atribución de competencia que hacen los artículos 17 numeral 1º, 18 numeral 1º y 20 numeral 1º del mismo código”.</w:t>
      </w:r>
    </w:p>
    <w:p w14:paraId="3C480A77" w14:textId="7CCDCC70" w:rsidR="00481C74" w:rsidRPr="00897AD1" w:rsidRDefault="00F92442"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21</w:t>
      </w:r>
      <w:r w:rsidR="002C24FB" w:rsidRPr="00897AD1">
        <w:rPr>
          <w:rFonts w:ascii="Times New Roman" w:eastAsia="Times New Roman" w:hAnsi="Times New Roman" w:cs="Times New Roman"/>
          <w:sz w:val="28"/>
          <w:szCs w:val="28"/>
          <w:highlight w:val="white"/>
        </w:rPr>
        <w:t>. Después, mediante Auto 720 de 2022</w:t>
      </w:r>
      <w:r w:rsidR="002C24FB" w:rsidRPr="00897AD1">
        <w:rPr>
          <w:rFonts w:ascii="Times New Roman" w:eastAsia="Times New Roman" w:hAnsi="Times New Roman" w:cs="Times New Roman"/>
          <w:sz w:val="28"/>
          <w:szCs w:val="28"/>
          <w:highlight w:val="white"/>
          <w:vertAlign w:val="superscript"/>
        </w:rPr>
        <w:footnoteReference w:id="20"/>
      </w:r>
      <w:r w:rsidR="002C24FB" w:rsidRPr="00897AD1">
        <w:rPr>
          <w:rFonts w:ascii="Times New Roman" w:eastAsia="Times New Roman" w:hAnsi="Times New Roman" w:cs="Times New Roman"/>
          <w:sz w:val="28"/>
          <w:szCs w:val="28"/>
          <w:highlight w:val="white"/>
        </w:rPr>
        <w:t>, la Sala Plena dirimió un conflicto de jurisdicciones entre el Juzgado Veinte Administrativo Mixto del Circuito de Cali y el Juzgado Diecinueve Civil del Circuito de Cali</w:t>
      </w:r>
      <w:r>
        <w:rPr>
          <w:rFonts w:ascii="Times New Roman" w:eastAsia="Times New Roman" w:hAnsi="Times New Roman" w:cs="Times New Roman"/>
          <w:sz w:val="28"/>
          <w:szCs w:val="28"/>
          <w:highlight w:val="white"/>
        </w:rPr>
        <w:t>,</w:t>
      </w:r>
      <w:r w:rsidR="002C24FB" w:rsidRPr="00897AD1">
        <w:rPr>
          <w:rFonts w:ascii="Times New Roman" w:eastAsia="Times New Roman" w:hAnsi="Times New Roman" w:cs="Times New Roman"/>
          <w:sz w:val="28"/>
          <w:szCs w:val="28"/>
          <w:highlight w:val="white"/>
        </w:rPr>
        <w:t xml:space="preserve"> reiterando la regla de competencia para conocer procesos de responsabilidad médica contenida en el Auto 646, en los términos que a continuación se citan:</w:t>
      </w:r>
    </w:p>
    <w:p w14:paraId="35CDE963" w14:textId="74AEE635" w:rsidR="00481C74" w:rsidRPr="00897AD1" w:rsidRDefault="0B142657"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themeFill="background1"/>
        <w:spacing w:before="240" w:after="240" w:line="240" w:lineRule="auto"/>
        <w:ind w:left="560"/>
        <w:jc w:val="both"/>
        <w:rPr>
          <w:rFonts w:ascii="Times New Roman" w:eastAsia="Times New Roman" w:hAnsi="Times New Roman" w:cs="Times New Roman"/>
          <w:sz w:val="28"/>
          <w:szCs w:val="28"/>
          <w:highlight w:val="white"/>
        </w:rPr>
      </w:pPr>
      <w:r w:rsidRPr="325E21D9">
        <w:rPr>
          <w:rFonts w:ascii="Times New Roman" w:eastAsia="Times New Roman" w:hAnsi="Times New Roman" w:cs="Times New Roman"/>
          <w:sz w:val="28"/>
          <w:szCs w:val="28"/>
          <w:highlight w:val="white"/>
        </w:rPr>
        <w:t xml:space="preserve">“la jurisdicción </w:t>
      </w:r>
      <w:r w:rsidR="39A2DBCE" w:rsidRPr="325E21D9">
        <w:rPr>
          <w:rFonts w:ascii="Times New Roman" w:eastAsia="Times New Roman" w:hAnsi="Times New Roman" w:cs="Times New Roman"/>
          <w:sz w:val="28"/>
          <w:szCs w:val="28"/>
          <w:highlight w:val="white"/>
        </w:rPr>
        <w:t>contencioso administrativa</w:t>
      </w:r>
      <w:r w:rsidRPr="325E21D9">
        <w:rPr>
          <w:rFonts w:ascii="Times New Roman" w:eastAsia="Times New Roman" w:hAnsi="Times New Roman" w:cs="Times New Roman"/>
          <w:sz w:val="28"/>
          <w:szCs w:val="28"/>
          <w:highlight w:val="white"/>
        </w:rPr>
        <w:t xml:space="preserve"> es competente para conocer de las demandas por responsabilidad médica que se dirijan contra entidades públicas y sujetos de derecho privado (concomitantemente), siempre que: a) Los hechos y la causa que fundamentan la eventual responsabilidad de los sujetos de derecho privado y las entidades estatales son los mismos. b) Los hechos, las pretensiones y las pruebas que obran en el expediente permiten inferir razonablemente que existe una probabilidad “mínimamente seria” de que las entidades estatales serán condenadas. c) El demandante haya planteado fundamentos fácticos y jurídicos para imputar el daño antijurídico a la entidad estatal. En este sentido, deben existir suficientes elementos de juicio que permitan concluir, por lo menos prima facie, que las acciones u omisiones de la entidad estatal demandada fueron, al menos, </w:t>
      </w:r>
      <w:r w:rsidR="791D67D3" w:rsidRPr="325E21D9">
        <w:rPr>
          <w:rFonts w:ascii="Times New Roman" w:eastAsia="Times New Roman" w:hAnsi="Times New Roman" w:cs="Times New Roman"/>
          <w:sz w:val="28"/>
          <w:szCs w:val="28"/>
          <w:highlight w:val="white"/>
        </w:rPr>
        <w:t>‘</w:t>
      </w:r>
      <w:r w:rsidR="394F1B79" w:rsidRPr="325E21D9">
        <w:rPr>
          <w:rFonts w:ascii="Times New Roman" w:eastAsia="Times New Roman" w:hAnsi="Times New Roman" w:cs="Times New Roman"/>
          <w:sz w:val="28"/>
          <w:szCs w:val="28"/>
          <w:highlight w:val="white"/>
        </w:rPr>
        <w:t>concausa</w:t>
      </w:r>
      <w:r w:rsidR="5E24E28A" w:rsidRPr="325E21D9">
        <w:rPr>
          <w:rFonts w:ascii="Times New Roman" w:eastAsia="Times New Roman" w:hAnsi="Times New Roman" w:cs="Times New Roman"/>
          <w:sz w:val="28"/>
          <w:szCs w:val="28"/>
          <w:highlight w:val="white"/>
        </w:rPr>
        <w:t>’</w:t>
      </w:r>
      <w:r w:rsidRPr="325E21D9">
        <w:rPr>
          <w:rFonts w:ascii="Times New Roman" w:eastAsia="Times New Roman" w:hAnsi="Times New Roman" w:cs="Times New Roman"/>
          <w:sz w:val="28"/>
          <w:szCs w:val="28"/>
          <w:highlight w:val="white"/>
        </w:rPr>
        <w:t>” eficiente del daño”.</w:t>
      </w:r>
    </w:p>
    <w:p w14:paraId="3FB3E9B4" w14:textId="07E78437" w:rsidR="00481C74" w:rsidRPr="00897AD1" w:rsidRDefault="00F92442"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themeFill="background1"/>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22</w:t>
      </w:r>
      <w:r w:rsidR="002C24FB" w:rsidRPr="00897AD1">
        <w:rPr>
          <w:rFonts w:ascii="Times New Roman" w:eastAsia="Times New Roman" w:hAnsi="Times New Roman" w:cs="Times New Roman"/>
          <w:sz w:val="28"/>
          <w:szCs w:val="28"/>
          <w:highlight w:val="white"/>
        </w:rPr>
        <w:t>. Adicionalmente, en línea con las reglas de decisión establecidas en los autos referenciados anteriormente, en el Auto 913 de 2023</w:t>
      </w:r>
      <w:r w:rsidR="002C24FB" w:rsidRPr="00897AD1">
        <w:rPr>
          <w:rFonts w:ascii="Times New Roman" w:eastAsia="Times New Roman" w:hAnsi="Times New Roman" w:cs="Times New Roman"/>
          <w:sz w:val="28"/>
          <w:szCs w:val="28"/>
          <w:highlight w:val="white"/>
          <w:vertAlign w:val="superscript"/>
        </w:rPr>
        <w:footnoteReference w:id="21"/>
      </w:r>
      <w:r w:rsidR="002C24FB" w:rsidRPr="00897AD1">
        <w:rPr>
          <w:rFonts w:ascii="Times New Roman" w:eastAsia="Times New Roman" w:hAnsi="Times New Roman" w:cs="Times New Roman"/>
          <w:sz w:val="28"/>
          <w:szCs w:val="28"/>
          <w:highlight w:val="white"/>
        </w:rPr>
        <w:t>, la Corte Constitucional</w:t>
      </w:r>
      <w:r>
        <w:rPr>
          <w:rFonts w:ascii="Times New Roman" w:eastAsia="Times New Roman" w:hAnsi="Times New Roman" w:cs="Times New Roman"/>
          <w:sz w:val="28"/>
          <w:szCs w:val="28"/>
          <w:highlight w:val="white"/>
        </w:rPr>
        <w:t xml:space="preserve"> </w:t>
      </w:r>
      <w:r w:rsidR="002C24FB" w:rsidRPr="00897AD1">
        <w:rPr>
          <w:rFonts w:ascii="Times New Roman" w:eastAsia="Times New Roman" w:hAnsi="Times New Roman" w:cs="Times New Roman"/>
          <w:sz w:val="28"/>
          <w:szCs w:val="28"/>
          <w:highlight w:val="white"/>
        </w:rPr>
        <w:t>resolvió un conflicto de jurisdicciones suscitado entre el Juzgado Quince Civil del Circuito de Oralidad de Cali y el Tribunal Administrativo del Valle del Cauca, en el marco de un proceso de responsabilidad médica en el que concurrían en el extremo demandado entidades de carácter público y privado. En esta ocasión, la Corporación adoptó la siguiente regla de decisión:</w:t>
      </w:r>
    </w:p>
    <w:p w14:paraId="22D6FB1B" w14:textId="77777777" w:rsidR="00481C74" w:rsidRPr="00897AD1" w:rsidRDefault="002C24FB"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before="240" w:after="240" w:line="240" w:lineRule="auto"/>
        <w:ind w:left="560"/>
        <w:jc w:val="both"/>
        <w:rPr>
          <w:rFonts w:ascii="Times New Roman" w:eastAsia="Times New Roman" w:hAnsi="Times New Roman" w:cs="Times New Roman"/>
          <w:sz w:val="28"/>
          <w:szCs w:val="28"/>
          <w:highlight w:val="white"/>
        </w:rPr>
      </w:pPr>
      <w:r w:rsidRPr="00897AD1">
        <w:rPr>
          <w:rFonts w:ascii="Times New Roman" w:eastAsia="Times New Roman" w:hAnsi="Times New Roman" w:cs="Times New Roman"/>
          <w:sz w:val="28"/>
          <w:szCs w:val="28"/>
          <w:highlight w:val="white"/>
        </w:rPr>
        <w:t>“La Jurisdicción Ordinaria en su especialidad civil es la competente para resolver cualquier controversia que recaiga sobre la responsabilidad médica, aun cuando dentro de las entidades demandadas concurran entidades privadas y públicas, siempre que no se logre acreditar que las de naturaleza pública tienen una mínima probabilidad seria de ser condenadas en el proceso por haber concurrido de manera eficiente a la causación del daño.”</w:t>
      </w:r>
    </w:p>
    <w:p w14:paraId="59719C09" w14:textId="77777777" w:rsidR="00481C74" w:rsidRPr="00897AD1" w:rsidRDefault="002C24FB"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Times New Roman" w:eastAsia="Times New Roman" w:hAnsi="Times New Roman" w:cs="Times New Roman"/>
          <w:b/>
          <w:sz w:val="28"/>
          <w:szCs w:val="28"/>
          <w:highlight w:val="white"/>
        </w:rPr>
      </w:pPr>
      <w:r w:rsidRPr="00897AD1">
        <w:rPr>
          <w:rFonts w:ascii="Times New Roman" w:eastAsia="Times New Roman" w:hAnsi="Times New Roman" w:cs="Times New Roman"/>
          <w:b/>
          <w:sz w:val="28"/>
          <w:szCs w:val="28"/>
          <w:highlight w:val="white"/>
        </w:rPr>
        <w:t>Caso concreto</w:t>
      </w:r>
    </w:p>
    <w:p w14:paraId="3752E366" w14:textId="047E14F8" w:rsidR="00481C74" w:rsidRPr="00897AD1" w:rsidRDefault="002C24FB"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Times New Roman" w:eastAsia="Times New Roman" w:hAnsi="Times New Roman" w:cs="Times New Roman"/>
          <w:sz w:val="28"/>
          <w:szCs w:val="28"/>
          <w:highlight w:val="white"/>
        </w:rPr>
      </w:pPr>
      <w:r w:rsidRPr="00897AD1">
        <w:rPr>
          <w:rFonts w:ascii="Times New Roman" w:eastAsia="Times New Roman" w:hAnsi="Times New Roman" w:cs="Times New Roman"/>
          <w:sz w:val="28"/>
          <w:szCs w:val="28"/>
          <w:highlight w:val="white"/>
        </w:rPr>
        <w:t>2</w:t>
      </w:r>
      <w:r w:rsidR="00F92442">
        <w:rPr>
          <w:rFonts w:ascii="Times New Roman" w:eastAsia="Times New Roman" w:hAnsi="Times New Roman" w:cs="Times New Roman"/>
          <w:sz w:val="28"/>
          <w:szCs w:val="28"/>
          <w:highlight w:val="white"/>
        </w:rPr>
        <w:t>3</w:t>
      </w:r>
      <w:r w:rsidRPr="00897AD1">
        <w:rPr>
          <w:rFonts w:ascii="Times New Roman" w:eastAsia="Times New Roman" w:hAnsi="Times New Roman" w:cs="Times New Roman"/>
          <w:sz w:val="28"/>
          <w:szCs w:val="28"/>
          <w:highlight w:val="white"/>
        </w:rPr>
        <w:t xml:space="preserve">. </w:t>
      </w:r>
      <w:r w:rsidRPr="00897AD1">
        <w:rPr>
          <w:rFonts w:ascii="Times New Roman" w:eastAsia="Times New Roman" w:hAnsi="Times New Roman" w:cs="Times New Roman"/>
          <w:sz w:val="28"/>
          <w:szCs w:val="28"/>
        </w:rPr>
        <w:t xml:space="preserve">La Sala Plena dirime el presente conflicto en el sentido de determinar que la jurisdicción ordinaria en su especialidad civil es la competente para conocer del proceso promovido por </w:t>
      </w:r>
      <w:r w:rsidR="00F56772" w:rsidRPr="00F56772">
        <w:rPr>
          <w:rFonts w:ascii="Times New Roman" w:eastAsia="Times New Roman" w:hAnsi="Times New Roman" w:cs="Times New Roman"/>
          <w:i/>
          <w:iCs/>
          <w:sz w:val="28"/>
          <w:szCs w:val="28"/>
          <w:highlight w:val="white"/>
        </w:rPr>
        <w:t xml:space="preserve">Juan, Mariana </w:t>
      </w:r>
      <w:r w:rsidR="00F56772" w:rsidRPr="00F56772">
        <w:rPr>
          <w:rFonts w:ascii="Times New Roman" w:eastAsia="Times New Roman" w:hAnsi="Times New Roman" w:cs="Times New Roman"/>
          <w:sz w:val="28"/>
          <w:szCs w:val="28"/>
          <w:highlight w:val="white"/>
        </w:rPr>
        <w:t>y</w:t>
      </w:r>
      <w:r w:rsidR="00F56772" w:rsidRPr="00F56772">
        <w:rPr>
          <w:rFonts w:ascii="Times New Roman" w:eastAsia="Times New Roman" w:hAnsi="Times New Roman" w:cs="Times New Roman"/>
          <w:i/>
          <w:iCs/>
          <w:sz w:val="28"/>
          <w:szCs w:val="28"/>
          <w:highlight w:val="white"/>
        </w:rPr>
        <w:t xml:space="preserve"> Laura</w:t>
      </w:r>
      <w:r w:rsidRPr="00897AD1">
        <w:rPr>
          <w:rFonts w:ascii="Times New Roman" w:eastAsia="Times New Roman" w:hAnsi="Times New Roman" w:cs="Times New Roman"/>
          <w:sz w:val="28"/>
          <w:szCs w:val="28"/>
          <w:highlight w:val="white"/>
        </w:rPr>
        <w:t xml:space="preserve"> </w:t>
      </w:r>
      <w:r w:rsidRPr="00897AD1">
        <w:rPr>
          <w:rFonts w:ascii="Times New Roman" w:eastAsia="Times New Roman" w:hAnsi="Times New Roman" w:cs="Times New Roman"/>
          <w:sz w:val="28"/>
          <w:szCs w:val="28"/>
        </w:rPr>
        <w:t>en el expediente de referencia, por los argumentos que pasarán a exponerse.</w:t>
      </w:r>
    </w:p>
    <w:p w14:paraId="2FC268D4" w14:textId="5FB1A975" w:rsidR="00481C74" w:rsidRPr="00897AD1" w:rsidRDefault="002C24FB"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themeFill="background1"/>
        <w:spacing w:line="240" w:lineRule="auto"/>
        <w:jc w:val="both"/>
        <w:rPr>
          <w:rFonts w:ascii="Times New Roman" w:eastAsia="Times New Roman" w:hAnsi="Times New Roman" w:cs="Times New Roman"/>
          <w:sz w:val="28"/>
          <w:szCs w:val="28"/>
        </w:rPr>
      </w:pPr>
      <w:r w:rsidRPr="041F913F">
        <w:rPr>
          <w:rFonts w:ascii="Times New Roman" w:eastAsia="Times New Roman" w:hAnsi="Times New Roman" w:cs="Times New Roman"/>
          <w:sz w:val="28"/>
          <w:szCs w:val="28"/>
        </w:rPr>
        <w:t>2</w:t>
      </w:r>
      <w:r w:rsidR="00F92442">
        <w:rPr>
          <w:rFonts w:ascii="Times New Roman" w:eastAsia="Times New Roman" w:hAnsi="Times New Roman" w:cs="Times New Roman"/>
          <w:sz w:val="28"/>
          <w:szCs w:val="28"/>
        </w:rPr>
        <w:t>4</w:t>
      </w:r>
      <w:r w:rsidRPr="041F913F">
        <w:rPr>
          <w:rFonts w:ascii="Times New Roman" w:eastAsia="Times New Roman" w:hAnsi="Times New Roman" w:cs="Times New Roman"/>
          <w:sz w:val="28"/>
          <w:szCs w:val="28"/>
        </w:rPr>
        <w:t xml:space="preserve">. </w:t>
      </w:r>
      <w:r w:rsidRPr="041F913F">
        <w:rPr>
          <w:rFonts w:ascii="Times New Roman" w:eastAsia="Times New Roman" w:hAnsi="Times New Roman" w:cs="Times New Roman"/>
          <w:b/>
          <w:bCs/>
          <w:sz w:val="28"/>
          <w:szCs w:val="28"/>
        </w:rPr>
        <w:t>Criterio orgánico de competencia.</w:t>
      </w:r>
      <w:r w:rsidRPr="041F913F">
        <w:rPr>
          <w:rFonts w:ascii="Times New Roman" w:eastAsia="Times New Roman" w:hAnsi="Times New Roman" w:cs="Times New Roman"/>
          <w:sz w:val="28"/>
          <w:szCs w:val="28"/>
        </w:rPr>
        <w:t xml:space="preserve"> En el asunto sub examine, la demanda se dirige contra entidades tanto de naturaleza privada como de naturaleza pública; por un lado, contra la Clínica Medilaser S.A. y la Nueva EPS</w:t>
      </w:r>
      <w:r w:rsidR="0D6C3E4D" w:rsidRPr="041F913F">
        <w:rPr>
          <w:rFonts w:ascii="Times New Roman" w:eastAsia="Times New Roman" w:hAnsi="Times New Roman" w:cs="Times New Roman"/>
          <w:sz w:val="28"/>
          <w:szCs w:val="28"/>
        </w:rPr>
        <w:t xml:space="preserve"> S.A.</w:t>
      </w:r>
      <w:r w:rsidRPr="041F913F">
        <w:rPr>
          <w:rStyle w:val="Refdenotaalpie"/>
          <w:rFonts w:ascii="Times New Roman" w:eastAsia="Times New Roman" w:hAnsi="Times New Roman" w:cs="Times New Roman"/>
          <w:sz w:val="28"/>
          <w:szCs w:val="28"/>
        </w:rPr>
        <w:footnoteReference w:id="22"/>
      </w:r>
      <w:r w:rsidRPr="041F913F">
        <w:rPr>
          <w:rFonts w:ascii="Times New Roman" w:eastAsia="Times New Roman" w:hAnsi="Times New Roman" w:cs="Times New Roman"/>
          <w:sz w:val="28"/>
          <w:szCs w:val="28"/>
        </w:rPr>
        <w:t xml:space="preserve"> y, por el otro, contra la Secretaría de Salud de Boyacá. Así las cosas, el criterio orgánico resulta insuficiente para dirimir el conflicto ya que se demandan entidades de ambas naturalezas jurídicas. </w:t>
      </w:r>
    </w:p>
    <w:p w14:paraId="6AFECD65" w14:textId="6FC84BFE" w:rsidR="00481C74" w:rsidRPr="00897AD1" w:rsidRDefault="002C24FB"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Times New Roman" w:eastAsia="Times New Roman" w:hAnsi="Times New Roman" w:cs="Times New Roman"/>
          <w:color w:val="2D2D2D"/>
          <w:sz w:val="28"/>
          <w:szCs w:val="28"/>
          <w:highlight w:val="white"/>
        </w:rPr>
      </w:pPr>
      <w:r w:rsidRPr="00897AD1">
        <w:rPr>
          <w:rFonts w:ascii="Times New Roman" w:eastAsia="Times New Roman" w:hAnsi="Times New Roman" w:cs="Times New Roman"/>
          <w:sz w:val="28"/>
          <w:szCs w:val="28"/>
        </w:rPr>
        <w:t>2</w:t>
      </w:r>
      <w:r w:rsidR="00F92442">
        <w:rPr>
          <w:rFonts w:ascii="Times New Roman" w:eastAsia="Times New Roman" w:hAnsi="Times New Roman" w:cs="Times New Roman"/>
          <w:sz w:val="28"/>
          <w:szCs w:val="28"/>
        </w:rPr>
        <w:t>5</w:t>
      </w:r>
      <w:r w:rsidRPr="00897AD1">
        <w:rPr>
          <w:rFonts w:ascii="Times New Roman" w:eastAsia="Times New Roman" w:hAnsi="Times New Roman" w:cs="Times New Roman"/>
          <w:sz w:val="28"/>
          <w:szCs w:val="28"/>
        </w:rPr>
        <w:t xml:space="preserve">. </w:t>
      </w:r>
      <w:r w:rsidRPr="00897AD1">
        <w:rPr>
          <w:rFonts w:ascii="Times New Roman" w:eastAsia="Times New Roman" w:hAnsi="Times New Roman" w:cs="Times New Roman"/>
          <w:b/>
          <w:sz w:val="28"/>
          <w:szCs w:val="28"/>
        </w:rPr>
        <w:t>Aplicación del fuero de atracción.</w:t>
      </w:r>
      <w:r w:rsidRPr="00897AD1">
        <w:rPr>
          <w:rFonts w:ascii="Times New Roman" w:eastAsia="Times New Roman" w:hAnsi="Times New Roman" w:cs="Times New Roman"/>
          <w:sz w:val="28"/>
          <w:szCs w:val="28"/>
        </w:rPr>
        <w:t xml:space="preserve"> Esta Sala considera que</w:t>
      </w:r>
      <w:r w:rsidR="00F92442">
        <w:rPr>
          <w:rFonts w:ascii="Times New Roman" w:eastAsia="Times New Roman" w:hAnsi="Times New Roman" w:cs="Times New Roman"/>
          <w:sz w:val="28"/>
          <w:szCs w:val="28"/>
        </w:rPr>
        <w:t>,</w:t>
      </w:r>
      <w:r w:rsidRPr="00897AD1">
        <w:rPr>
          <w:rFonts w:ascii="Times New Roman" w:eastAsia="Times New Roman" w:hAnsi="Times New Roman" w:cs="Times New Roman"/>
          <w:sz w:val="28"/>
          <w:szCs w:val="28"/>
        </w:rPr>
        <w:t xml:space="preserve"> en el caso en concreto</w:t>
      </w:r>
      <w:r w:rsidR="00F92442">
        <w:rPr>
          <w:rFonts w:ascii="Times New Roman" w:eastAsia="Times New Roman" w:hAnsi="Times New Roman" w:cs="Times New Roman"/>
          <w:sz w:val="28"/>
          <w:szCs w:val="28"/>
        </w:rPr>
        <w:t>,</w:t>
      </w:r>
      <w:r w:rsidRPr="00897AD1">
        <w:rPr>
          <w:rFonts w:ascii="Times New Roman" w:eastAsia="Times New Roman" w:hAnsi="Times New Roman" w:cs="Times New Roman"/>
          <w:sz w:val="28"/>
          <w:szCs w:val="28"/>
        </w:rPr>
        <w:t xml:space="preserve"> no se cumple con el criterio del fuero de atracción, por los motivos que pasan a desarrollarse. </w:t>
      </w:r>
    </w:p>
    <w:p w14:paraId="6EE6FBD0" w14:textId="452B5627" w:rsidR="00481C74" w:rsidRPr="00897AD1" w:rsidRDefault="002C24FB"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themeFill="background1"/>
        <w:spacing w:line="240" w:lineRule="auto"/>
        <w:jc w:val="both"/>
        <w:rPr>
          <w:rFonts w:ascii="Times New Roman" w:eastAsia="Times New Roman" w:hAnsi="Times New Roman" w:cs="Times New Roman"/>
          <w:sz w:val="28"/>
          <w:szCs w:val="28"/>
          <w:highlight w:val="yellow"/>
        </w:rPr>
      </w:pPr>
      <w:r w:rsidRPr="325E21D9">
        <w:rPr>
          <w:rFonts w:ascii="Times New Roman" w:eastAsia="Times New Roman" w:hAnsi="Times New Roman" w:cs="Times New Roman"/>
          <w:color w:val="2D2D2D"/>
          <w:sz w:val="28"/>
          <w:szCs w:val="28"/>
          <w:highlight w:val="white"/>
        </w:rPr>
        <w:t>2</w:t>
      </w:r>
      <w:r w:rsidR="00F92442">
        <w:rPr>
          <w:rFonts w:ascii="Times New Roman" w:eastAsia="Times New Roman" w:hAnsi="Times New Roman" w:cs="Times New Roman"/>
          <w:color w:val="2D2D2D"/>
          <w:sz w:val="28"/>
          <w:szCs w:val="28"/>
          <w:highlight w:val="white"/>
        </w:rPr>
        <w:t>6</w:t>
      </w:r>
      <w:r w:rsidRPr="325E21D9">
        <w:rPr>
          <w:rFonts w:ascii="Times New Roman" w:eastAsia="Times New Roman" w:hAnsi="Times New Roman" w:cs="Times New Roman"/>
          <w:color w:val="2D2D2D"/>
          <w:sz w:val="28"/>
          <w:szCs w:val="28"/>
          <w:highlight w:val="white"/>
        </w:rPr>
        <w:t xml:space="preserve">. </w:t>
      </w:r>
      <w:r w:rsidRPr="00C902F4">
        <w:rPr>
          <w:rFonts w:ascii="Times New Roman" w:eastAsia="Times New Roman" w:hAnsi="Times New Roman" w:cs="Times New Roman"/>
          <w:i/>
          <w:iCs/>
          <w:sz w:val="28"/>
          <w:szCs w:val="28"/>
        </w:rPr>
        <w:t>Sobre la equivalencia de hechos y causas que fundamentan la eventual responsabilidad de los sujetos de derecho privado y la entidad estatal</w:t>
      </w:r>
      <w:r w:rsidR="00C902F4">
        <w:rPr>
          <w:rFonts w:ascii="Times New Roman" w:eastAsia="Times New Roman" w:hAnsi="Times New Roman" w:cs="Times New Roman"/>
          <w:i/>
          <w:iCs/>
          <w:sz w:val="28"/>
          <w:szCs w:val="28"/>
        </w:rPr>
        <w:t>.</w:t>
      </w:r>
      <w:r w:rsidRPr="325E21D9">
        <w:rPr>
          <w:rFonts w:ascii="Times New Roman" w:eastAsia="Times New Roman" w:hAnsi="Times New Roman" w:cs="Times New Roman"/>
          <w:sz w:val="28"/>
          <w:szCs w:val="28"/>
        </w:rPr>
        <w:t xml:space="preserve"> A partir de una lectura de los hechos narrados en la demanda, se desprende que el reproche jurídico está dirigido a que se declare la responsabilidad de las demandadas por la </w:t>
      </w:r>
      <w:r w:rsidR="004C2766" w:rsidRPr="325E21D9">
        <w:rPr>
          <w:rFonts w:ascii="Times New Roman" w:eastAsia="Times New Roman" w:hAnsi="Times New Roman" w:cs="Times New Roman"/>
          <w:sz w:val="28"/>
          <w:szCs w:val="28"/>
        </w:rPr>
        <w:t xml:space="preserve">supuesta </w:t>
      </w:r>
      <w:r w:rsidRPr="325E21D9">
        <w:rPr>
          <w:rFonts w:ascii="Times New Roman" w:eastAsia="Times New Roman" w:hAnsi="Times New Roman" w:cs="Times New Roman"/>
          <w:sz w:val="28"/>
          <w:szCs w:val="28"/>
        </w:rPr>
        <w:t>falla en el servicio</w:t>
      </w:r>
      <w:r w:rsidR="00F92442">
        <w:rPr>
          <w:rFonts w:ascii="Times New Roman" w:eastAsia="Times New Roman" w:hAnsi="Times New Roman" w:cs="Times New Roman"/>
          <w:sz w:val="28"/>
          <w:szCs w:val="28"/>
        </w:rPr>
        <w:t>,</w:t>
      </w:r>
      <w:r w:rsidRPr="325E21D9">
        <w:rPr>
          <w:rFonts w:ascii="Times New Roman" w:eastAsia="Times New Roman" w:hAnsi="Times New Roman" w:cs="Times New Roman"/>
          <w:sz w:val="28"/>
          <w:szCs w:val="28"/>
        </w:rPr>
        <w:t xml:space="preserve"> presentada en el marco de la práctica de un procedimiento quirúrgico que se le realizó al señor </w:t>
      </w:r>
      <w:r w:rsidR="00F56772" w:rsidRPr="00F56772">
        <w:rPr>
          <w:rFonts w:ascii="Times New Roman" w:eastAsia="Times New Roman" w:hAnsi="Times New Roman" w:cs="Times New Roman"/>
          <w:i/>
          <w:iCs/>
          <w:sz w:val="28"/>
          <w:szCs w:val="28"/>
        </w:rPr>
        <w:t>Juan</w:t>
      </w:r>
      <w:r w:rsidR="1FD3474E" w:rsidRPr="325E21D9">
        <w:rPr>
          <w:rFonts w:ascii="Times New Roman" w:eastAsia="Times New Roman" w:hAnsi="Times New Roman" w:cs="Times New Roman"/>
          <w:sz w:val="28"/>
          <w:szCs w:val="28"/>
        </w:rPr>
        <w:t>.</w:t>
      </w:r>
      <w:r w:rsidRPr="325E21D9">
        <w:rPr>
          <w:rFonts w:ascii="Times New Roman" w:eastAsia="Times New Roman" w:hAnsi="Times New Roman" w:cs="Times New Roman"/>
          <w:sz w:val="28"/>
          <w:szCs w:val="28"/>
        </w:rPr>
        <w:t xml:space="preserve"> </w:t>
      </w:r>
      <w:r w:rsidR="536D8EC6" w:rsidRPr="325E21D9">
        <w:rPr>
          <w:rFonts w:ascii="Times New Roman" w:eastAsia="Times New Roman" w:hAnsi="Times New Roman" w:cs="Times New Roman"/>
          <w:sz w:val="28"/>
          <w:szCs w:val="28"/>
        </w:rPr>
        <w:t>P</w:t>
      </w:r>
      <w:r w:rsidRPr="325E21D9">
        <w:rPr>
          <w:rFonts w:ascii="Times New Roman" w:eastAsia="Times New Roman" w:hAnsi="Times New Roman" w:cs="Times New Roman"/>
          <w:sz w:val="28"/>
          <w:szCs w:val="28"/>
        </w:rPr>
        <w:t>rocedimiento que afirman los demandantes, no fue satisfactorio</w:t>
      </w:r>
      <w:r w:rsidR="4AA4F264" w:rsidRPr="325E21D9">
        <w:rPr>
          <w:rFonts w:ascii="Times New Roman" w:eastAsia="Times New Roman" w:hAnsi="Times New Roman" w:cs="Times New Roman"/>
          <w:sz w:val="28"/>
          <w:szCs w:val="28"/>
        </w:rPr>
        <w:t>. Sin embargo, la demanda no explica de qué modo la Secretaría de Salud habría lesionado los derechos de l</w:t>
      </w:r>
      <w:r w:rsidR="5A2B9416" w:rsidRPr="325E21D9">
        <w:rPr>
          <w:rFonts w:ascii="Times New Roman" w:eastAsia="Times New Roman" w:hAnsi="Times New Roman" w:cs="Times New Roman"/>
          <w:sz w:val="28"/>
          <w:szCs w:val="28"/>
        </w:rPr>
        <w:t>o</w:t>
      </w:r>
      <w:r w:rsidR="4AA4F264" w:rsidRPr="325E21D9">
        <w:rPr>
          <w:rFonts w:ascii="Times New Roman" w:eastAsia="Times New Roman" w:hAnsi="Times New Roman" w:cs="Times New Roman"/>
          <w:sz w:val="28"/>
          <w:szCs w:val="28"/>
        </w:rPr>
        <w:t>s deman</w:t>
      </w:r>
      <w:r w:rsidR="194121C0" w:rsidRPr="325E21D9">
        <w:rPr>
          <w:rFonts w:ascii="Times New Roman" w:eastAsia="Times New Roman" w:hAnsi="Times New Roman" w:cs="Times New Roman"/>
          <w:sz w:val="28"/>
          <w:szCs w:val="28"/>
        </w:rPr>
        <w:t>dante</w:t>
      </w:r>
      <w:r w:rsidR="4AA4F264" w:rsidRPr="325E21D9">
        <w:rPr>
          <w:rFonts w:ascii="Times New Roman" w:eastAsia="Times New Roman" w:hAnsi="Times New Roman" w:cs="Times New Roman"/>
          <w:sz w:val="28"/>
          <w:szCs w:val="28"/>
        </w:rPr>
        <w:t xml:space="preserve">s. </w:t>
      </w:r>
      <w:r w:rsidR="31D28BCC" w:rsidRPr="325E21D9">
        <w:rPr>
          <w:rFonts w:ascii="Times New Roman" w:eastAsia="Times New Roman" w:hAnsi="Times New Roman" w:cs="Times New Roman"/>
          <w:sz w:val="28"/>
          <w:szCs w:val="28"/>
        </w:rPr>
        <w:t>Por ende</w:t>
      </w:r>
      <w:r w:rsidRPr="325E21D9">
        <w:rPr>
          <w:rFonts w:ascii="Times New Roman" w:eastAsia="Times New Roman" w:hAnsi="Times New Roman" w:cs="Times New Roman"/>
          <w:sz w:val="28"/>
          <w:szCs w:val="28"/>
        </w:rPr>
        <w:t xml:space="preserve">, de acuerdo con lo narrado por los demandantes, </w:t>
      </w:r>
      <w:r w:rsidRPr="325E21D9">
        <w:rPr>
          <w:rFonts w:ascii="Times New Roman" w:eastAsia="Times New Roman" w:hAnsi="Times New Roman" w:cs="Times New Roman"/>
          <w:i/>
          <w:iCs/>
          <w:sz w:val="28"/>
          <w:szCs w:val="28"/>
        </w:rPr>
        <w:t xml:space="preserve">prima facie, </w:t>
      </w:r>
      <w:r w:rsidRPr="325E21D9">
        <w:rPr>
          <w:rFonts w:ascii="Times New Roman" w:eastAsia="Times New Roman" w:hAnsi="Times New Roman" w:cs="Times New Roman"/>
          <w:sz w:val="28"/>
          <w:szCs w:val="28"/>
        </w:rPr>
        <w:t>la imputación del daño est</w:t>
      </w:r>
      <w:r w:rsidR="6BADBA10" w:rsidRPr="325E21D9">
        <w:rPr>
          <w:rFonts w:ascii="Times New Roman" w:eastAsia="Times New Roman" w:hAnsi="Times New Roman" w:cs="Times New Roman"/>
          <w:sz w:val="28"/>
          <w:szCs w:val="28"/>
        </w:rPr>
        <w:t>aría</w:t>
      </w:r>
      <w:r w:rsidRPr="325E21D9">
        <w:rPr>
          <w:rFonts w:ascii="Times New Roman" w:eastAsia="Times New Roman" w:hAnsi="Times New Roman" w:cs="Times New Roman"/>
          <w:sz w:val="28"/>
          <w:szCs w:val="28"/>
        </w:rPr>
        <w:t xml:space="preserve"> circunscrita a las acciones y omisiones en las que habría incurrido la Clínica Medilaser, quien era la entidad encargada de prestar y garantizar directamente el servicio de salud en ese momento.</w:t>
      </w:r>
    </w:p>
    <w:p w14:paraId="110FFD37" w14:textId="77777777" w:rsidR="00481C74" w:rsidRPr="00897AD1" w:rsidRDefault="00481C74" w:rsidP="00C977AE">
      <w:pPr>
        <w:spacing w:line="240" w:lineRule="auto"/>
        <w:jc w:val="both"/>
        <w:rPr>
          <w:rFonts w:ascii="Times New Roman" w:eastAsia="Times New Roman" w:hAnsi="Times New Roman" w:cs="Times New Roman"/>
          <w:sz w:val="28"/>
          <w:szCs w:val="28"/>
        </w:rPr>
      </w:pPr>
    </w:p>
    <w:p w14:paraId="1CFEA703" w14:textId="4D56C332" w:rsidR="00481C74" w:rsidRPr="00897AD1" w:rsidRDefault="1189E66A" w:rsidP="00C977AE">
      <w:pPr>
        <w:spacing w:line="240" w:lineRule="auto"/>
        <w:jc w:val="both"/>
        <w:rPr>
          <w:rFonts w:ascii="Times New Roman" w:eastAsia="Times New Roman" w:hAnsi="Times New Roman" w:cs="Times New Roman"/>
          <w:sz w:val="28"/>
          <w:szCs w:val="28"/>
        </w:rPr>
      </w:pPr>
      <w:r w:rsidRPr="668F987B">
        <w:rPr>
          <w:rFonts w:ascii="Times New Roman" w:eastAsia="Times New Roman" w:hAnsi="Times New Roman" w:cs="Times New Roman"/>
          <w:sz w:val="28"/>
          <w:szCs w:val="28"/>
        </w:rPr>
        <w:t>2</w:t>
      </w:r>
      <w:r w:rsidR="00F92442">
        <w:rPr>
          <w:rFonts w:ascii="Times New Roman" w:eastAsia="Times New Roman" w:hAnsi="Times New Roman" w:cs="Times New Roman"/>
          <w:sz w:val="28"/>
          <w:szCs w:val="28"/>
        </w:rPr>
        <w:t>7</w:t>
      </w:r>
      <w:r w:rsidRPr="668F987B">
        <w:rPr>
          <w:rFonts w:ascii="Times New Roman" w:eastAsia="Times New Roman" w:hAnsi="Times New Roman" w:cs="Times New Roman"/>
          <w:sz w:val="28"/>
          <w:szCs w:val="28"/>
        </w:rPr>
        <w:t xml:space="preserve">. </w:t>
      </w:r>
      <w:r w:rsidRPr="668F987B">
        <w:rPr>
          <w:rFonts w:ascii="Times New Roman" w:eastAsia="Times New Roman" w:hAnsi="Times New Roman" w:cs="Times New Roman"/>
          <w:i/>
          <w:iCs/>
          <w:sz w:val="28"/>
          <w:szCs w:val="28"/>
        </w:rPr>
        <w:t>Sobre la probabilidad mínimamente seria de que la entidad estatal será condenada.</w:t>
      </w:r>
      <w:r w:rsidRPr="668F987B">
        <w:rPr>
          <w:rFonts w:ascii="Times New Roman" w:eastAsia="Times New Roman" w:hAnsi="Times New Roman" w:cs="Times New Roman"/>
          <w:b/>
          <w:bCs/>
          <w:sz w:val="28"/>
          <w:szCs w:val="28"/>
        </w:rPr>
        <w:t xml:space="preserve"> </w:t>
      </w:r>
      <w:r w:rsidRPr="668F987B">
        <w:rPr>
          <w:rFonts w:ascii="Times New Roman" w:eastAsia="Times New Roman" w:hAnsi="Times New Roman" w:cs="Times New Roman"/>
          <w:sz w:val="28"/>
          <w:szCs w:val="28"/>
        </w:rPr>
        <w:t>En el presente caso se aprecia que la atribución de responsabilidad a la Secretaría de Salud de Boyacá es general. En efecto, aunque los demandantes le imputan el daño, no especifican cuál fue la acción u omisión de la entidad respecto de sus funciones de inspección y vigilancia y la relación concreta de estas con la configuración del daño. La parte actora únicamente refiere hechos que implican acciones u omisiones en las que habría incurrido la Clínica Medilaser, a quien le atribuye la responsabilidad por no brindar un servicio de salud, garantizando criterios de eficiencia, eficacia, oportunidad, calidad y sin dilaciones. Por e</w:t>
      </w:r>
      <w:r w:rsidRPr="668F987B">
        <w:rPr>
          <w:rFonts w:ascii="Times New Roman" w:eastAsia="Times New Roman" w:hAnsi="Times New Roman" w:cs="Times New Roman"/>
          <w:color w:val="2D2D2D"/>
          <w:sz w:val="28"/>
          <w:szCs w:val="28"/>
          <w:highlight w:val="white"/>
        </w:rPr>
        <w:t xml:space="preserve">nde, </w:t>
      </w:r>
      <w:r w:rsidRPr="668F987B">
        <w:rPr>
          <w:rFonts w:ascii="Times New Roman" w:eastAsia="Times New Roman" w:hAnsi="Times New Roman" w:cs="Times New Roman"/>
          <w:sz w:val="28"/>
          <w:szCs w:val="28"/>
        </w:rPr>
        <w:t>no se evidencia</w:t>
      </w:r>
      <w:r w:rsidR="5146786D" w:rsidRPr="668F987B">
        <w:rPr>
          <w:rFonts w:ascii="Times New Roman" w:eastAsia="Times New Roman" w:hAnsi="Times New Roman" w:cs="Times New Roman"/>
          <w:sz w:val="28"/>
          <w:szCs w:val="28"/>
        </w:rPr>
        <w:t>, en principio,</w:t>
      </w:r>
      <w:r w:rsidRPr="668F987B">
        <w:rPr>
          <w:rFonts w:ascii="Times New Roman" w:eastAsia="Times New Roman" w:hAnsi="Times New Roman" w:cs="Times New Roman"/>
          <w:sz w:val="28"/>
          <w:szCs w:val="28"/>
        </w:rPr>
        <w:t xml:space="preserve"> que la inadecuada práctica del procedimiento quirúrgico alegado por los demandantes le sea </w:t>
      </w:r>
      <w:r w:rsidR="51C7A5B9" w:rsidRPr="668F987B">
        <w:rPr>
          <w:rFonts w:ascii="Times New Roman" w:eastAsia="Times New Roman" w:hAnsi="Times New Roman" w:cs="Times New Roman"/>
          <w:sz w:val="28"/>
          <w:szCs w:val="28"/>
        </w:rPr>
        <w:t xml:space="preserve">atribuible </w:t>
      </w:r>
      <w:r w:rsidRPr="668F987B">
        <w:rPr>
          <w:rFonts w:ascii="Times New Roman" w:eastAsia="Times New Roman" w:hAnsi="Times New Roman" w:cs="Times New Roman"/>
          <w:sz w:val="28"/>
          <w:szCs w:val="28"/>
        </w:rPr>
        <w:t>a la entidad pública. Lo anterior, sin perjuicio del juzgamiento que realice el juez de conocimiento, pues el análisis del fuero de atracción de ninguna manera corresponde a un juicio de atribución de responsabilidad por parte de esta Corte.</w:t>
      </w:r>
    </w:p>
    <w:p w14:paraId="6B699379" w14:textId="77777777" w:rsidR="00481C74" w:rsidRPr="00897AD1" w:rsidRDefault="00481C74" w:rsidP="00C977AE">
      <w:pPr>
        <w:spacing w:line="240" w:lineRule="auto"/>
        <w:jc w:val="both"/>
        <w:rPr>
          <w:rFonts w:ascii="Times New Roman" w:eastAsia="Times New Roman" w:hAnsi="Times New Roman" w:cs="Times New Roman"/>
          <w:color w:val="2D2D2D"/>
          <w:sz w:val="28"/>
          <w:szCs w:val="28"/>
          <w:highlight w:val="white"/>
        </w:rPr>
      </w:pPr>
    </w:p>
    <w:p w14:paraId="702E5152" w14:textId="3AE3D143" w:rsidR="00481C74" w:rsidRPr="00897AD1" w:rsidRDefault="1189E66A" w:rsidP="520D5886">
      <w:pPr>
        <w:pBdr>
          <w:top w:val="none" w:sz="0" w:space="7" w:color="000000"/>
          <w:left w:val="none" w:sz="0" w:space="7" w:color="000000"/>
          <w:bottom w:val="none" w:sz="0" w:space="7" w:color="000000"/>
          <w:right w:val="none" w:sz="0" w:space="7" w:color="000000"/>
          <w:between w:val="none" w:sz="0" w:space="7" w:color="000000"/>
        </w:pBdr>
        <w:shd w:val="clear" w:color="auto" w:fill="FFFFFF" w:themeFill="background1"/>
        <w:spacing w:line="240" w:lineRule="auto"/>
        <w:jc w:val="both"/>
        <w:rPr>
          <w:rFonts w:ascii="Times New Roman" w:eastAsia="Times New Roman" w:hAnsi="Times New Roman" w:cs="Times New Roman"/>
          <w:sz w:val="28"/>
          <w:szCs w:val="28"/>
        </w:rPr>
      </w:pPr>
      <w:r w:rsidRPr="520D5886">
        <w:rPr>
          <w:rFonts w:ascii="Times New Roman" w:eastAsia="Times New Roman" w:hAnsi="Times New Roman" w:cs="Times New Roman"/>
          <w:sz w:val="28"/>
          <w:szCs w:val="28"/>
        </w:rPr>
        <w:t>2</w:t>
      </w:r>
      <w:r w:rsidR="00F92442">
        <w:rPr>
          <w:rFonts w:ascii="Times New Roman" w:eastAsia="Times New Roman" w:hAnsi="Times New Roman" w:cs="Times New Roman"/>
          <w:sz w:val="28"/>
          <w:szCs w:val="28"/>
        </w:rPr>
        <w:t>8</w:t>
      </w:r>
      <w:r w:rsidRPr="520D5886">
        <w:rPr>
          <w:rFonts w:ascii="Times New Roman" w:eastAsia="Times New Roman" w:hAnsi="Times New Roman" w:cs="Times New Roman"/>
          <w:sz w:val="28"/>
          <w:szCs w:val="28"/>
        </w:rPr>
        <w:t xml:space="preserve">. </w:t>
      </w:r>
      <w:r w:rsidRPr="00D46EC4">
        <w:rPr>
          <w:rFonts w:ascii="Times New Roman" w:eastAsia="Times New Roman" w:hAnsi="Times New Roman" w:cs="Times New Roman"/>
          <w:i/>
          <w:iCs/>
          <w:sz w:val="28"/>
          <w:szCs w:val="28"/>
        </w:rPr>
        <w:t>Sobre los fundamentos fácticos y jurídicos para imputar el daño antijurídico a la entidad estatal</w:t>
      </w:r>
      <w:r w:rsidRPr="520D5886">
        <w:rPr>
          <w:rFonts w:ascii="Times New Roman" w:eastAsia="Times New Roman" w:hAnsi="Times New Roman" w:cs="Times New Roman"/>
          <w:b/>
          <w:bCs/>
          <w:i/>
          <w:iCs/>
          <w:sz w:val="28"/>
          <w:szCs w:val="28"/>
        </w:rPr>
        <w:t>.</w:t>
      </w:r>
      <w:r w:rsidRPr="520D5886">
        <w:rPr>
          <w:rFonts w:ascii="Times New Roman" w:eastAsia="Times New Roman" w:hAnsi="Times New Roman" w:cs="Times New Roman"/>
          <w:sz w:val="28"/>
          <w:szCs w:val="28"/>
        </w:rPr>
        <w:t xml:space="preserve"> Teniendo en cuenta lo anterior, esta Corporación constata preliminarmente que la Secretaría de Salud de Boyacá no tendría</w:t>
      </w:r>
      <w:r w:rsidR="0E34D5EA" w:rsidRPr="520D5886">
        <w:rPr>
          <w:rFonts w:ascii="Times New Roman" w:eastAsia="Times New Roman" w:hAnsi="Times New Roman" w:cs="Times New Roman"/>
          <w:sz w:val="28"/>
          <w:szCs w:val="28"/>
        </w:rPr>
        <w:t>, a primera vista,</w:t>
      </w:r>
      <w:r w:rsidRPr="520D5886">
        <w:rPr>
          <w:rFonts w:ascii="Times New Roman" w:eastAsia="Times New Roman" w:hAnsi="Times New Roman" w:cs="Times New Roman"/>
          <w:sz w:val="28"/>
          <w:szCs w:val="28"/>
        </w:rPr>
        <w:t xml:space="preserve"> una participación concreta en la ocurrencia del daño alegado por los demandantes</w:t>
      </w:r>
      <w:r w:rsidR="62A77DC6" w:rsidRPr="520D5886">
        <w:rPr>
          <w:rFonts w:ascii="Times New Roman" w:eastAsia="Times New Roman" w:hAnsi="Times New Roman" w:cs="Times New Roman"/>
          <w:sz w:val="28"/>
          <w:szCs w:val="28"/>
        </w:rPr>
        <w:t>,</w:t>
      </w:r>
      <w:r w:rsidRPr="520D5886">
        <w:rPr>
          <w:rFonts w:ascii="Times New Roman" w:eastAsia="Times New Roman" w:hAnsi="Times New Roman" w:cs="Times New Roman"/>
          <w:sz w:val="28"/>
          <w:szCs w:val="28"/>
        </w:rPr>
        <w:t xml:space="preserve"> pues los hechos que fundamentan la demanda dan cuenta de que fue la Clínica Medilaser quien, presuntamente, no prestó de manera adecuada el servicio de salud requerido por el señor </w:t>
      </w:r>
      <w:r w:rsidR="00F56772" w:rsidRPr="00F56772">
        <w:rPr>
          <w:rFonts w:ascii="Times New Roman" w:eastAsia="Times New Roman" w:hAnsi="Times New Roman" w:cs="Times New Roman"/>
          <w:i/>
          <w:iCs/>
          <w:sz w:val="28"/>
          <w:szCs w:val="28"/>
        </w:rPr>
        <w:t>Juan</w:t>
      </w:r>
      <w:r w:rsidRPr="520D5886">
        <w:rPr>
          <w:rFonts w:ascii="Times New Roman" w:eastAsia="Times New Roman" w:hAnsi="Times New Roman" w:cs="Times New Roman"/>
          <w:sz w:val="28"/>
          <w:szCs w:val="28"/>
        </w:rPr>
        <w:t xml:space="preserve">. En consecuencia, no se puede inferir, al menos en esta etapa, una eventual condena </w:t>
      </w:r>
      <w:r w:rsidR="0FC98E59" w:rsidRPr="520D5886">
        <w:rPr>
          <w:rFonts w:ascii="Times New Roman" w:eastAsia="Times New Roman" w:hAnsi="Times New Roman" w:cs="Times New Roman"/>
          <w:sz w:val="28"/>
          <w:szCs w:val="28"/>
        </w:rPr>
        <w:t>en contra de</w:t>
      </w:r>
      <w:r w:rsidRPr="520D5886">
        <w:rPr>
          <w:rFonts w:ascii="Times New Roman" w:eastAsia="Times New Roman" w:hAnsi="Times New Roman" w:cs="Times New Roman"/>
          <w:sz w:val="28"/>
          <w:szCs w:val="28"/>
        </w:rPr>
        <w:t xml:space="preserve"> la entidad estatal.</w:t>
      </w:r>
    </w:p>
    <w:p w14:paraId="09F3FD0F" w14:textId="36FA3CCF" w:rsidR="00481C74" w:rsidRPr="00897AD1" w:rsidRDefault="002C24FB" w:rsidP="00C977AE">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2</w:t>
      </w:r>
      <w:r w:rsidR="00F92442">
        <w:rPr>
          <w:rFonts w:ascii="Times New Roman" w:eastAsia="Times New Roman" w:hAnsi="Times New Roman" w:cs="Times New Roman"/>
          <w:sz w:val="28"/>
          <w:szCs w:val="28"/>
        </w:rPr>
        <w:t>9</w:t>
      </w:r>
      <w:r w:rsidRPr="00897AD1">
        <w:rPr>
          <w:rFonts w:ascii="Times New Roman" w:eastAsia="Times New Roman" w:hAnsi="Times New Roman" w:cs="Times New Roman"/>
          <w:sz w:val="28"/>
          <w:szCs w:val="28"/>
        </w:rPr>
        <w:t>. En conclusión, la Sala Plena considera que, en esta oportunidad, no resulta aplicable el fuero de atracción. En esa medida, la competencia debe determinarse por el factor objetivo. Bajo esta perspectiva, la entidad llamada a resolver el caso es el Juzgado Tercero Civil del Circuito de Oralidad de Tunja.</w:t>
      </w:r>
    </w:p>
    <w:p w14:paraId="3FE9F23F" w14:textId="77777777" w:rsidR="00481C74" w:rsidRPr="00897AD1" w:rsidRDefault="00481C74" w:rsidP="00C977AE">
      <w:pPr>
        <w:shd w:val="clear" w:color="auto" w:fill="FFFFFF"/>
        <w:spacing w:line="240" w:lineRule="auto"/>
        <w:jc w:val="both"/>
        <w:rPr>
          <w:rFonts w:ascii="Times New Roman" w:eastAsia="Times New Roman" w:hAnsi="Times New Roman" w:cs="Times New Roman"/>
          <w:sz w:val="28"/>
          <w:szCs w:val="28"/>
        </w:rPr>
      </w:pPr>
    </w:p>
    <w:p w14:paraId="5A1F0282" w14:textId="496F101B" w:rsidR="00481C74" w:rsidRPr="00897AD1" w:rsidRDefault="00F92442" w:rsidP="00C977AE">
      <w:pPr>
        <w:shd w:val="clear" w:color="auto" w:fill="FFFFFF" w:themeFill="background1"/>
        <w:spacing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30</w:t>
      </w:r>
      <w:r w:rsidR="002C24FB" w:rsidRPr="5DC395D9">
        <w:rPr>
          <w:rFonts w:ascii="Times New Roman" w:eastAsia="Times New Roman" w:hAnsi="Times New Roman" w:cs="Times New Roman"/>
          <w:sz w:val="28"/>
          <w:szCs w:val="28"/>
        </w:rPr>
        <w:t xml:space="preserve">. </w:t>
      </w:r>
      <w:r w:rsidR="002C24FB" w:rsidRPr="5DC395D9">
        <w:rPr>
          <w:rFonts w:ascii="Times New Roman" w:eastAsia="Times New Roman" w:hAnsi="Times New Roman" w:cs="Times New Roman"/>
          <w:b/>
          <w:bCs/>
          <w:sz w:val="28"/>
          <w:szCs w:val="28"/>
        </w:rPr>
        <w:t>Regla de decisión.</w:t>
      </w:r>
      <w:r w:rsidR="002C24FB" w:rsidRPr="5DC395D9">
        <w:rPr>
          <w:rFonts w:ascii="Times New Roman" w:eastAsia="Times New Roman" w:hAnsi="Times New Roman" w:cs="Times New Roman"/>
          <w:sz w:val="28"/>
          <w:szCs w:val="28"/>
        </w:rPr>
        <w:t xml:space="preserve"> </w:t>
      </w:r>
      <w:r w:rsidR="002C24FB" w:rsidRPr="5DC395D9">
        <w:rPr>
          <w:rFonts w:ascii="Times New Roman" w:eastAsia="Times New Roman" w:hAnsi="Times New Roman" w:cs="Times New Roman"/>
          <w:sz w:val="28"/>
          <w:szCs w:val="28"/>
          <w:highlight w:val="white"/>
        </w:rPr>
        <w:t>“La Jurisdicción Ordinaria en su especialidad civil es la competente para resolver cualquier controversia que recaiga sobre la responsabilidad médica, aun cuando dentro de las entidades demandadas concurran entidades privadas y públicas, siempre que no se logre acreditar que las de naturaleza pública tienen una mínima probabilidad seria de ser condenadas en el proceso por haber concurrido de manera eficiente a la causación del daño”</w:t>
      </w:r>
      <w:r w:rsidR="002C24FB" w:rsidRPr="5DC395D9">
        <w:rPr>
          <w:rStyle w:val="Refdenotaalpie"/>
          <w:rFonts w:ascii="Times New Roman" w:eastAsia="Times New Roman" w:hAnsi="Times New Roman" w:cs="Times New Roman"/>
          <w:sz w:val="28"/>
          <w:szCs w:val="28"/>
          <w:highlight w:val="white"/>
        </w:rPr>
        <w:footnoteReference w:id="23"/>
      </w:r>
      <w:r w:rsidR="0CD32732" w:rsidRPr="041F913F">
        <w:rPr>
          <w:rFonts w:ascii="Times New Roman" w:eastAsia="Times New Roman" w:hAnsi="Times New Roman" w:cs="Times New Roman"/>
          <w:sz w:val="28"/>
          <w:szCs w:val="28"/>
          <w:highlight w:val="white"/>
        </w:rPr>
        <w:t>.</w:t>
      </w:r>
    </w:p>
    <w:p w14:paraId="1F72F646" w14:textId="77777777" w:rsidR="00481C74" w:rsidRPr="00897AD1" w:rsidRDefault="00481C74" w:rsidP="00C977AE">
      <w:pPr>
        <w:shd w:val="clear" w:color="auto" w:fill="FFFFFF"/>
        <w:spacing w:line="240" w:lineRule="auto"/>
        <w:jc w:val="both"/>
        <w:rPr>
          <w:rFonts w:ascii="Times New Roman" w:eastAsia="Times New Roman" w:hAnsi="Times New Roman" w:cs="Times New Roman"/>
          <w:sz w:val="28"/>
          <w:szCs w:val="28"/>
        </w:rPr>
      </w:pPr>
    </w:p>
    <w:p w14:paraId="54FB57C7" w14:textId="0980D1DF" w:rsidR="00481C74" w:rsidRPr="00C902F4" w:rsidRDefault="002C24FB" w:rsidP="00C902F4">
      <w:pPr>
        <w:pStyle w:val="Prrafodelista"/>
        <w:numPr>
          <w:ilvl w:val="0"/>
          <w:numId w:val="1"/>
        </w:numPr>
        <w:shd w:val="clear" w:color="auto" w:fill="FFFFFF"/>
        <w:spacing w:line="240" w:lineRule="auto"/>
        <w:rPr>
          <w:rFonts w:ascii="Times New Roman" w:hAnsi="Times New Roman" w:cs="Times New Roman"/>
          <w:sz w:val="28"/>
          <w:szCs w:val="28"/>
        </w:rPr>
      </w:pPr>
      <w:r w:rsidRPr="00C902F4">
        <w:rPr>
          <w:rFonts w:ascii="Times New Roman" w:eastAsia="Times New Roman" w:hAnsi="Times New Roman" w:cs="Times New Roman"/>
          <w:b/>
          <w:sz w:val="28"/>
          <w:szCs w:val="28"/>
        </w:rPr>
        <w:t>DECISIÓN</w:t>
      </w:r>
    </w:p>
    <w:p w14:paraId="08CE6F91" w14:textId="77777777" w:rsidR="00481C74" w:rsidRPr="00897AD1" w:rsidRDefault="00481C74" w:rsidP="00C977AE">
      <w:pPr>
        <w:pBdr>
          <w:bottom w:val="none" w:sz="0" w:space="7" w:color="000000"/>
        </w:pBdr>
        <w:shd w:val="clear" w:color="auto" w:fill="FFFFFF"/>
        <w:spacing w:line="240" w:lineRule="auto"/>
        <w:jc w:val="both"/>
        <w:rPr>
          <w:rFonts w:ascii="Times New Roman" w:eastAsia="Times New Roman" w:hAnsi="Times New Roman" w:cs="Times New Roman"/>
          <w:sz w:val="28"/>
          <w:szCs w:val="28"/>
        </w:rPr>
      </w:pPr>
    </w:p>
    <w:p w14:paraId="01C72419" w14:textId="77777777" w:rsidR="00481C74" w:rsidRPr="00897AD1" w:rsidRDefault="002C24FB" w:rsidP="00C977AE">
      <w:pPr>
        <w:pBdr>
          <w:bottom w:val="none" w:sz="0" w:space="7" w:color="000000"/>
        </w:pBdr>
        <w:shd w:val="clear" w:color="auto" w:fill="FFFFFF"/>
        <w:spacing w:line="240" w:lineRule="auto"/>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En mérito de lo expuesto, la Sala Plena de la Corte Constitucional, administrando justicia en nombre del pueblo y por mandato de la Constitución,</w:t>
      </w:r>
    </w:p>
    <w:p w14:paraId="68A3624F" w14:textId="523EA652" w:rsidR="00481C74" w:rsidRDefault="002C24FB" w:rsidP="00C977AE">
      <w:pPr>
        <w:pBdr>
          <w:top w:val="none" w:sz="0" w:space="7" w:color="000000"/>
        </w:pBdr>
        <w:shd w:val="clear" w:color="auto" w:fill="FFFFFF"/>
        <w:spacing w:line="240" w:lineRule="auto"/>
        <w:jc w:val="center"/>
        <w:rPr>
          <w:rFonts w:ascii="Times New Roman" w:eastAsia="Times New Roman" w:hAnsi="Times New Roman" w:cs="Times New Roman"/>
          <w:b/>
          <w:sz w:val="28"/>
          <w:szCs w:val="28"/>
        </w:rPr>
      </w:pPr>
      <w:r w:rsidRPr="00897AD1">
        <w:rPr>
          <w:rFonts w:ascii="Times New Roman" w:eastAsia="Times New Roman" w:hAnsi="Times New Roman" w:cs="Times New Roman"/>
          <w:b/>
          <w:sz w:val="28"/>
          <w:szCs w:val="28"/>
        </w:rPr>
        <w:t>RESUELVE</w:t>
      </w:r>
    </w:p>
    <w:p w14:paraId="487F8196" w14:textId="77777777" w:rsidR="00C902F4" w:rsidRPr="00897AD1" w:rsidRDefault="00C902F4" w:rsidP="00C977AE">
      <w:pPr>
        <w:pBdr>
          <w:top w:val="none" w:sz="0" w:space="7" w:color="000000"/>
        </w:pBdr>
        <w:shd w:val="clear" w:color="auto" w:fill="FFFFFF"/>
        <w:spacing w:line="240" w:lineRule="auto"/>
        <w:jc w:val="center"/>
        <w:rPr>
          <w:rFonts w:ascii="Times New Roman" w:eastAsia="Times New Roman" w:hAnsi="Times New Roman" w:cs="Times New Roman"/>
          <w:b/>
          <w:sz w:val="28"/>
          <w:szCs w:val="28"/>
        </w:rPr>
      </w:pPr>
    </w:p>
    <w:p w14:paraId="6B8D77EF" w14:textId="2C84838C" w:rsidR="00481C74" w:rsidRPr="00897AD1" w:rsidRDefault="1189E66A" w:rsidP="00C977AE">
      <w:pPr>
        <w:shd w:val="clear" w:color="auto" w:fill="FFFFFF" w:themeFill="background1"/>
        <w:spacing w:line="240" w:lineRule="auto"/>
        <w:jc w:val="both"/>
        <w:rPr>
          <w:rFonts w:ascii="Times New Roman" w:eastAsia="Times New Roman" w:hAnsi="Times New Roman" w:cs="Times New Roman"/>
          <w:sz w:val="28"/>
          <w:szCs w:val="28"/>
        </w:rPr>
      </w:pPr>
      <w:r w:rsidRPr="7F9FB91F">
        <w:rPr>
          <w:rFonts w:ascii="Times New Roman" w:eastAsia="Times New Roman" w:hAnsi="Times New Roman" w:cs="Times New Roman"/>
          <w:b/>
          <w:bCs/>
          <w:sz w:val="28"/>
          <w:szCs w:val="28"/>
        </w:rPr>
        <w:t xml:space="preserve">PRIMERO. DIRIMIR </w:t>
      </w:r>
      <w:r w:rsidRPr="7F9FB91F">
        <w:rPr>
          <w:rFonts w:ascii="Times New Roman" w:eastAsia="Times New Roman" w:hAnsi="Times New Roman" w:cs="Times New Roman"/>
          <w:sz w:val="28"/>
          <w:szCs w:val="28"/>
        </w:rPr>
        <w:t xml:space="preserve">el conflicto de jurisdicciones entre el Tribunal Administrativo de Boyacá y el Juzgado Tercero Civil del Circuito de Oralidad de Tunja, en el sentido de </w:t>
      </w:r>
      <w:r w:rsidRPr="7F9FB91F">
        <w:rPr>
          <w:rFonts w:ascii="Times New Roman" w:eastAsia="Times New Roman" w:hAnsi="Times New Roman" w:cs="Times New Roman"/>
          <w:b/>
          <w:bCs/>
          <w:sz w:val="28"/>
          <w:szCs w:val="28"/>
        </w:rPr>
        <w:t>DECLARAR</w:t>
      </w:r>
      <w:r w:rsidRPr="7F9FB91F">
        <w:rPr>
          <w:rFonts w:ascii="Times New Roman" w:eastAsia="Times New Roman" w:hAnsi="Times New Roman" w:cs="Times New Roman"/>
          <w:sz w:val="28"/>
          <w:szCs w:val="28"/>
        </w:rPr>
        <w:t xml:space="preserve"> que corresponde a este último conocer la demanda presentada por </w:t>
      </w:r>
      <w:r w:rsidR="00F56772" w:rsidRPr="00F56772">
        <w:rPr>
          <w:rFonts w:ascii="Times New Roman" w:eastAsia="Times New Roman" w:hAnsi="Times New Roman" w:cs="Times New Roman"/>
          <w:i/>
          <w:iCs/>
          <w:sz w:val="28"/>
          <w:szCs w:val="28"/>
          <w:highlight w:val="white"/>
        </w:rPr>
        <w:t xml:space="preserve">Juan, Mariana </w:t>
      </w:r>
      <w:r w:rsidR="00F56772" w:rsidRPr="00F56772">
        <w:rPr>
          <w:rFonts w:ascii="Times New Roman" w:eastAsia="Times New Roman" w:hAnsi="Times New Roman" w:cs="Times New Roman"/>
          <w:sz w:val="28"/>
          <w:szCs w:val="28"/>
          <w:highlight w:val="white"/>
        </w:rPr>
        <w:t>y</w:t>
      </w:r>
      <w:r w:rsidR="00F56772" w:rsidRPr="00F56772">
        <w:rPr>
          <w:rFonts w:ascii="Times New Roman" w:eastAsia="Times New Roman" w:hAnsi="Times New Roman" w:cs="Times New Roman"/>
          <w:i/>
          <w:iCs/>
          <w:sz w:val="28"/>
          <w:szCs w:val="28"/>
          <w:highlight w:val="white"/>
        </w:rPr>
        <w:t xml:space="preserve"> Laura</w:t>
      </w:r>
      <w:r w:rsidRPr="7F9FB91F">
        <w:rPr>
          <w:rFonts w:ascii="Times New Roman" w:eastAsia="Times New Roman" w:hAnsi="Times New Roman" w:cs="Times New Roman"/>
          <w:sz w:val="28"/>
          <w:szCs w:val="28"/>
          <w:highlight w:val="white"/>
        </w:rPr>
        <w:t xml:space="preserve">, de </w:t>
      </w:r>
      <w:r w:rsidRPr="7F9FB91F">
        <w:rPr>
          <w:rFonts w:ascii="Times New Roman" w:eastAsia="Times New Roman" w:hAnsi="Times New Roman" w:cs="Times New Roman"/>
          <w:sz w:val="28"/>
          <w:szCs w:val="28"/>
        </w:rPr>
        <w:t>acuerdo con las consideraciones de este auto.</w:t>
      </w:r>
    </w:p>
    <w:p w14:paraId="61CDCEAD" w14:textId="77777777" w:rsidR="00481C74" w:rsidRPr="00897AD1" w:rsidRDefault="00481C74" w:rsidP="00C977AE">
      <w:pPr>
        <w:shd w:val="clear" w:color="auto" w:fill="FFFFFF"/>
        <w:spacing w:line="240" w:lineRule="auto"/>
        <w:jc w:val="both"/>
        <w:rPr>
          <w:rFonts w:ascii="Times New Roman" w:eastAsia="Times New Roman" w:hAnsi="Times New Roman" w:cs="Times New Roman"/>
          <w:sz w:val="28"/>
          <w:szCs w:val="28"/>
        </w:rPr>
      </w:pPr>
    </w:p>
    <w:p w14:paraId="01CD57C8" w14:textId="77777777" w:rsidR="00481C74" w:rsidRPr="00897AD1" w:rsidRDefault="002C24FB" w:rsidP="00C977AE">
      <w:pPr>
        <w:shd w:val="clear" w:color="auto" w:fill="FFFFFF"/>
        <w:spacing w:line="240" w:lineRule="auto"/>
        <w:jc w:val="both"/>
        <w:rPr>
          <w:rFonts w:ascii="Times New Roman" w:eastAsia="Times New Roman" w:hAnsi="Times New Roman" w:cs="Times New Roman"/>
          <w:sz w:val="28"/>
          <w:szCs w:val="28"/>
        </w:rPr>
      </w:pPr>
      <w:r w:rsidRPr="00897AD1">
        <w:rPr>
          <w:rFonts w:ascii="Times New Roman" w:eastAsia="Times New Roman" w:hAnsi="Times New Roman" w:cs="Times New Roman"/>
          <w:b/>
          <w:sz w:val="28"/>
          <w:szCs w:val="28"/>
        </w:rPr>
        <w:t>SEGUNDO.</w:t>
      </w:r>
      <w:r w:rsidRPr="00897AD1">
        <w:rPr>
          <w:rFonts w:ascii="Times New Roman" w:eastAsia="Times New Roman" w:hAnsi="Times New Roman" w:cs="Times New Roman"/>
          <w:sz w:val="28"/>
          <w:szCs w:val="28"/>
        </w:rPr>
        <w:t xml:space="preserve"> </w:t>
      </w:r>
      <w:r w:rsidRPr="00897AD1">
        <w:rPr>
          <w:rFonts w:ascii="Times New Roman" w:eastAsia="Times New Roman" w:hAnsi="Times New Roman" w:cs="Times New Roman"/>
          <w:b/>
          <w:sz w:val="28"/>
          <w:szCs w:val="28"/>
        </w:rPr>
        <w:t>REMITIR</w:t>
      </w:r>
      <w:r w:rsidRPr="00897AD1">
        <w:rPr>
          <w:rFonts w:ascii="Times New Roman" w:eastAsia="Times New Roman" w:hAnsi="Times New Roman" w:cs="Times New Roman"/>
          <w:sz w:val="28"/>
          <w:szCs w:val="28"/>
        </w:rPr>
        <w:t xml:space="preserve"> el expediente CJU-5512 al Juzgado Tercero Civil del Circuito de Oralidad de Tunja para lo de su competencia y para que comunique la presente decisión al Tribunal Administrativo de Boyacá y a los interesados en el proceso ordinario correspondiente.</w:t>
      </w:r>
    </w:p>
    <w:p w14:paraId="6BB9E253" w14:textId="77777777" w:rsidR="00481C74" w:rsidRPr="00897AD1" w:rsidRDefault="00481C74" w:rsidP="00C977AE">
      <w:pPr>
        <w:shd w:val="clear" w:color="auto" w:fill="FFFFFF"/>
        <w:spacing w:line="240" w:lineRule="auto"/>
        <w:jc w:val="both"/>
        <w:rPr>
          <w:rFonts w:ascii="Times New Roman" w:eastAsia="Times New Roman" w:hAnsi="Times New Roman" w:cs="Times New Roman"/>
          <w:sz w:val="28"/>
          <w:szCs w:val="28"/>
        </w:rPr>
      </w:pPr>
    </w:p>
    <w:p w14:paraId="7359C762" w14:textId="77777777" w:rsidR="00481C74" w:rsidRPr="00897AD1" w:rsidRDefault="002C24FB" w:rsidP="00C977AE">
      <w:pPr>
        <w:pBdr>
          <w:top w:val="none" w:sz="0" w:space="7" w:color="000000"/>
        </w:pBdr>
        <w:shd w:val="clear" w:color="auto" w:fill="FFFFFF"/>
        <w:spacing w:line="240" w:lineRule="auto"/>
        <w:jc w:val="both"/>
        <w:rPr>
          <w:rFonts w:ascii="Times New Roman" w:eastAsia="Times New Roman" w:hAnsi="Times New Roman" w:cs="Times New Roman"/>
          <w:sz w:val="28"/>
          <w:szCs w:val="28"/>
        </w:rPr>
      </w:pPr>
      <w:r w:rsidRPr="00897AD1">
        <w:rPr>
          <w:rFonts w:ascii="Times New Roman" w:eastAsia="Times New Roman" w:hAnsi="Times New Roman" w:cs="Times New Roman"/>
          <w:sz w:val="28"/>
          <w:szCs w:val="28"/>
        </w:rPr>
        <w:t>Notifíquese, comuníquese y cúmplase.</w:t>
      </w:r>
    </w:p>
    <w:p w14:paraId="3D2B2EA6" w14:textId="33E8FD78" w:rsidR="00E42890" w:rsidRDefault="00E42890" w:rsidP="000B089E">
      <w:pPr>
        <w:pStyle w:val="paragraph"/>
        <w:spacing w:before="0" w:beforeAutospacing="0" w:after="0" w:afterAutospacing="0"/>
        <w:jc w:val="both"/>
        <w:textAlignment w:val="baseline"/>
        <w:rPr>
          <w:rFonts w:ascii="Segoe UI" w:hAnsi="Segoe UI" w:cs="Segoe UI"/>
          <w:sz w:val="18"/>
          <w:szCs w:val="18"/>
        </w:rPr>
      </w:pPr>
    </w:p>
    <w:p w14:paraId="0C50BBBD" w14:textId="103EFEA8" w:rsidR="0078735E" w:rsidRDefault="0078735E" w:rsidP="000B089E">
      <w:pPr>
        <w:pStyle w:val="paragraph"/>
        <w:spacing w:before="0" w:beforeAutospacing="0" w:after="0" w:afterAutospacing="0"/>
        <w:jc w:val="both"/>
        <w:textAlignment w:val="baseline"/>
        <w:rPr>
          <w:rFonts w:ascii="Segoe UI" w:hAnsi="Segoe UI" w:cs="Segoe UI"/>
          <w:sz w:val="18"/>
          <w:szCs w:val="18"/>
        </w:rPr>
      </w:pPr>
    </w:p>
    <w:p w14:paraId="5BBC20F6" w14:textId="00065D24" w:rsidR="0078735E" w:rsidRDefault="0078735E" w:rsidP="000B089E">
      <w:pPr>
        <w:pStyle w:val="paragraph"/>
        <w:spacing w:before="0" w:beforeAutospacing="0" w:after="0" w:afterAutospacing="0"/>
        <w:jc w:val="both"/>
        <w:textAlignment w:val="baseline"/>
        <w:rPr>
          <w:rFonts w:ascii="Segoe UI" w:hAnsi="Segoe UI" w:cs="Segoe UI"/>
          <w:sz w:val="18"/>
          <w:szCs w:val="18"/>
        </w:rPr>
      </w:pPr>
    </w:p>
    <w:p w14:paraId="29A02709" w14:textId="0606ED2C"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JOSE FERNANDO REYES CUARTAS</w:t>
      </w:r>
    </w:p>
    <w:p w14:paraId="52C5582C" w14:textId="2AE9B575"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Presidente</w:t>
      </w:r>
    </w:p>
    <w:p w14:paraId="62E300B9" w14:textId="0608EEA5" w:rsidR="0078735E" w:rsidRDefault="0078735E" w:rsidP="0078735E">
      <w:pPr>
        <w:pStyle w:val="paragraph"/>
        <w:spacing w:before="0" w:beforeAutospacing="0" w:after="0" w:afterAutospacing="0"/>
        <w:jc w:val="center"/>
        <w:textAlignment w:val="baseline"/>
        <w:rPr>
          <w:sz w:val="28"/>
          <w:szCs w:val="18"/>
        </w:rPr>
      </w:pPr>
    </w:p>
    <w:p w14:paraId="1FB7E511" w14:textId="6CDB8EB2" w:rsidR="0078735E" w:rsidRDefault="0078735E" w:rsidP="0078735E">
      <w:pPr>
        <w:pStyle w:val="paragraph"/>
        <w:spacing w:before="0" w:beforeAutospacing="0" w:after="0" w:afterAutospacing="0"/>
        <w:jc w:val="center"/>
        <w:textAlignment w:val="baseline"/>
        <w:rPr>
          <w:sz w:val="28"/>
          <w:szCs w:val="18"/>
        </w:rPr>
      </w:pPr>
    </w:p>
    <w:p w14:paraId="3DFE347B" w14:textId="5C302939" w:rsidR="0078735E" w:rsidRDefault="0078735E" w:rsidP="0078735E">
      <w:pPr>
        <w:pStyle w:val="paragraph"/>
        <w:spacing w:before="0" w:beforeAutospacing="0" w:after="0" w:afterAutospacing="0"/>
        <w:jc w:val="center"/>
        <w:textAlignment w:val="baseline"/>
        <w:rPr>
          <w:sz w:val="28"/>
          <w:szCs w:val="18"/>
        </w:rPr>
      </w:pPr>
    </w:p>
    <w:p w14:paraId="3ED82B7B" w14:textId="2F3B014C"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NATALIA ÁNGEL CABO</w:t>
      </w:r>
    </w:p>
    <w:p w14:paraId="05AD8DDD" w14:textId="12C13A8A"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Magistrada</w:t>
      </w:r>
    </w:p>
    <w:p w14:paraId="19EF75DC" w14:textId="66B1C3BA" w:rsidR="0078735E" w:rsidRDefault="0078735E" w:rsidP="0078735E">
      <w:pPr>
        <w:pStyle w:val="paragraph"/>
        <w:spacing w:before="0" w:beforeAutospacing="0" w:after="0" w:afterAutospacing="0"/>
        <w:jc w:val="center"/>
        <w:textAlignment w:val="baseline"/>
        <w:rPr>
          <w:sz w:val="28"/>
          <w:szCs w:val="18"/>
        </w:rPr>
      </w:pPr>
    </w:p>
    <w:p w14:paraId="4CAEB220" w14:textId="64F4639E" w:rsidR="0078735E" w:rsidRDefault="0078735E" w:rsidP="0078735E">
      <w:pPr>
        <w:pStyle w:val="paragraph"/>
        <w:spacing w:before="0" w:beforeAutospacing="0" w:after="0" w:afterAutospacing="0"/>
        <w:jc w:val="center"/>
        <w:textAlignment w:val="baseline"/>
        <w:rPr>
          <w:sz w:val="28"/>
          <w:szCs w:val="18"/>
        </w:rPr>
      </w:pPr>
    </w:p>
    <w:p w14:paraId="0E9E971E" w14:textId="751810E5" w:rsidR="0078735E" w:rsidRDefault="0078735E" w:rsidP="0078735E">
      <w:pPr>
        <w:pStyle w:val="paragraph"/>
        <w:spacing w:before="0" w:beforeAutospacing="0" w:after="0" w:afterAutospacing="0"/>
        <w:jc w:val="center"/>
        <w:textAlignment w:val="baseline"/>
        <w:rPr>
          <w:sz w:val="28"/>
          <w:szCs w:val="18"/>
        </w:rPr>
      </w:pPr>
    </w:p>
    <w:p w14:paraId="34D4E714" w14:textId="0B3E17E1"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JUAN CARLOS CORTÉS GONZÁLEZ</w:t>
      </w:r>
    </w:p>
    <w:p w14:paraId="6826CE4E" w14:textId="385A7540"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Magistrado</w:t>
      </w:r>
    </w:p>
    <w:p w14:paraId="0150E894" w14:textId="13FD2FCD" w:rsidR="0078735E" w:rsidRDefault="0078735E" w:rsidP="0078735E">
      <w:pPr>
        <w:pStyle w:val="paragraph"/>
        <w:spacing w:before="0" w:beforeAutospacing="0" w:after="0" w:afterAutospacing="0"/>
        <w:jc w:val="center"/>
        <w:textAlignment w:val="baseline"/>
        <w:rPr>
          <w:sz w:val="28"/>
          <w:szCs w:val="18"/>
        </w:rPr>
      </w:pPr>
    </w:p>
    <w:p w14:paraId="731F98DF" w14:textId="1E389534" w:rsidR="0078735E" w:rsidRDefault="0078735E" w:rsidP="0078735E">
      <w:pPr>
        <w:pStyle w:val="paragraph"/>
        <w:spacing w:before="0" w:beforeAutospacing="0" w:after="0" w:afterAutospacing="0"/>
        <w:jc w:val="center"/>
        <w:textAlignment w:val="baseline"/>
        <w:rPr>
          <w:sz w:val="28"/>
          <w:szCs w:val="18"/>
        </w:rPr>
      </w:pPr>
    </w:p>
    <w:p w14:paraId="7BC0BED5" w14:textId="2C65F481" w:rsidR="0078735E" w:rsidRDefault="0078735E" w:rsidP="0078735E">
      <w:pPr>
        <w:pStyle w:val="paragraph"/>
        <w:spacing w:before="0" w:beforeAutospacing="0" w:after="0" w:afterAutospacing="0"/>
        <w:jc w:val="center"/>
        <w:textAlignment w:val="baseline"/>
        <w:rPr>
          <w:sz w:val="28"/>
          <w:szCs w:val="18"/>
        </w:rPr>
      </w:pPr>
    </w:p>
    <w:p w14:paraId="7E5813D1" w14:textId="4FE36733"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DIANA FAJARDO RIVERA</w:t>
      </w:r>
    </w:p>
    <w:p w14:paraId="61FAEC23" w14:textId="656F7BA2"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Magistrada</w:t>
      </w:r>
    </w:p>
    <w:p w14:paraId="00E6D218" w14:textId="115EA40D" w:rsidR="0078735E" w:rsidRDefault="0078735E" w:rsidP="0078735E">
      <w:pPr>
        <w:pStyle w:val="paragraph"/>
        <w:spacing w:before="0" w:beforeAutospacing="0" w:after="0" w:afterAutospacing="0"/>
        <w:jc w:val="center"/>
        <w:textAlignment w:val="baseline"/>
        <w:rPr>
          <w:sz w:val="28"/>
          <w:szCs w:val="18"/>
        </w:rPr>
      </w:pPr>
    </w:p>
    <w:p w14:paraId="76C83D28" w14:textId="7ADF1316" w:rsidR="0078735E" w:rsidRDefault="0078735E" w:rsidP="0078735E">
      <w:pPr>
        <w:pStyle w:val="paragraph"/>
        <w:spacing w:before="0" w:beforeAutospacing="0" w:after="0" w:afterAutospacing="0"/>
        <w:jc w:val="center"/>
        <w:textAlignment w:val="baseline"/>
        <w:rPr>
          <w:sz w:val="28"/>
          <w:szCs w:val="18"/>
        </w:rPr>
      </w:pPr>
    </w:p>
    <w:p w14:paraId="5AEC3CA2" w14:textId="33DF069E" w:rsidR="0078735E" w:rsidRDefault="0078735E" w:rsidP="0078735E">
      <w:pPr>
        <w:pStyle w:val="paragraph"/>
        <w:spacing w:before="0" w:beforeAutospacing="0" w:after="0" w:afterAutospacing="0"/>
        <w:jc w:val="center"/>
        <w:textAlignment w:val="baseline"/>
        <w:rPr>
          <w:sz w:val="28"/>
          <w:szCs w:val="18"/>
        </w:rPr>
      </w:pPr>
    </w:p>
    <w:p w14:paraId="253F885A" w14:textId="59798937"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VLADIMIR FERNÁNDEZ ANDRADE</w:t>
      </w:r>
    </w:p>
    <w:p w14:paraId="2691D7E0" w14:textId="3AE8AAF9"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Magistrado</w:t>
      </w:r>
    </w:p>
    <w:p w14:paraId="0AF3EE53" w14:textId="493CAE8F" w:rsidR="0078735E" w:rsidRDefault="0078735E" w:rsidP="0078735E">
      <w:pPr>
        <w:pStyle w:val="paragraph"/>
        <w:spacing w:before="0" w:beforeAutospacing="0" w:after="0" w:afterAutospacing="0"/>
        <w:jc w:val="center"/>
        <w:textAlignment w:val="baseline"/>
        <w:rPr>
          <w:sz w:val="28"/>
          <w:szCs w:val="18"/>
        </w:rPr>
      </w:pPr>
    </w:p>
    <w:p w14:paraId="380183C9" w14:textId="2D2975B6" w:rsidR="0078735E" w:rsidRDefault="0078735E" w:rsidP="0078735E">
      <w:pPr>
        <w:pStyle w:val="paragraph"/>
        <w:spacing w:before="0" w:beforeAutospacing="0" w:after="0" w:afterAutospacing="0"/>
        <w:jc w:val="center"/>
        <w:textAlignment w:val="baseline"/>
        <w:rPr>
          <w:sz w:val="28"/>
          <w:szCs w:val="18"/>
        </w:rPr>
      </w:pPr>
    </w:p>
    <w:p w14:paraId="2A9589BB" w14:textId="45D190C4" w:rsidR="0078735E" w:rsidRDefault="0078735E" w:rsidP="0078735E">
      <w:pPr>
        <w:pStyle w:val="paragraph"/>
        <w:spacing w:before="0" w:beforeAutospacing="0" w:after="0" w:afterAutospacing="0"/>
        <w:jc w:val="center"/>
        <w:textAlignment w:val="baseline"/>
        <w:rPr>
          <w:sz w:val="28"/>
          <w:szCs w:val="18"/>
        </w:rPr>
      </w:pPr>
    </w:p>
    <w:p w14:paraId="6EEE5B97" w14:textId="229A7D55"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 xml:space="preserve">JORGE ENRIQUE IBÁÑEZ NAJAR </w:t>
      </w:r>
    </w:p>
    <w:p w14:paraId="1BC6DED4" w14:textId="57669657"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Magistrado</w:t>
      </w:r>
    </w:p>
    <w:p w14:paraId="15A2712F" w14:textId="7C09FD68" w:rsidR="0078735E" w:rsidRDefault="0078735E" w:rsidP="0078735E">
      <w:pPr>
        <w:pStyle w:val="paragraph"/>
        <w:spacing w:before="0" w:beforeAutospacing="0" w:after="0" w:afterAutospacing="0"/>
        <w:jc w:val="center"/>
        <w:textAlignment w:val="baseline"/>
        <w:rPr>
          <w:sz w:val="28"/>
          <w:szCs w:val="18"/>
        </w:rPr>
      </w:pPr>
    </w:p>
    <w:p w14:paraId="264B6642" w14:textId="359EC5F9" w:rsidR="0078735E" w:rsidRDefault="0078735E" w:rsidP="0078735E">
      <w:pPr>
        <w:pStyle w:val="paragraph"/>
        <w:spacing w:before="0" w:beforeAutospacing="0" w:after="0" w:afterAutospacing="0"/>
        <w:jc w:val="center"/>
        <w:textAlignment w:val="baseline"/>
        <w:rPr>
          <w:sz w:val="28"/>
          <w:szCs w:val="18"/>
        </w:rPr>
      </w:pPr>
    </w:p>
    <w:p w14:paraId="271DACB0" w14:textId="38769D80" w:rsidR="0078735E" w:rsidRDefault="0078735E" w:rsidP="0078735E">
      <w:pPr>
        <w:pStyle w:val="paragraph"/>
        <w:spacing w:before="0" w:beforeAutospacing="0" w:after="0" w:afterAutospacing="0"/>
        <w:jc w:val="center"/>
        <w:textAlignment w:val="baseline"/>
        <w:rPr>
          <w:sz w:val="28"/>
          <w:szCs w:val="18"/>
        </w:rPr>
      </w:pPr>
    </w:p>
    <w:p w14:paraId="1815166C" w14:textId="28F1BECB"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ANTONIO JOSÉ LIZARAZO OCAMPO</w:t>
      </w:r>
    </w:p>
    <w:p w14:paraId="5D31339B" w14:textId="613C46A2"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Magistrado</w:t>
      </w:r>
    </w:p>
    <w:p w14:paraId="606EA4A5" w14:textId="460B1878" w:rsidR="0078735E" w:rsidRDefault="0078735E" w:rsidP="0078735E">
      <w:pPr>
        <w:pStyle w:val="paragraph"/>
        <w:spacing w:before="0" w:beforeAutospacing="0" w:after="0" w:afterAutospacing="0"/>
        <w:jc w:val="center"/>
        <w:textAlignment w:val="baseline"/>
        <w:rPr>
          <w:sz w:val="28"/>
          <w:szCs w:val="18"/>
        </w:rPr>
      </w:pPr>
    </w:p>
    <w:p w14:paraId="32B68352" w14:textId="1ED89E75" w:rsidR="0078735E" w:rsidRDefault="0078735E" w:rsidP="0078735E">
      <w:pPr>
        <w:pStyle w:val="paragraph"/>
        <w:spacing w:before="0" w:beforeAutospacing="0" w:after="0" w:afterAutospacing="0"/>
        <w:jc w:val="center"/>
        <w:textAlignment w:val="baseline"/>
        <w:rPr>
          <w:sz w:val="28"/>
          <w:szCs w:val="18"/>
        </w:rPr>
      </w:pPr>
    </w:p>
    <w:p w14:paraId="7743B4C9" w14:textId="7B7B6B64" w:rsidR="0078735E" w:rsidRDefault="0078735E" w:rsidP="0078735E">
      <w:pPr>
        <w:pStyle w:val="paragraph"/>
        <w:spacing w:before="0" w:beforeAutospacing="0" w:after="0" w:afterAutospacing="0"/>
        <w:jc w:val="center"/>
        <w:textAlignment w:val="baseline"/>
        <w:rPr>
          <w:sz w:val="28"/>
          <w:szCs w:val="18"/>
        </w:rPr>
      </w:pPr>
    </w:p>
    <w:p w14:paraId="4DA174CF" w14:textId="6793FCFE"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PAOLA ANDREA MENESES MOSQUERA</w:t>
      </w:r>
    </w:p>
    <w:p w14:paraId="335D91FD" w14:textId="1CD10A45"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Magistrada</w:t>
      </w:r>
    </w:p>
    <w:p w14:paraId="1A83BA08" w14:textId="59D11954"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Ausente con permiso</w:t>
      </w:r>
    </w:p>
    <w:p w14:paraId="45C596D0" w14:textId="31ADEDA0" w:rsidR="0078735E" w:rsidRDefault="0078735E" w:rsidP="0078735E">
      <w:pPr>
        <w:pStyle w:val="paragraph"/>
        <w:spacing w:before="0" w:beforeAutospacing="0" w:after="0" w:afterAutospacing="0"/>
        <w:jc w:val="center"/>
        <w:textAlignment w:val="baseline"/>
        <w:rPr>
          <w:sz w:val="28"/>
          <w:szCs w:val="18"/>
        </w:rPr>
      </w:pPr>
    </w:p>
    <w:p w14:paraId="7881CFF7" w14:textId="27142374" w:rsidR="0078735E" w:rsidRDefault="0078735E" w:rsidP="0078735E">
      <w:pPr>
        <w:pStyle w:val="paragraph"/>
        <w:spacing w:before="0" w:beforeAutospacing="0" w:after="0" w:afterAutospacing="0"/>
        <w:jc w:val="center"/>
        <w:textAlignment w:val="baseline"/>
        <w:rPr>
          <w:sz w:val="28"/>
          <w:szCs w:val="18"/>
        </w:rPr>
      </w:pPr>
    </w:p>
    <w:p w14:paraId="4AA0E232" w14:textId="191275D4" w:rsidR="0078735E" w:rsidRDefault="0078735E" w:rsidP="0078735E">
      <w:pPr>
        <w:pStyle w:val="paragraph"/>
        <w:spacing w:before="0" w:beforeAutospacing="0" w:after="0" w:afterAutospacing="0"/>
        <w:jc w:val="center"/>
        <w:textAlignment w:val="baseline"/>
        <w:rPr>
          <w:sz w:val="28"/>
          <w:szCs w:val="18"/>
        </w:rPr>
      </w:pPr>
    </w:p>
    <w:p w14:paraId="1559D0DA" w14:textId="67A137F5"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CRISTINA PARDO SCHLESINGER</w:t>
      </w:r>
    </w:p>
    <w:p w14:paraId="2EECB056" w14:textId="26E84239"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Magistrada</w:t>
      </w:r>
    </w:p>
    <w:p w14:paraId="37414991" w14:textId="5E3DBB8F" w:rsidR="0078735E" w:rsidRDefault="0078735E" w:rsidP="0078735E">
      <w:pPr>
        <w:pStyle w:val="paragraph"/>
        <w:spacing w:before="0" w:beforeAutospacing="0" w:after="0" w:afterAutospacing="0"/>
        <w:jc w:val="center"/>
        <w:textAlignment w:val="baseline"/>
        <w:rPr>
          <w:sz w:val="28"/>
          <w:szCs w:val="18"/>
        </w:rPr>
      </w:pPr>
    </w:p>
    <w:p w14:paraId="015143AE" w14:textId="259E1ED0" w:rsidR="0078735E" w:rsidRDefault="0078735E" w:rsidP="0078735E">
      <w:pPr>
        <w:pStyle w:val="paragraph"/>
        <w:spacing w:before="0" w:beforeAutospacing="0" w:after="0" w:afterAutospacing="0"/>
        <w:jc w:val="center"/>
        <w:textAlignment w:val="baseline"/>
        <w:rPr>
          <w:sz w:val="28"/>
          <w:szCs w:val="18"/>
        </w:rPr>
      </w:pPr>
    </w:p>
    <w:p w14:paraId="3E10D8AC" w14:textId="27550BED" w:rsidR="0078735E" w:rsidRDefault="0078735E" w:rsidP="0078735E">
      <w:pPr>
        <w:pStyle w:val="paragraph"/>
        <w:spacing w:before="0" w:beforeAutospacing="0" w:after="0" w:afterAutospacing="0"/>
        <w:jc w:val="center"/>
        <w:textAlignment w:val="baseline"/>
        <w:rPr>
          <w:sz w:val="28"/>
          <w:szCs w:val="18"/>
        </w:rPr>
      </w:pPr>
    </w:p>
    <w:p w14:paraId="24655369" w14:textId="6D477EB7"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ANDREA LILIANA ROMERO LOPEZ</w:t>
      </w:r>
    </w:p>
    <w:p w14:paraId="6AD52BC9" w14:textId="37EA5D48" w:rsidR="0078735E" w:rsidRDefault="0078735E" w:rsidP="0078735E">
      <w:pPr>
        <w:pStyle w:val="paragraph"/>
        <w:spacing w:before="0" w:beforeAutospacing="0" w:after="0" w:afterAutospacing="0"/>
        <w:jc w:val="center"/>
        <w:textAlignment w:val="baseline"/>
        <w:rPr>
          <w:sz w:val="28"/>
          <w:szCs w:val="18"/>
        </w:rPr>
      </w:pPr>
      <w:r w:rsidRPr="0078735E">
        <w:rPr>
          <w:sz w:val="28"/>
          <w:szCs w:val="18"/>
        </w:rPr>
        <w:t>Secretaria General</w:t>
      </w:r>
    </w:p>
    <w:p w14:paraId="35096820" w14:textId="44EC6CB7" w:rsidR="0078735E" w:rsidRDefault="0078735E" w:rsidP="0078735E">
      <w:pPr>
        <w:pStyle w:val="paragraph"/>
        <w:spacing w:before="0" w:beforeAutospacing="0" w:after="0" w:afterAutospacing="0"/>
        <w:jc w:val="center"/>
        <w:textAlignment w:val="baseline"/>
        <w:rPr>
          <w:sz w:val="28"/>
          <w:szCs w:val="18"/>
        </w:rPr>
      </w:pPr>
    </w:p>
    <w:p w14:paraId="3D138132" w14:textId="557C2429" w:rsidR="0078735E" w:rsidRDefault="0078735E" w:rsidP="0078735E">
      <w:pPr>
        <w:pStyle w:val="paragraph"/>
        <w:spacing w:before="0" w:beforeAutospacing="0" w:after="0" w:afterAutospacing="0"/>
        <w:jc w:val="center"/>
        <w:textAlignment w:val="baseline"/>
        <w:rPr>
          <w:sz w:val="28"/>
          <w:szCs w:val="18"/>
        </w:rPr>
      </w:pPr>
    </w:p>
    <w:p w14:paraId="1684131C" w14:textId="63DDE752" w:rsidR="0078735E" w:rsidRDefault="0078735E" w:rsidP="0078735E">
      <w:pPr>
        <w:pStyle w:val="paragraph"/>
        <w:spacing w:before="0" w:beforeAutospacing="0" w:after="0" w:afterAutospacing="0"/>
        <w:jc w:val="center"/>
        <w:textAlignment w:val="baseline"/>
        <w:rPr>
          <w:sz w:val="28"/>
          <w:szCs w:val="18"/>
        </w:rPr>
      </w:pPr>
    </w:p>
    <w:p w14:paraId="53001FF0" w14:textId="46D60A49" w:rsidR="0078735E" w:rsidRDefault="0078735E" w:rsidP="0078735E">
      <w:pPr>
        <w:pStyle w:val="paragraph"/>
        <w:spacing w:before="0" w:beforeAutospacing="0" w:after="0" w:afterAutospacing="0"/>
        <w:jc w:val="center"/>
        <w:textAlignment w:val="baseline"/>
        <w:rPr>
          <w:sz w:val="28"/>
          <w:szCs w:val="18"/>
        </w:rPr>
      </w:pPr>
    </w:p>
    <w:p w14:paraId="106A34E6" w14:textId="152AAB96" w:rsidR="0078735E" w:rsidRDefault="0078735E" w:rsidP="0078735E">
      <w:pPr>
        <w:pStyle w:val="paragraph"/>
        <w:spacing w:before="0" w:beforeAutospacing="0" w:after="0" w:afterAutospacing="0"/>
        <w:jc w:val="center"/>
        <w:textAlignment w:val="baseline"/>
        <w:rPr>
          <w:sz w:val="28"/>
          <w:szCs w:val="18"/>
        </w:rPr>
      </w:pPr>
    </w:p>
    <w:p w14:paraId="21055D61" w14:textId="77777777" w:rsidR="0078735E" w:rsidRPr="0078735E" w:rsidRDefault="0078735E" w:rsidP="0078735E">
      <w:pPr>
        <w:pStyle w:val="paragraph"/>
        <w:spacing w:before="0" w:beforeAutospacing="0" w:after="0" w:afterAutospacing="0"/>
        <w:jc w:val="center"/>
        <w:textAlignment w:val="baseline"/>
        <w:rPr>
          <w:sz w:val="28"/>
          <w:szCs w:val="18"/>
        </w:rPr>
      </w:pPr>
    </w:p>
    <w:sectPr w:rsidR="0078735E" w:rsidRPr="0078735E" w:rsidSect="002B5C4A">
      <w:footerReference w:type="default" r:id="rId9"/>
      <w:pgSz w:w="12240" w:h="19296"/>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9DF19" w14:textId="77777777" w:rsidR="00CD2438" w:rsidRDefault="00CD2438">
      <w:pPr>
        <w:spacing w:line="240" w:lineRule="auto"/>
      </w:pPr>
      <w:r>
        <w:separator/>
      </w:r>
    </w:p>
  </w:endnote>
  <w:endnote w:type="continuationSeparator" w:id="0">
    <w:p w14:paraId="6677284F" w14:textId="77777777" w:rsidR="00CD2438" w:rsidRDefault="00CD2438">
      <w:pPr>
        <w:spacing w:line="240" w:lineRule="auto"/>
      </w:pPr>
      <w:r>
        <w:continuationSeparator/>
      </w:r>
    </w:p>
  </w:endnote>
  <w:endnote w:type="continuationNotice" w:id="1">
    <w:p w14:paraId="61D6F1B9" w14:textId="77777777" w:rsidR="00CD2438" w:rsidRDefault="00CD24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62953" w14:textId="77777777" w:rsidR="00481C74" w:rsidRDefault="002C24FB">
    <w:pPr>
      <w:jc w:val="right"/>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w:instrText>
    </w:r>
    <w:r>
      <w:rPr>
        <w:rFonts w:ascii="Times New Roman" w:eastAsia="Times New Roman" w:hAnsi="Times New Roman" w:cs="Times New Roman"/>
        <w:sz w:val="28"/>
        <w:szCs w:val="28"/>
      </w:rPr>
      <w:fldChar w:fldCharType="separate"/>
    </w:r>
    <w:r w:rsidR="00897AD1">
      <w:rPr>
        <w:rFonts w:ascii="Times New Roman" w:eastAsia="Times New Roman" w:hAnsi="Times New Roman" w:cs="Times New Roman"/>
        <w:noProof/>
        <w:sz w:val="28"/>
        <w:szCs w:val="28"/>
      </w:rPr>
      <w:t>1</w:t>
    </w:r>
    <w:r>
      <w:rPr>
        <w:rFonts w:ascii="Times New Roman" w:eastAsia="Times New Roman" w:hAnsi="Times New Roman" w:cs="Times New Roman"/>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BEFFF" w14:textId="77777777" w:rsidR="00CD2438" w:rsidRDefault="00CD2438">
      <w:pPr>
        <w:spacing w:line="240" w:lineRule="auto"/>
      </w:pPr>
      <w:r>
        <w:separator/>
      </w:r>
    </w:p>
  </w:footnote>
  <w:footnote w:type="continuationSeparator" w:id="0">
    <w:p w14:paraId="0FE8F586" w14:textId="77777777" w:rsidR="00CD2438" w:rsidRDefault="00CD2438">
      <w:pPr>
        <w:spacing w:line="240" w:lineRule="auto"/>
      </w:pPr>
      <w:r>
        <w:continuationSeparator/>
      </w:r>
    </w:p>
  </w:footnote>
  <w:footnote w:type="continuationNotice" w:id="1">
    <w:p w14:paraId="180205E4" w14:textId="77777777" w:rsidR="00CD2438" w:rsidRDefault="00CD2438">
      <w:pPr>
        <w:spacing w:line="240" w:lineRule="auto"/>
      </w:pPr>
    </w:p>
  </w:footnote>
  <w:footnote w:id="2">
    <w:p w14:paraId="7091D1C3" w14:textId="579DF7E1" w:rsidR="041F913F" w:rsidRPr="00C902F4" w:rsidRDefault="041F913F" w:rsidP="00C902F4">
      <w:pPr>
        <w:pStyle w:val="Textonotapie"/>
        <w:jc w:val="both"/>
        <w:rPr>
          <w:rFonts w:ascii="Times New Roman" w:hAnsi="Times New Roman" w:cs="Times New Roman"/>
        </w:rPr>
      </w:pPr>
      <w:r w:rsidRPr="00C902F4">
        <w:rPr>
          <w:rStyle w:val="Refdenotaalpie"/>
          <w:rFonts w:ascii="Times New Roman" w:hAnsi="Times New Roman" w:cs="Times New Roman"/>
        </w:rPr>
        <w:footnoteRef/>
      </w:r>
      <w:r w:rsidR="325E21D9" w:rsidRPr="00C902F4">
        <w:rPr>
          <w:rFonts w:ascii="Times New Roman" w:hAnsi="Times New Roman" w:cs="Times New Roman"/>
        </w:rPr>
        <w:t xml:space="preserve"> Esta Corporación, en múltiples oportunidades, ha señalado que la Nueva EPS S.A. es una sociedad de economía mixta creada por autorización de la Ley 1151 de 2007 y que se encuentra sujeta a las reglas del Derecho Privado, entre otras características. Lo anterior, puesto que su capital social está conformado en un porcentaje del 50% menos uno con recursos públicos y del 50% más uno con recursos privados. Así mismo, ha indicado que es una sociedad anónima sometida al régimen de las empresas de salud, constituida mediante escritura pública No. 753 del 22 de marzo de 2007. Ver: Auto 082 de 2009. M.P. Clara Elena Reales Gutiérrez y Sentencia T.374 DE 2012 M.P. Jorge Ignacio Pretelt Chaljub. </w:t>
      </w:r>
    </w:p>
  </w:footnote>
  <w:footnote w:id="3">
    <w:p w14:paraId="3A268152" w14:textId="612F034A" w:rsidR="00481C74" w:rsidRPr="00C902F4" w:rsidRDefault="002C24FB" w:rsidP="00C902F4">
      <w:pPr>
        <w:spacing w:line="240" w:lineRule="auto"/>
        <w:jc w:val="both"/>
        <w:rPr>
          <w:rFonts w:ascii="Times New Roman" w:eastAsia="Times New Roman" w:hAnsi="Times New Roman" w:cs="Times New Roman"/>
          <w:sz w:val="20"/>
          <w:szCs w:val="20"/>
        </w:rPr>
      </w:pPr>
      <w:r w:rsidRPr="00C902F4">
        <w:rPr>
          <w:rFonts w:ascii="Times New Roman" w:hAnsi="Times New Roman" w:cs="Times New Roman"/>
          <w:sz w:val="20"/>
          <w:szCs w:val="20"/>
          <w:vertAlign w:val="superscript"/>
        </w:rPr>
        <w:footnoteRef/>
      </w:r>
      <w:r w:rsidRPr="00C902F4">
        <w:rPr>
          <w:rFonts w:ascii="Times New Roman" w:hAnsi="Times New Roman" w:cs="Times New Roman"/>
          <w:sz w:val="20"/>
          <w:szCs w:val="20"/>
        </w:rPr>
        <w:t xml:space="preserve"> </w:t>
      </w:r>
      <w:r w:rsidRPr="00C902F4">
        <w:rPr>
          <w:rFonts w:ascii="Times New Roman" w:eastAsia="Times New Roman" w:hAnsi="Times New Roman" w:cs="Times New Roman"/>
          <w:sz w:val="20"/>
          <w:szCs w:val="20"/>
        </w:rPr>
        <w:t xml:space="preserve">Páginas 1 a 7 del documento “003 FLS 1-17 DEMANDA </w:t>
      </w:r>
      <w:r w:rsidR="00F56772" w:rsidRPr="00F56772">
        <w:rPr>
          <w:rFonts w:ascii="Times New Roman" w:eastAsia="Times New Roman" w:hAnsi="Times New Roman" w:cs="Times New Roman"/>
          <w:i/>
          <w:iCs/>
          <w:sz w:val="20"/>
          <w:szCs w:val="20"/>
        </w:rPr>
        <w:t>Juan</w:t>
      </w:r>
      <w:r w:rsidRPr="00C902F4">
        <w:rPr>
          <w:rFonts w:ascii="Times New Roman" w:eastAsia="Times New Roman" w:hAnsi="Times New Roman" w:cs="Times New Roman"/>
          <w:sz w:val="20"/>
          <w:szCs w:val="20"/>
        </w:rPr>
        <w:t>pdf”.</w:t>
      </w:r>
    </w:p>
  </w:footnote>
  <w:footnote w:id="4">
    <w:p w14:paraId="2BF67A7F" w14:textId="7D78DAD2" w:rsidR="00481C74" w:rsidRPr="00C902F4" w:rsidRDefault="002C24FB" w:rsidP="00C902F4">
      <w:pPr>
        <w:spacing w:line="240" w:lineRule="auto"/>
        <w:jc w:val="both"/>
        <w:rPr>
          <w:rFonts w:ascii="Times New Roman" w:hAnsi="Times New Roman" w:cs="Times New Roman"/>
          <w:sz w:val="20"/>
          <w:szCs w:val="20"/>
        </w:rPr>
      </w:pPr>
      <w:r w:rsidRPr="00C902F4">
        <w:rPr>
          <w:rFonts w:ascii="Times New Roman" w:hAnsi="Times New Roman" w:cs="Times New Roman"/>
          <w:sz w:val="20"/>
          <w:szCs w:val="20"/>
          <w:vertAlign w:val="superscript"/>
        </w:rPr>
        <w:footnoteRef/>
      </w:r>
      <w:r w:rsidRPr="00C902F4">
        <w:rPr>
          <w:rFonts w:ascii="Times New Roman" w:eastAsia="Times New Roman" w:hAnsi="Times New Roman" w:cs="Times New Roman"/>
          <w:sz w:val="20"/>
          <w:szCs w:val="20"/>
        </w:rPr>
        <w:t xml:space="preserve"> Páginas 7 y 8 del documento “003 FLS 1-17 DEMANDA </w:t>
      </w:r>
      <w:r w:rsidR="00F56772" w:rsidRPr="00F56772">
        <w:rPr>
          <w:rFonts w:ascii="Times New Roman" w:eastAsia="Times New Roman" w:hAnsi="Times New Roman" w:cs="Times New Roman"/>
          <w:i/>
          <w:iCs/>
          <w:sz w:val="20"/>
          <w:szCs w:val="20"/>
        </w:rPr>
        <w:t>Juan</w:t>
      </w:r>
      <w:r w:rsidRPr="00C902F4">
        <w:rPr>
          <w:rFonts w:ascii="Times New Roman" w:eastAsia="Times New Roman" w:hAnsi="Times New Roman" w:cs="Times New Roman"/>
          <w:sz w:val="20"/>
          <w:szCs w:val="20"/>
        </w:rPr>
        <w:t>pdf”.</w:t>
      </w:r>
    </w:p>
  </w:footnote>
  <w:footnote w:id="5">
    <w:p w14:paraId="1E015361" w14:textId="786F4462" w:rsidR="00481C74" w:rsidRPr="00C902F4" w:rsidRDefault="002C24FB" w:rsidP="00C902F4">
      <w:pPr>
        <w:spacing w:line="240" w:lineRule="auto"/>
        <w:jc w:val="both"/>
        <w:rPr>
          <w:rFonts w:ascii="Times New Roman" w:eastAsia="Times New Roman" w:hAnsi="Times New Roman" w:cs="Times New Roman"/>
          <w:sz w:val="20"/>
          <w:szCs w:val="20"/>
        </w:rPr>
      </w:pPr>
      <w:r w:rsidRPr="00C902F4">
        <w:rPr>
          <w:rFonts w:ascii="Times New Roman" w:hAnsi="Times New Roman" w:cs="Times New Roman"/>
          <w:sz w:val="20"/>
          <w:szCs w:val="20"/>
          <w:vertAlign w:val="superscript"/>
        </w:rPr>
        <w:footnoteRef/>
      </w:r>
      <w:r w:rsidRPr="00C902F4">
        <w:rPr>
          <w:rFonts w:ascii="Times New Roman" w:eastAsia="Times New Roman" w:hAnsi="Times New Roman" w:cs="Times New Roman"/>
          <w:sz w:val="20"/>
          <w:szCs w:val="20"/>
        </w:rPr>
        <w:t xml:space="preserve"> Página 8 del documento “003 FLS 1-17 DEMANDA </w:t>
      </w:r>
      <w:r w:rsidR="00F56772" w:rsidRPr="00F56772">
        <w:rPr>
          <w:rFonts w:ascii="Times New Roman" w:eastAsia="Times New Roman" w:hAnsi="Times New Roman" w:cs="Times New Roman"/>
          <w:i/>
          <w:iCs/>
          <w:sz w:val="20"/>
          <w:szCs w:val="20"/>
        </w:rPr>
        <w:t>Juan</w:t>
      </w:r>
      <w:r w:rsidRPr="00C902F4">
        <w:rPr>
          <w:rFonts w:ascii="Times New Roman" w:eastAsia="Times New Roman" w:hAnsi="Times New Roman" w:cs="Times New Roman"/>
          <w:sz w:val="20"/>
          <w:szCs w:val="20"/>
        </w:rPr>
        <w:t>pdf”.</w:t>
      </w:r>
    </w:p>
  </w:footnote>
  <w:footnote w:id="6">
    <w:p w14:paraId="4D3F0620" w14:textId="2B8821F8" w:rsidR="00481C74" w:rsidRPr="00C902F4" w:rsidRDefault="002C24FB" w:rsidP="00C902F4">
      <w:pPr>
        <w:spacing w:line="240" w:lineRule="auto"/>
        <w:jc w:val="both"/>
        <w:rPr>
          <w:rFonts w:ascii="Times New Roman" w:eastAsia="Times New Roman" w:hAnsi="Times New Roman" w:cs="Times New Roman"/>
          <w:sz w:val="20"/>
          <w:szCs w:val="20"/>
        </w:rPr>
      </w:pPr>
      <w:r w:rsidRPr="00C902F4">
        <w:rPr>
          <w:rFonts w:ascii="Times New Roman" w:hAnsi="Times New Roman" w:cs="Times New Roman"/>
          <w:sz w:val="20"/>
          <w:szCs w:val="20"/>
          <w:vertAlign w:val="superscript"/>
        </w:rPr>
        <w:footnoteRef/>
      </w:r>
      <w:r w:rsidRPr="00C902F4">
        <w:rPr>
          <w:rFonts w:ascii="Times New Roman" w:eastAsia="Times New Roman" w:hAnsi="Times New Roman" w:cs="Times New Roman"/>
          <w:sz w:val="20"/>
          <w:szCs w:val="20"/>
        </w:rPr>
        <w:t xml:space="preserve"> Página 8 del documento “003 FLS 1-17 DEMANDA </w:t>
      </w:r>
      <w:r w:rsidR="00F56772" w:rsidRPr="00F56772">
        <w:rPr>
          <w:rFonts w:ascii="Times New Roman" w:eastAsia="Times New Roman" w:hAnsi="Times New Roman" w:cs="Times New Roman"/>
          <w:i/>
          <w:iCs/>
          <w:sz w:val="20"/>
          <w:szCs w:val="20"/>
        </w:rPr>
        <w:t>Juan</w:t>
      </w:r>
      <w:r w:rsidRPr="00C902F4">
        <w:rPr>
          <w:rFonts w:ascii="Times New Roman" w:eastAsia="Times New Roman" w:hAnsi="Times New Roman" w:cs="Times New Roman"/>
          <w:sz w:val="20"/>
          <w:szCs w:val="20"/>
        </w:rPr>
        <w:t>pdf”.</w:t>
      </w:r>
    </w:p>
  </w:footnote>
  <w:footnote w:id="7">
    <w:p w14:paraId="4C113DC8" w14:textId="77777777" w:rsidR="00481C74" w:rsidRPr="00C902F4" w:rsidRDefault="002C24FB" w:rsidP="00C902F4">
      <w:pPr>
        <w:spacing w:line="240" w:lineRule="auto"/>
        <w:jc w:val="both"/>
        <w:rPr>
          <w:rFonts w:ascii="Times New Roman" w:eastAsia="Times New Roman" w:hAnsi="Times New Roman" w:cs="Times New Roman"/>
          <w:sz w:val="20"/>
          <w:szCs w:val="20"/>
        </w:rPr>
      </w:pPr>
      <w:r w:rsidRPr="00C902F4">
        <w:rPr>
          <w:rFonts w:ascii="Times New Roman" w:hAnsi="Times New Roman" w:cs="Times New Roman"/>
          <w:sz w:val="20"/>
          <w:szCs w:val="20"/>
          <w:vertAlign w:val="superscript"/>
        </w:rPr>
        <w:footnoteRef/>
      </w:r>
      <w:r w:rsidRPr="00C902F4">
        <w:rPr>
          <w:rFonts w:ascii="Times New Roman" w:eastAsia="Times New Roman" w:hAnsi="Times New Roman" w:cs="Times New Roman"/>
          <w:sz w:val="20"/>
          <w:szCs w:val="20"/>
        </w:rPr>
        <w:t xml:space="preserve"> Páginas 1 y 2 del documento “0006ADMITERECURSODEAPELACIONpdf”.</w:t>
      </w:r>
    </w:p>
  </w:footnote>
  <w:footnote w:id="8">
    <w:p w14:paraId="66C1066E" w14:textId="77777777" w:rsidR="00481C74" w:rsidRPr="00C902F4" w:rsidRDefault="002C24FB" w:rsidP="00C902F4">
      <w:pPr>
        <w:spacing w:line="240" w:lineRule="auto"/>
        <w:jc w:val="both"/>
        <w:rPr>
          <w:rFonts w:ascii="Times New Roman" w:eastAsia="Times New Roman" w:hAnsi="Times New Roman" w:cs="Times New Roman"/>
          <w:sz w:val="20"/>
          <w:szCs w:val="20"/>
        </w:rPr>
      </w:pPr>
      <w:r w:rsidRPr="00C902F4">
        <w:rPr>
          <w:rFonts w:ascii="Times New Roman" w:hAnsi="Times New Roman" w:cs="Times New Roman"/>
          <w:sz w:val="20"/>
          <w:szCs w:val="20"/>
          <w:vertAlign w:val="superscript"/>
        </w:rPr>
        <w:footnoteRef/>
      </w:r>
      <w:r w:rsidRPr="00C902F4">
        <w:rPr>
          <w:rFonts w:ascii="Times New Roman" w:hAnsi="Times New Roman" w:cs="Times New Roman"/>
          <w:sz w:val="20"/>
          <w:szCs w:val="20"/>
        </w:rPr>
        <w:t xml:space="preserve"> </w:t>
      </w:r>
      <w:r w:rsidRPr="00C902F4">
        <w:rPr>
          <w:rFonts w:ascii="Times New Roman" w:eastAsia="Times New Roman" w:hAnsi="Times New Roman" w:cs="Times New Roman"/>
          <w:sz w:val="20"/>
          <w:szCs w:val="20"/>
        </w:rPr>
        <w:t>Páginas 1 a 4 del documento “007AUTODECLARAFA_20210006600RDREMITEPpdf”.</w:t>
      </w:r>
    </w:p>
  </w:footnote>
  <w:footnote w:id="9">
    <w:p w14:paraId="75F19E8F" w14:textId="77777777" w:rsidR="00481C74" w:rsidRPr="00C902F4" w:rsidRDefault="002C24FB" w:rsidP="00C902F4">
      <w:pPr>
        <w:spacing w:line="240" w:lineRule="auto"/>
        <w:jc w:val="both"/>
        <w:rPr>
          <w:rFonts w:ascii="Times New Roman" w:eastAsia="Times New Roman" w:hAnsi="Times New Roman" w:cs="Times New Roman"/>
          <w:sz w:val="20"/>
          <w:szCs w:val="20"/>
        </w:rPr>
      </w:pPr>
      <w:r w:rsidRPr="00C902F4">
        <w:rPr>
          <w:rFonts w:ascii="Times New Roman" w:hAnsi="Times New Roman" w:cs="Times New Roman"/>
          <w:sz w:val="20"/>
          <w:szCs w:val="20"/>
          <w:vertAlign w:val="superscript"/>
        </w:rPr>
        <w:footnoteRef/>
      </w:r>
      <w:r w:rsidRPr="00C902F4">
        <w:rPr>
          <w:rFonts w:ascii="Times New Roman" w:hAnsi="Times New Roman" w:cs="Times New Roman"/>
          <w:sz w:val="20"/>
          <w:szCs w:val="20"/>
        </w:rPr>
        <w:t xml:space="preserve"> </w:t>
      </w:r>
      <w:r w:rsidRPr="00C902F4">
        <w:rPr>
          <w:rFonts w:ascii="Times New Roman" w:eastAsia="Times New Roman" w:hAnsi="Times New Roman" w:cs="Times New Roman"/>
          <w:sz w:val="20"/>
          <w:szCs w:val="20"/>
        </w:rPr>
        <w:t xml:space="preserve">Páginas 2 a 7 del documento “0013AutoFecha03052024ProponeConflictoDeCompetenciaVsTribunalAdministrativopdf (2)”. </w:t>
      </w:r>
    </w:p>
  </w:footnote>
  <w:footnote w:id="10">
    <w:p w14:paraId="639F3242" w14:textId="77777777" w:rsidR="00481C74" w:rsidRPr="00C902F4" w:rsidRDefault="002C24FB" w:rsidP="00C902F4">
      <w:pPr>
        <w:jc w:val="both"/>
        <w:rPr>
          <w:rFonts w:ascii="Times New Roman" w:eastAsia="Times New Roman" w:hAnsi="Times New Roman" w:cs="Times New Roman"/>
          <w:i/>
          <w:sz w:val="20"/>
          <w:szCs w:val="20"/>
          <w:highlight w:val="white"/>
        </w:rPr>
      </w:pPr>
      <w:r w:rsidRPr="00C902F4">
        <w:rPr>
          <w:rFonts w:ascii="Times New Roman" w:hAnsi="Times New Roman" w:cs="Times New Roman"/>
          <w:sz w:val="20"/>
          <w:szCs w:val="20"/>
          <w:vertAlign w:val="superscript"/>
        </w:rPr>
        <w:footnoteRef/>
      </w:r>
      <w:r w:rsidRPr="00C902F4">
        <w:rPr>
          <w:rFonts w:ascii="Times New Roman" w:eastAsia="Times New Roman" w:hAnsi="Times New Roman" w:cs="Times New Roman"/>
          <w:i/>
          <w:sz w:val="20"/>
          <w:szCs w:val="20"/>
          <w:highlight w:val="white"/>
        </w:rPr>
        <w:t>“Artículo 241. A la Corte Constitucional se le confía la guarda de la integridad y supremacía de la Constitución, en los estrictos y precisos términos de este artículo. Con tal fin, cumplirá las siguientes funciones: […] || 11. Dirimir los conflictos de competencia que ocurran entre las distintas jurisdicciones”.</w:t>
      </w:r>
    </w:p>
  </w:footnote>
  <w:footnote w:id="11">
    <w:p w14:paraId="66D32767" w14:textId="77777777" w:rsidR="00481C74" w:rsidRPr="00C902F4" w:rsidRDefault="002C24FB" w:rsidP="00C902F4">
      <w:pPr>
        <w:spacing w:line="240" w:lineRule="auto"/>
        <w:jc w:val="both"/>
        <w:rPr>
          <w:rFonts w:ascii="Times New Roman" w:eastAsia="Times New Roman" w:hAnsi="Times New Roman" w:cs="Times New Roman"/>
          <w:sz w:val="20"/>
          <w:szCs w:val="20"/>
        </w:rPr>
      </w:pPr>
      <w:r w:rsidRPr="00C902F4">
        <w:rPr>
          <w:rFonts w:ascii="Times New Roman" w:hAnsi="Times New Roman" w:cs="Times New Roman"/>
          <w:sz w:val="20"/>
          <w:szCs w:val="20"/>
          <w:vertAlign w:val="superscript"/>
        </w:rPr>
        <w:footnoteRef/>
      </w:r>
      <w:r w:rsidRPr="00C902F4">
        <w:rPr>
          <w:rFonts w:ascii="Times New Roman" w:eastAsia="Times New Roman" w:hAnsi="Times New Roman" w:cs="Times New Roman"/>
          <w:sz w:val="20"/>
          <w:szCs w:val="20"/>
          <w:highlight w:val="white"/>
        </w:rPr>
        <w:t>Autos 345 de 2018. M.P. Luis Guillermo Guerrero Pérez; 328 de 2019. M.P. Gloria Stella Ortiz Delgado; 452 de 2019. M.P. Gloria Stella Ortiz Delgado; 041 de 2021. M.P. Diana Fajardo.</w:t>
      </w:r>
    </w:p>
  </w:footnote>
  <w:footnote w:id="12">
    <w:p w14:paraId="1F505515" w14:textId="77777777" w:rsidR="00481C74" w:rsidRPr="00C902F4" w:rsidRDefault="002C24FB" w:rsidP="00C902F4">
      <w:pPr>
        <w:spacing w:line="240" w:lineRule="auto"/>
        <w:jc w:val="both"/>
        <w:rPr>
          <w:rFonts w:ascii="Times New Roman" w:eastAsia="Times New Roman" w:hAnsi="Times New Roman" w:cs="Times New Roman"/>
          <w:sz w:val="20"/>
          <w:szCs w:val="20"/>
        </w:rPr>
      </w:pPr>
      <w:r w:rsidRPr="00C902F4">
        <w:rPr>
          <w:rFonts w:ascii="Times New Roman" w:hAnsi="Times New Roman" w:cs="Times New Roman"/>
          <w:sz w:val="20"/>
          <w:szCs w:val="20"/>
          <w:vertAlign w:val="superscript"/>
        </w:rPr>
        <w:footnoteRef/>
      </w:r>
      <w:r w:rsidRPr="00C902F4">
        <w:rPr>
          <w:rFonts w:ascii="Times New Roman" w:eastAsia="Times New Roman" w:hAnsi="Times New Roman" w:cs="Times New Roman"/>
          <w:sz w:val="20"/>
          <w:szCs w:val="20"/>
          <w:highlight w:val="white"/>
        </w:rPr>
        <w:t>Auto 155 de 2019. M.P.  Luis Guillermo Guerrero Pérez; 452 de 2019. M.P. Gloria Stella Ortiz Delgado; 503 de 2019. M.P. Carlos Bernal Pulido; 129 de 2020. M.P. Alejandro Linares Cantillo; 415 de 2020 M.P. Alberto Rojas Ríos.</w:t>
      </w:r>
    </w:p>
  </w:footnote>
  <w:footnote w:id="13">
    <w:p w14:paraId="7959A3BC" w14:textId="77777777" w:rsidR="00481C74" w:rsidRPr="00C902F4" w:rsidRDefault="002C24FB" w:rsidP="00C902F4">
      <w:pPr>
        <w:spacing w:line="240" w:lineRule="auto"/>
        <w:jc w:val="both"/>
        <w:rPr>
          <w:rFonts w:ascii="Times New Roman" w:eastAsia="Times New Roman" w:hAnsi="Times New Roman" w:cs="Times New Roman"/>
          <w:sz w:val="20"/>
          <w:szCs w:val="20"/>
        </w:rPr>
      </w:pPr>
      <w:r w:rsidRPr="00C902F4">
        <w:rPr>
          <w:rFonts w:ascii="Times New Roman" w:hAnsi="Times New Roman" w:cs="Times New Roman"/>
          <w:sz w:val="20"/>
          <w:szCs w:val="20"/>
          <w:vertAlign w:val="superscript"/>
        </w:rPr>
        <w:footnoteRef/>
      </w:r>
      <w:r w:rsidRPr="00C902F4">
        <w:rPr>
          <w:rFonts w:ascii="Times New Roman" w:eastAsia="Times New Roman" w:hAnsi="Times New Roman" w:cs="Times New Roman"/>
          <w:sz w:val="20"/>
          <w:szCs w:val="20"/>
          <w:highlight w:val="white"/>
        </w:rPr>
        <w:t xml:space="preserve">En consecuencia, no habrá conflicto cuando: (a) se evidencie que el litigio no está en trámite o no existe, porque, </w:t>
      </w:r>
      <w:r w:rsidRPr="00C902F4">
        <w:rPr>
          <w:rFonts w:ascii="Times New Roman" w:eastAsia="Times New Roman" w:hAnsi="Times New Roman" w:cs="Times New Roman"/>
          <w:sz w:val="20"/>
          <w:szCs w:val="20"/>
        </w:rPr>
        <w:t>por</w:t>
      </w:r>
      <w:r w:rsidRPr="00C902F4">
        <w:rPr>
          <w:rFonts w:ascii="Times New Roman" w:eastAsia="Times New Roman" w:hAnsi="Times New Roman" w:cs="Times New Roman"/>
          <w:sz w:val="20"/>
          <w:szCs w:val="20"/>
          <w:highlight w:val="white"/>
        </w:rPr>
        <w:t xml:space="preserve"> ejemplo, ya finalizó; o (b) el debate procesal se centra sobre una causa de carácter administrativo o político, pero no jurisdiccional (artículo 116 de la Constitución).</w:t>
      </w:r>
    </w:p>
  </w:footnote>
  <w:footnote w:id="14">
    <w:p w14:paraId="6BBC2FEE" w14:textId="77777777" w:rsidR="00481C74" w:rsidRPr="00C902F4" w:rsidRDefault="002C24FB" w:rsidP="00C902F4">
      <w:pPr>
        <w:spacing w:line="240" w:lineRule="auto"/>
        <w:jc w:val="both"/>
        <w:rPr>
          <w:rFonts w:ascii="Times New Roman" w:eastAsia="Times New Roman" w:hAnsi="Times New Roman" w:cs="Times New Roman"/>
          <w:sz w:val="20"/>
          <w:szCs w:val="20"/>
          <w:highlight w:val="white"/>
        </w:rPr>
      </w:pPr>
      <w:r w:rsidRPr="00C902F4">
        <w:rPr>
          <w:rFonts w:ascii="Times New Roman" w:hAnsi="Times New Roman" w:cs="Times New Roman"/>
          <w:sz w:val="20"/>
          <w:szCs w:val="20"/>
          <w:vertAlign w:val="superscript"/>
        </w:rPr>
        <w:footnoteRef/>
      </w:r>
      <w:r w:rsidRPr="00C902F4">
        <w:rPr>
          <w:rFonts w:ascii="Times New Roman" w:eastAsia="Times New Roman" w:hAnsi="Times New Roman" w:cs="Times New Roman"/>
          <w:sz w:val="20"/>
          <w:szCs w:val="20"/>
          <w:highlight w:val="white"/>
        </w:rPr>
        <w:t>En ese sentido, no existirá conflicto cuando:(a) se evidencie que, a pesar de concurrir formalmente dos autoridades judiciales, alguna de ellas no ha rechazado su competencia o manifestado su intención de asumirla; o (b) la exposición sobre la competencia desplegada por las autoridades en conflicto no tiene, al menos aparentemente, fundamento normativo alguno al sustentarse únicamente en argumentos de mera conveniencia.</w:t>
      </w:r>
    </w:p>
  </w:footnote>
  <w:footnote w:id="15">
    <w:p w14:paraId="1235491E" w14:textId="77777777" w:rsidR="00481C74" w:rsidRPr="00C902F4" w:rsidRDefault="002C24FB" w:rsidP="00C902F4">
      <w:pPr>
        <w:spacing w:line="240" w:lineRule="auto"/>
        <w:jc w:val="both"/>
        <w:rPr>
          <w:rFonts w:ascii="Times New Roman" w:eastAsia="Times New Roman" w:hAnsi="Times New Roman" w:cs="Times New Roman"/>
          <w:sz w:val="20"/>
          <w:szCs w:val="20"/>
        </w:rPr>
      </w:pPr>
      <w:r w:rsidRPr="00C902F4">
        <w:rPr>
          <w:rFonts w:ascii="Times New Roman" w:hAnsi="Times New Roman" w:cs="Times New Roman"/>
          <w:sz w:val="20"/>
          <w:szCs w:val="20"/>
          <w:vertAlign w:val="superscript"/>
        </w:rPr>
        <w:footnoteRef/>
      </w:r>
      <w:r w:rsidRPr="00C902F4">
        <w:rPr>
          <w:rFonts w:ascii="Times New Roman" w:hAnsi="Times New Roman" w:cs="Times New Roman"/>
          <w:sz w:val="20"/>
          <w:szCs w:val="20"/>
        </w:rPr>
        <w:t xml:space="preserve"> </w:t>
      </w:r>
      <w:r w:rsidRPr="00C902F4">
        <w:rPr>
          <w:rFonts w:ascii="Times New Roman" w:eastAsia="Times New Roman" w:hAnsi="Times New Roman" w:cs="Times New Roman"/>
          <w:sz w:val="20"/>
          <w:szCs w:val="20"/>
        </w:rPr>
        <w:t xml:space="preserve">Auto 913 de 2023. M.P. Paola Andrea Meneses Mosquera. </w:t>
      </w:r>
    </w:p>
  </w:footnote>
  <w:footnote w:id="16">
    <w:p w14:paraId="4B60FE3D" w14:textId="77777777" w:rsidR="00481C74" w:rsidRPr="00C902F4" w:rsidRDefault="002C24FB" w:rsidP="00C902F4">
      <w:pPr>
        <w:spacing w:line="240" w:lineRule="auto"/>
        <w:jc w:val="both"/>
        <w:rPr>
          <w:rFonts w:ascii="Times New Roman" w:hAnsi="Times New Roman" w:cs="Times New Roman"/>
          <w:sz w:val="20"/>
          <w:szCs w:val="20"/>
        </w:rPr>
      </w:pPr>
      <w:r w:rsidRPr="00C902F4">
        <w:rPr>
          <w:rFonts w:ascii="Times New Roman" w:hAnsi="Times New Roman" w:cs="Times New Roman"/>
          <w:sz w:val="20"/>
          <w:szCs w:val="20"/>
          <w:vertAlign w:val="superscript"/>
        </w:rPr>
        <w:footnoteRef/>
      </w:r>
      <w:r w:rsidRPr="00C902F4">
        <w:rPr>
          <w:rFonts w:ascii="Times New Roman" w:eastAsia="Times New Roman" w:hAnsi="Times New Roman" w:cs="Times New Roman"/>
          <w:sz w:val="20"/>
          <w:szCs w:val="20"/>
        </w:rPr>
        <w:t xml:space="preserve"> Auto 646 de 2021. M.P. José Fernando Reyes Cuartas.</w:t>
      </w:r>
    </w:p>
  </w:footnote>
  <w:footnote w:id="17">
    <w:p w14:paraId="6966CA9F" w14:textId="77777777" w:rsidR="00481C74" w:rsidRPr="00C902F4" w:rsidRDefault="002C24FB" w:rsidP="00C902F4">
      <w:pPr>
        <w:spacing w:line="240" w:lineRule="auto"/>
        <w:jc w:val="both"/>
        <w:rPr>
          <w:rFonts w:ascii="Times New Roman" w:eastAsia="Times New Roman" w:hAnsi="Times New Roman" w:cs="Times New Roman"/>
          <w:sz w:val="20"/>
          <w:szCs w:val="20"/>
        </w:rPr>
      </w:pPr>
      <w:r w:rsidRPr="00C902F4">
        <w:rPr>
          <w:rFonts w:ascii="Times New Roman" w:hAnsi="Times New Roman" w:cs="Times New Roman"/>
          <w:sz w:val="20"/>
          <w:szCs w:val="20"/>
          <w:vertAlign w:val="superscript"/>
        </w:rPr>
        <w:footnoteRef/>
      </w:r>
      <w:r w:rsidRPr="00C902F4">
        <w:rPr>
          <w:rFonts w:ascii="Times New Roman" w:hAnsi="Times New Roman" w:cs="Times New Roman"/>
          <w:sz w:val="20"/>
          <w:szCs w:val="20"/>
        </w:rPr>
        <w:t xml:space="preserve"> </w:t>
      </w:r>
      <w:r w:rsidRPr="00C902F4">
        <w:rPr>
          <w:rFonts w:ascii="Times New Roman" w:eastAsia="Times New Roman" w:hAnsi="Times New Roman" w:cs="Times New Roman"/>
          <w:sz w:val="20"/>
          <w:szCs w:val="20"/>
        </w:rPr>
        <w:t>Frente a esto indicó que: “El criterio orgánico es el factor de co1mpetencia que atribuye el conocimiento de un caso en función de la naturaleza jurídica -privada o pública- de la parte demandada. Así, con el propósito de determinar la jurisdicción competente para conocer los procesos de responsabilidad médica, el juez debe identificar la naturaleza jurídica de la entidad demandada que prestó el servicio médico que presuntamente dio origen al daño que se reclama.” Consejo de Estado, Sección Tercera, sentencia de 26 de marzo de 2007, radicado: 66001233100020030016701(25619), M.P.: Ruth Stella Correa Palacio. Consejo Superior de la Judicatura, Sala Jurisdiccional Disciplinaria, auto del 22 de enero de 2020, rad. 11001010200020190190200. M.P.: Fidalgo Javier Estupiñán Carvajal.</w:t>
      </w:r>
    </w:p>
  </w:footnote>
  <w:footnote w:id="18">
    <w:p w14:paraId="6445902D" w14:textId="77777777" w:rsidR="00481C74" w:rsidRPr="00C902F4" w:rsidRDefault="002C24FB" w:rsidP="00C902F4">
      <w:pPr>
        <w:spacing w:line="240" w:lineRule="auto"/>
        <w:jc w:val="both"/>
        <w:rPr>
          <w:rFonts w:ascii="Times New Roman" w:eastAsia="Times New Roman" w:hAnsi="Times New Roman" w:cs="Times New Roman"/>
          <w:sz w:val="20"/>
          <w:szCs w:val="20"/>
        </w:rPr>
      </w:pPr>
      <w:r w:rsidRPr="00C902F4">
        <w:rPr>
          <w:rFonts w:ascii="Times New Roman" w:hAnsi="Times New Roman" w:cs="Times New Roman"/>
          <w:sz w:val="20"/>
          <w:szCs w:val="20"/>
          <w:vertAlign w:val="superscript"/>
        </w:rPr>
        <w:footnoteRef/>
      </w:r>
      <w:r w:rsidRPr="00C902F4">
        <w:rPr>
          <w:rFonts w:ascii="Times New Roman" w:hAnsi="Times New Roman" w:cs="Times New Roman"/>
          <w:sz w:val="20"/>
          <w:szCs w:val="20"/>
        </w:rPr>
        <w:t xml:space="preserve"> </w:t>
      </w:r>
      <w:r w:rsidRPr="00C902F4">
        <w:rPr>
          <w:rFonts w:ascii="Times New Roman" w:eastAsia="Times New Roman" w:hAnsi="Times New Roman" w:cs="Times New Roman"/>
          <w:sz w:val="20"/>
          <w:szCs w:val="20"/>
        </w:rPr>
        <w:t>Al respecto señaló que “[…]El fuero de atracción es un fenómeno procesal que extiende la competencia del juez administrativo a personas de derecho privado, en los casos en que estas son demandadas de forma concomitante con sujetos de derecho público. En consecuencia, la jurisdicción de lo contencioso administrativo ostenta la competencia para resolver la causa […], [en los casos en que se presenta la demanda] “de forma concurrente contra una entidad estatal, cuyo conocimiento corresponde a la Jurisdicción de lo Contencioso Administrativo y contra otra entidad privada cuya jurisdicción es ordinaria”. […] Lo anterior, sin perjuicio de que luego de realizar el análisis probatorio se decida que la entidad pública no es responsable de los daños atribuidos.”</w:t>
      </w:r>
    </w:p>
    <w:p w14:paraId="70DF9E56" w14:textId="77777777" w:rsidR="00481C74" w:rsidRPr="00C902F4" w:rsidRDefault="00481C74" w:rsidP="00C902F4">
      <w:pPr>
        <w:spacing w:line="240" w:lineRule="auto"/>
        <w:jc w:val="both"/>
        <w:rPr>
          <w:rFonts w:ascii="Times New Roman" w:eastAsia="Times New Roman" w:hAnsi="Times New Roman" w:cs="Times New Roman"/>
          <w:sz w:val="20"/>
          <w:szCs w:val="20"/>
        </w:rPr>
      </w:pPr>
    </w:p>
  </w:footnote>
  <w:footnote w:id="19">
    <w:p w14:paraId="2FBEA3EE" w14:textId="77777777" w:rsidR="00481C74" w:rsidRPr="00C902F4" w:rsidRDefault="002C24FB" w:rsidP="00C902F4">
      <w:pPr>
        <w:spacing w:line="240" w:lineRule="auto"/>
        <w:jc w:val="both"/>
        <w:rPr>
          <w:rFonts w:ascii="Times New Roman" w:eastAsia="Times New Roman" w:hAnsi="Times New Roman" w:cs="Times New Roman"/>
          <w:sz w:val="20"/>
          <w:szCs w:val="20"/>
        </w:rPr>
      </w:pPr>
      <w:r w:rsidRPr="00C902F4">
        <w:rPr>
          <w:rFonts w:ascii="Times New Roman" w:hAnsi="Times New Roman" w:cs="Times New Roman"/>
          <w:sz w:val="20"/>
          <w:szCs w:val="20"/>
          <w:vertAlign w:val="superscript"/>
        </w:rPr>
        <w:footnoteRef/>
      </w:r>
      <w:r w:rsidRPr="00C902F4">
        <w:rPr>
          <w:rFonts w:ascii="Times New Roman" w:hAnsi="Times New Roman" w:cs="Times New Roman"/>
          <w:sz w:val="20"/>
          <w:szCs w:val="20"/>
        </w:rPr>
        <w:t xml:space="preserve"> </w:t>
      </w:r>
      <w:r w:rsidRPr="00C902F4">
        <w:rPr>
          <w:rFonts w:ascii="Times New Roman" w:eastAsia="Times New Roman" w:hAnsi="Times New Roman" w:cs="Times New Roman"/>
          <w:sz w:val="20"/>
          <w:szCs w:val="20"/>
        </w:rPr>
        <w:t>Auto 201 de 2022. M.P. Paola Andrea Meneses Mosquera</w:t>
      </w:r>
    </w:p>
  </w:footnote>
  <w:footnote w:id="20">
    <w:p w14:paraId="0185BD7D" w14:textId="77777777" w:rsidR="00481C74" w:rsidRPr="00C902F4" w:rsidRDefault="002C24FB" w:rsidP="00C902F4">
      <w:pPr>
        <w:spacing w:line="240" w:lineRule="auto"/>
        <w:jc w:val="both"/>
        <w:rPr>
          <w:rFonts w:ascii="Times New Roman" w:eastAsia="Times New Roman" w:hAnsi="Times New Roman" w:cs="Times New Roman"/>
          <w:sz w:val="20"/>
          <w:szCs w:val="20"/>
        </w:rPr>
      </w:pPr>
      <w:r w:rsidRPr="00C902F4">
        <w:rPr>
          <w:rFonts w:ascii="Times New Roman" w:hAnsi="Times New Roman" w:cs="Times New Roman"/>
          <w:sz w:val="20"/>
          <w:szCs w:val="20"/>
          <w:vertAlign w:val="superscript"/>
        </w:rPr>
        <w:footnoteRef/>
      </w:r>
      <w:r w:rsidRPr="00C902F4">
        <w:rPr>
          <w:rFonts w:ascii="Times New Roman" w:eastAsia="Times New Roman" w:hAnsi="Times New Roman" w:cs="Times New Roman"/>
          <w:sz w:val="20"/>
          <w:szCs w:val="20"/>
          <w:highlight w:val="white"/>
        </w:rPr>
        <w:t>Auto 820 de 2022.</w:t>
      </w:r>
      <w:r w:rsidRPr="00C902F4">
        <w:rPr>
          <w:rFonts w:ascii="Times New Roman" w:eastAsia="Times New Roman" w:hAnsi="Times New Roman" w:cs="Times New Roman"/>
          <w:sz w:val="20"/>
          <w:szCs w:val="20"/>
        </w:rPr>
        <w:t xml:space="preserve"> M.P. José Fernando Reyes Cuartas.</w:t>
      </w:r>
    </w:p>
  </w:footnote>
  <w:footnote w:id="21">
    <w:p w14:paraId="37591A54" w14:textId="77777777" w:rsidR="00481C74" w:rsidRPr="00C902F4" w:rsidRDefault="002C24FB" w:rsidP="00C902F4">
      <w:pPr>
        <w:spacing w:line="240" w:lineRule="auto"/>
        <w:jc w:val="both"/>
        <w:rPr>
          <w:rFonts w:ascii="Times New Roman" w:eastAsia="Calibri" w:hAnsi="Times New Roman" w:cs="Times New Roman"/>
          <w:sz w:val="20"/>
          <w:szCs w:val="20"/>
        </w:rPr>
      </w:pPr>
      <w:r w:rsidRPr="00C902F4">
        <w:rPr>
          <w:rFonts w:ascii="Times New Roman" w:hAnsi="Times New Roman" w:cs="Times New Roman"/>
          <w:sz w:val="20"/>
          <w:szCs w:val="20"/>
          <w:vertAlign w:val="superscript"/>
        </w:rPr>
        <w:footnoteRef/>
      </w:r>
      <w:r w:rsidRPr="00C902F4">
        <w:rPr>
          <w:rFonts w:ascii="Times New Roman" w:eastAsia="Times New Roman" w:hAnsi="Times New Roman" w:cs="Times New Roman"/>
          <w:sz w:val="20"/>
          <w:szCs w:val="20"/>
        </w:rPr>
        <w:t>Auto 913 de 2023. M.P. Jorge Enrique Ibáñez Najar.</w:t>
      </w:r>
    </w:p>
    <w:p w14:paraId="44E871BC" w14:textId="77777777" w:rsidR="00481C74" w:rsidRPr="00C902F4" w:rsidRDefault="00481C74" w:rsidP="00C902F4">
      <w:pPr>
        <w:spacing w:line="240" w:lineRule="auto"/>
        <w:jc w:val="both"/>
        <w:rPr>
          <w:rFonts w:ascii="Times New Roman" w:hAnsi="Times New Roman" w:cs="Times New Roman"/>
          <w:sz w:val="20"/>
          <w:szCs w:val="20"/>
        </w:rPr>
      </w:pPr>
    </w:p>
  </w:footnote>
  <w:footnote w:id="22">
    <w:p w14:paraId="64E0BEC3" w14:textId="0971C0C6" w:rsidR="041F913F" w:rsidRPr="00C902F4" w:rsidRDefault="041F913F" w:rsidP="00C902F4">
      <w:pPr>
        <w:pStyle w:val="Textonotapie"/>
        <w:jc w:val="both"/>
        <w:rPr>
          <w:rFonts w:ascii="Times New Roman" w:hAnsi="Times New Roman" w:cs="Times New Roman"/>
        </w:rPr>
      </w:pPr>
      <w:r w:rsidRPr="00C902F4">
        <w:rPr>
          <w:rStyle w:val="Refdenotaalpie"/>
          <w:rFonts w:ascii="Times New Roman" w:hAnsi="Times New Roman" w:cs="Times New Roman"/>
        </w:rPr>
        <w:footnoteRef/>
      </w:r>
      <w:r w:rsidR="325E21D9" w:rsidRPr="00C902F4">
        <w:rPr>
          <w:rFonts w:ascii="Times New Roman" w:hAnsi="Times New Roman" w:cs="Times New Roman"/>
        </w:rPr>
        <w:t xml:space="preserve"> Esta Corporación, en múltiples oportunidades, ha señalado que la Nueva EPS S.A. es una sociedad de economía mixta creada por autorización de la Ley 1151 de 2007 y que se encuentra sujeta a las reglas del Derecho Privado, entre otras características. Lo anterior, puesto que su capital social está conformado en un porcentaje del 50% menos uno con recursos públicos y del 50% más uno con recursos privados. Así mismo, ha indicado que es una sociedad anónima sometida al régimen de las empresas de salud, constituida mediante escritura pública No. 753 del 22 de marzo de 2007. Ver: Auto 082 de 2009. M.P. Clara Elena Reales Gutiérrez y Sentencia T.374 DE 2012 M.P. Jorge Ignacio Pretelt Chaljub.</w:t>
      </w:r>
    </w:p>
    <w:p w14:paraId="4A3B3F48" w14:textId="372000B1" w:rsidR="041F913F" w:rsidRPr="00C902F4" w:rsidRDefault="041F913F" w:rsidP="00C902F4">
      <w:pPr>
        <w:pStyle w:val="Textonotapie"/>
        <w:jc w:val="both"/>
        <w:rPr>
          <w:rFonts w:ascii="Times New Roman" w:hAnsi="Times New Roman" w:cs="Times New Roman"/>
        </w:rPr>
      </w:pPr>
    </w:p>
  </w:footnote>
  <w:footnote w:id="23">
    <w:p w14:paraId="5140319A" w14:textId="36ACEC84" w:rsidR="5DC395D9" w:rsidRPr="00C902F4" w:rsidRDefault="5DC395D9" w:rsidP="00C902F4">
      <w:pPr>
        <w:pStyle w:val="Textonotapie"/>
        <w:jc w:val="both"/>
        <w:rPr>
          <w:rFonts w:ascii="Times New Roman" w:eastAsia="Times New Roman" w:hAnsi="Times New Roman" w:cs="Times New Roman"/>
        </w:rPr>
      </w:pPr>
      <w:r w:rsidRPr="00C902F4">
        <w:rPr>
          <w:rStyle w:val="Refdenotaalpie"/>
          <w:rFonts w:ascii="Times New Roman" w:eastAsia="Times New Roman" w:hAnsi="Times New Roman" w:cs="Times New Roman"/>
        </w:rPr>
        <w:footnoteRef/>
      </w:r>
      <w:r w:rsidR="325E21D9" w:rsidRPr="00C902F4">
        <w:rPr>
          <w:rFonts w:ascii="Times New Roman" w:eastAsia="Times New Roman" w:hAnsi="Times New Roman" w:cs="Times New Roman"/>
        </w:rPr>
        <w:t xml:space="preserve"> Auto 913 de 2023.</w:t>
      </w:r>
    </w:p>
  </w:footnote>
</w:footnotes>
</file>

<file path=word/intelligence2.xml><?xml version="1.0" encoding="utf-8"?>
<int2:intelligence xmlns:int2="http://schemas.microsoft.com/office/intelligence/2020/intelligence" xmlns:oel="http://schemas.microsoft.com/office/2019/extlst">
  <int2:observations>
    <int2:textHash int2:hashCode="g5Zlnhm0ofJzEP" int2:id="GoSqWqX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C2C00"/>
    <w:multiLevelType w:val="multilevel"/>
    <w:tmpl w:val="74B84F9E"/>
    <w:lvl w:ilvl="0">
      <w:start w:val="1"/>
      <w:numFmt w:val="upperRoman"/>
      <w:lvlText w:val="%1."/>
      <w:lvlJc w:val="right"/>
      <w:pPr>
        <w:ind w:left="720" w:hanging="360"/>
      </w:pPr>
      <w:rPr>
        <w:rFonts w:ascii="Times New Roman" w:eastAsia="Times New Roman" w:hAnsi="Times New Roman" w:cs="Times New Roman"/>
        <w:b/>
        <w:sz w:val="28"/>
        <w:szCs w:val="28"/>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8EE7B8C"/>
    <w:multiLevelType w:val="multilevel"/>
    <w:tmpl w:val="E140D640"/>
    <w:lvl w:ilvl="0">
      <w:start w:val="1"/>
      <w:numFmt w:val="upperRoman"/>
      <w:lvlText w:val="%1."/>
      <w:lvlJc w:val="right"/>
      <w:pPr>
        <w:ind w:left="720" w:hanging="360"/>
      </w:pPr>
      <w:rPr>
        <w:rFonts w:ascii="Times New Roman" w:eastAsia="Times New Roman" w:hAnsi="Times New Roman" w:cs="Times New Roman"/>
        <w:b/>
        <w:sz w:val="28"/>
        <w:szCs w:val="28"/>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37234700">
    <w:abstractNumId w:val="1"/>
  </w:num>
  <w:num w:numId="2" w16cid:durableId="36471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1tzSyMLMwNzUyNTFR0lEKTi0uzszPAykwrAUASzz/nCwAAAA="/>
  </w:docVars>
  <w:rsids>
    <w:rsidRoot w:val="00481C74"/>
    <w:rsid w:val="0002662D"/>
    <w:rsid w:val="00077563"/>
    <w:rsid w:val="000977C9"/>
    <w:rsid w:val="000A3089"/>
    <w:rsid w:val="000A3505"/>
    <w:rsid w:val="000B089E"/>
    <w:rsid w:val="000D6135"/>
    <w:rsid w:val="0015067C"/>
    <w:rsid w:val="00172E57"/>
    <w:rsid w:val="00190B44"/>
    <w:rsid w:val="001A7604"/>
    <w:rsid w:val="001B6F7F"/>
    <w:rsid w:val="0020467D"/>
    <w:rsid w:val="00224916"/>
    <w:rsid w:val="00230E86"/>
    <w:rsid w:val="00237DC5"/>
    <w:rsid w:val="00237E27"/>
    <w:rsid w:val="00285BB7"/>
    <w:rsid w:val="002969D0"/>
    <w:rsid w:val="002B5C4A"/>
    <w:rsid w:val="002C24FB"/>
    <w:rsid w:val="00327F14"/>
    <w:rsid w:val="00335AA0"/>
    <w:rsid w:val="00343EAA"/>
    <w:rsid w:val="00366A67"/>
    <w:rsid w:val="003D7C4C"/>
    <w:rsid w:val="003E4F4E"/>
    <w:rsid w:val="004136AC"/>
    <w:rsid w:val="004155FC"/>
    <w:rsid w:val="004578CF"/>
    <w:rsid w:val="00481C74"/>
    <w:rsid w:val="00490934"/>
    <w:rsid w:val="004C2766"/>
    <w:rsid w:val="004E4574"/>
    <w:rsid w:val="005653C2"/>
    <w:rsid w:val="00586255"/>
    <w:rsid w:val="005E26C1"/>
    <w:rsid w:val="005E31D8"/>
    <w:rsid w:val="006138DB"/>
    <w:rsid w:val="00635712"/>
    <w:rsid w:val="00650013"/>
    <w:rsid w:val="00652C25"/>
    <w:rsid w:val="00673CD1"/>
    <w:rsid w:val="006915E3"/>
    <w:rsid w:val="006D427F"/>
    <w:rsid w:val="006F3805"/>
    <w:rsid w:val="00701A4F"/>
    <w:rsid w:val="007060B2"/>
    <w:rsid w:val="00710B22"/>
    <w:rsid w:val="007140E4"/>
    <w:rsid w:val="00747AE4"/>
    <w:rsid w:val="00786E47"/>
    <w:rsid w:val="0078735E"/>
    <w:rsid w:val="00801270"/>
    <w:rsid w:val="00854029"/>
    <w:rsid w:val="00881E6B"/>
    <w:rsid w:val="00882ABF"/>
    <w:rsid w:val="00897AD1"/>
    <w:rsid w:val="008C6B50"/>
    <w:rsid w:val="0092632A"/>
    <w:rsid w:val="009323F3"/>
    <w:rsid w:val="009639CF"/>
    <w:rsid w:val="009657B3"/>
    <w:rsid w:val="009F3F17"/>
    <w:rsid w:val="00A23B83"/>
    <w:rsid w:val="00A26562"/>
    <w:rsid w:val="00A26805"/>
    <w:rsid w:val="00A56881"/>
    <w:rsid w:val="00A61AFA"/>
    <w:rsid w:val="00A85CBF"/>
    <w:rsid w:val="00A946FF"/>
    <w:rsid w:val="00AA03B4"/>
    <w:rsid w:val="00AB51D0"/>
    <w:rsid w:val="00B024B4"/>
    <w:rsid w:val="00B94938"/>
    <w:rsid w:val="00BE4B62"/>
    <w:rsid w:val="00C06740"/>
    <w:rsid w:val="00C247FB"/>
    <w:rsid w:val="00C26C1E"/>
    <w:rsid w:val="00C37189"/>
    <w:rsid w:val="00C45B50"/>
    <w:rsid w:val="00C82C37"/>
    <w:rsid w:val="00C8581D"/>
    <w:rsid w:val="00C902F4"/>
    <w:rsid w:val="00C977AE"/>
    <w:rsid w:val="00CD2438"/>
    <w:rsid w:val="00CE6683"/>
    <w:rsid w:val="00D06837"/>
    <w:rsid w:val="00D46EC4"/>
    <w:rsid w:val="00D56651"/>
    <w:rsid w:val="00D82D94"/>
    <w:rsid w:val="00DA134D"/>
    <w:rsid w:val="00DA2E59"/>
    <w:rsid w:val="00DD41AE"/>
    <w:rsid w:val="00E048CF"/>
    <w:rsid w:val="00E42890"/>
    <w:rsid w:val="00E57282"/>
    <w:rsid w:val="00E60C91"/>
    <w:rsid w:val="00E746AF"/>
    <w:rsid w:val="00E81530"/>
    <w:rsid w:val="00E86FEA"/>
    <w:rsid w:val="00E9563F"/>
    <w:rsid w:val="00EA26FC"/>
    <w:rsid w:val="00EB68E2"/>
    <w:rsid w:val="00ED207F"/>
    <w:rsid w:val="00EF0117"/>
    <w:rsid w:val="00F56772"/>
    <w:rsid w:val="00F62B28"/>
    <w:rsid w:val="00F92442"/>
    <w:rsid w:val="00F938B1"/>
    <w:rsid w:val="00FA7469"/>
    <w:rsid w:val="00FC0FB8"/>
    <w:rsid w:val="00FC1F95"/>
    <w:rsid w:val="01663C8E"/>
    <w:rsid w:val="02E1004A"/>
    <w:rsid w:val="041F913F"/>
    <w:rsid w:val="044046A8"/>
    <w:rsid w:val="04B3B663"/>
    <w:rsid w:val="06B84C79"/>
    <w:rsid w:val="08DB4E9D"/>
    <w:rsid w:val="09E5ABBE"/>
    <w:rsid w:val="0ADB7132"/>
    <w:rsid w:val="0B142657"/>
    <w:rsid w:val="0B9138A1"/>
    <w:rsid w:val="0C26409A"/>
    <w:rsid w:val="0CD32732"/>
    <w:rsid w:val="0D6C3E4D"/>
    <w:rsid w:val="0DF3EA04"/>
    <w:rsid w:val="0E34D5EA"/>
    <w:rsid w:val="0EA5287E"/>
    <w:rsid w:val="0FC98E59"/>
    <w:rsid w:val="0FEB5420"/>
    <w:rsid w:val="1189E66A"/>
    <w:rsid w:val="11C9562C"/>
    <w:rsid w:val="133C0363"/>
    <w:rsid w:val="194121C0"/>
    <w:rsid w:val="196F90F2"/>
    <w:rsid w:val="1BE14C46"/>
    <w:rsid w:val="1C618DCD"/>
    <w:rsid w:val="1E6B98C5"/>
    <w:rsid w:val="1F118066"/>
    <w:rsid w:val="1FD3474E"/>
    <w:rsid w:val="207548A1"/>
    <w:rsid w:val="208D7127"/>
    <w:rsid w:val="21D109CF"/>
    <w:rsid w:val="228FD69C"/>
    <w:rsid w:val="258FCB05"/>
    <w:rsid w:val="26C4A57F"/>
    <w:rsid w:val="271E15B6"/>
    <w:rsid w:val="274A104E"/>
    <w:rsid w:val="2877053A"/>
    <w:rsid w:val="2AEA4F1D"/>
    <w:rsid w:val="2DB84A61"/>
    <w:rsid w:val="31D28BCC"/>
    <w:rsid w:val="32427EDC"/>
    <w:rsid w:val="325E21D9"/>
    <w:rsid w:val="35C94566"/>
    <w:rsid w:val="360B9AC7"/>
    <w:rsid w:val="3624FCA6"/>
    <w:rsid w:val="371DDEB1"/>
    <w:rsid w:val="394F1B79"/>
    <w:rsid w:val="39A2DBCE"/>
    <w:rsid w:val="3C48A07B"/>
    <w:rsid w:val="3FBF90B2"/>
    <w:rsid w:val="4392EAF9"/>
    <w:rsid w:val="44D9414E"/>
    <w:rsid w:val="4603C05F"/>
    <w:rsid w:val="497F4C51"/>
    <w:rsid w:val="4AA4F264"/>
    <w:rsid w:val="4B353803"/>
    <w:rsid w:val="4B6B2C7D"/>
    <w:rsid w:val="4D6E50F9"/>
    <w:rsid w:val="4D9B488C"/>
    <w:rsid w:val="4DF8C0F9"/>
    <w:rsid w:val="4E09D43D"/>
    <w:rsid w:val="4F51E1E5"/>
    <w:rsid w:val="4F989D66"/>
    <w:rsid w:val="5123A4D2"/>
    <w:rsid w:val="5146786D"/>
    <w:rsid w:val="518A11C4"/>
    <w:rsid w:val="51C7A5B9"/>
    <w:rsid w:val="520D5886"/>
    <w:rsid w:val="52727C54"/>
    <w:rsid w:val="527FA0B2"/>
    <w:rsid w:val="536D8EC6"/>
    <w:rsid w:val="53AC9BC8"/>
    <w:rsid w:val="5507F85E"/>
    <w:rsid w:val="5703DCB6"/>
    <w:rsid w:val="5A10895A"/>
    <w:rsid w:val="5A2B9416"/>
    <w:rsid w:val="5DA8F880"/>
    <w:rsid w:val="5DC395D9"/>
    <w:rsid w:val="5E24E28A"/>
    <w:rsid w:val="5E42336F"/>
    <w:rsid w:val="5F8FEE98"/>
    <w:rsid w:val="5F971D42"/>
    <w:rsid w:val="5FA8EDA4"/>
    <w:rsid w:val="600734F4"/>
    <w:rsid w:val="62A77DC6"/>
    <w:rsid w:val="65F7E422"/>
    <w:rsid w:val="668F987B"/>
    <w:rsid w:val="679952F3"/>
    <w:rsid w:val="69B8ED87"/>
    <w:rsid w:val="6B423AF3"/>
    <w:rsid w:val="6BADBA10"/>
    <w:rsid w:val="6C5F7CEA"/>
    <w:rsid w:val="6EBAE369"/>
    <w:rsid w:val="6FB253DF"/>
    <w:rsid w:val="708615CF"/>
    <w:rsid w:val="70FD8950"/>
    <w:rsid w:val="714F0628"/>
    <w:rsid w:val="72561D99"/>
    <w:rsid w:val="7288BD54"/>
    <w:rsid w:val="72AF5590"/>
    <w:rsid w:val="740FA2D3"/>
    <w:rsid w:val="7425F384"/>
    <w:rsid w:val="74B14709"/>
    <w:rsid w:val="791D67D3"/>
    <w:rsid w:val="7F9FB9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8563"/>
  <w15:docId w15:val="{E36D89DF-ED60-4CD1-9BE7-E3C79A62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line="240" w:lineRule="auto"/>
    </w:pPr>
    <w:rPr>
      <w:sz w:val="20"/>
      <w:szCs w:val="20"/>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9323F3"/>
    <w:pPr>
      <w:spacing w:line="240" w:lineRule="auto"/>
    </w:pPr>
  </w:style>
  <w:style w:type="paragraph" w:styleId="Encabezado">
    <w:name w:val="header"/>
    <w:basedOn w:val="Normal"/>
    <w:link w:val="EncabezadoCar"/>
    <w:uiPriority w:val="99"/>
    <w:unhideWhenUsed/>
    <w:rsid w:val="009323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23F3"/>
  </w:style>
  <w:style w:type="paragraph" w:styleId="Piedepgina">
    <w:name w:val="footer"/>
    <w:basedOn w:val="Normal"/>
    <w:link w:val="PiedepginaCar"/>
    <w:uiPriority w:val="99"/>
    <w:unhideWhenUsed/>
    <w:rsid w:val="009323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23F3"/>
  </w:style>
  <w:style w:type="paragraph" w:styleId="Asuntodelcomentario">
    <w:name w:val="annotation subject"/>
    <w:basedOn w:val="Textocomentario"/>
    <w:next w:val="Textocomentario"/>
    <w:link w:val="AsuntodelcomentarioCar"/>
    <w:uiPriority w:val="99"/>
    <w:semiHidden/>
    <w:unhideWhenUsed/>
    <w:rsid w:val="005E26C1"/>
    <w:rPr>
      <w:b/>
      <w:bCs/>
    </w:rPr>
  </w:style>
  <w:style w:type="character" w:customStyle="1" w:styleId="AsuntodelcomentarioCar">
    <w:name w:val="Asunto del comentario Car"/>
    <w:basedOn w:val="TextocomentarioCar"/>
    <w:link w:val="Asuntodelcomentario"/>
    <w:uiPriority w:val="99"/>
    <w:semiHidden/>
    <w:rsid w:val="005E26C1"/>
    <w:rPr>
      <w:b/>
      <w:bCs/>
      <w:sz w:val="20"/>
      <w:szCs w:val="20"/>
    </w:rPr>
  </w:style>
  <w:style w:type="character" w:styleId="Hipervnculo">
    <w:name w:val="Hyperlink"/>
    <w:basedOn w:val="Fuentedeprrafopredeter"/>
    <w:uiPriority w:val="99"/>
    <w:unhideWhenUsed/>
    <w:rsid w:val="00786E47"/>
    <w:rPr>
      <w:color w:val="0000FF" w:themeColor="hyperlink"/>
      <w:u w:val="single"/>
    </w:rPr>
  </w:style>
  <w:style w:type="paragraph" w:styleId="Prrafodelista">
    <w:name w:val="List Paragraph"/>
    <w:basedOn w:val="Normal"/>
    <w:uiPriority w:val="34"/>
    <w:qFormat/>
    <w:rsid w:val="00C902F4"/>
    <w:pPr>
      <w:ind w:left="720"/>
      <w:contextualSpacing/>
    </w:pPr>
  </w:style>
  <w:style w:type="paragraph" w:customStyle="1" w:styleId="paragraph">
    <w:name w:val="paragraph"/>
    <w:basedOn w:val="Normal"/>
    <w:rsid w:val="00E42890"/>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normaltextrun">
    <w:name w:val="normaltextrun"/>
    <w:basedOn w:val="Fuentedeprrafopredeter"/>
    <w:rsid w:val="00E42890"/>
  </w:style>
  <w:style w:type="character" w:customStyle="1" w:styleId="eop">
    <w:name w:val="eop"/>
    <w:basedOn w:val="Fuentedeprrafopredeter"/>
    <w:rsid w:val="00E42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152948">
      <w:bodyDiv w:val="1"/>
      <w:marLeft w:val="0"/>
      <w:marRight w:val="0"/>
      <w:marTop w:val="0"/>
      <w:marBottom w:val="0"/>
      <w:divBdr>
        <w:top w:val="none" w:sz="0" w:space="0" w:color="auto"/>
        <w:left w:val="none" w:sz="0" w:space="0" w:color="auto"/>
        <w:bottom w:val="none" w:sz="0" w:space="0" w:color="auto"/>
        <w:right w:val="none" w:sz="0" w:space="0" w:color="auto"/>
      </w:divBdr>
      <w:divsChild>
        <w:div w:id="369887126">
          <w:marLeft w:val="0"/>
          <w:marRight w:val="0"/>
          <w:marTop w:val="0"/>
          <w:marBottom w:val="0"/>
          <w:divBdr>
            <w:top w:val="none" w:sz="0" w:space="0" w:color="auto"/>
            <w:left w:val="none" w:sz="0" w:space="0" w:color="auto"/>
            <w:bottom w:val="none" w:sz="0" w:space="0" w:color="auto"/>
            <w:right w:val="none" w:sz="0" w:space="0" w:color="auto"/>
          </w:divBdr>
        </w:div>
        <w:div w:id="368341588">
          <w:marLeft w:val="0"/>
          <w:marRight w:val="0"/>
          <w:marTop w:val="0"/>
          <w:marBottom w:val="0"/>
          <w:divBdr>
            <w:top w:val="none" w:sz="0" w:space="0" w:color="auto"/>
            <w:left w:val="none" w:sz="0" w:space="0" w:color="auto"/>
            <w:bottom w:val="none" w:sz="0" w:space="0" w:color="auto"/>
            <w:right w:val="none" w:sz="0" w:space="0" w:color="auto"/>
          </w:divBdr>
        </w:div>
        <w:div w:id="1004892428">
          <w:marLeft w:val="0"/>
          <w:marRight w:val="0"/>
          <w:marTop w:val="0"/>
          <w:marBottom w:val="0"/>
          <w:divBdr>
            <w:top w:val="none" w:sz="0" w:space="0" w:color="auto"/>
            <w:left w:val="none" w:sz="0" w:space="0" w:color="auto"/>
            <w:bottom w:val="none" w:sz="0" w:space="0" w:color="auto"/>
            <w:right w:val="none" w:sz="0" w:space="0" w:color="auto"/>
          </w:divBdr>
        </w:div>
        <w:div w:id="317077712">
          <w:marLeft w:val="0"/>
          <w:marRight w:val="0"/>
          <w:marTop w:val="0"/>
          <w:marBottom w:val="0"/>
          <w:divBdr>
            <w:top w:val="none" w:sz="0" w:space="0" w:color="auto"/>
            <w:left w:val="none" w:sz="0" w:space="0" w:color="auto"/>
            <w:bottom w:val="none" w:sz="0" w:space="0" w:color="auto"/>
            <w:right w:val="none" w:sz="0" w:space="0" w:color="auto"/>
          </w:divBdr>
        </w:div>
        <w:div w:id="240719865">
          <w:marLeft w:val="0"/>
          <w:marRight w:val="0"/>
          <w:marTop w:val="0"/>
          <w:marBottom w:val="0"/>
          <w:divBdr>
            <w:top w:val="none" w:sz="0" w:space="0" w:color="auto"/>
            <w:left w:val="none" w:sz="0" w:space="0" w:color="auto"/>
            <w:bottom w:val="none" w:sz="0" w:space="0" w:color="auto"/>
            <w:right w:val="none" w:sz="0" w:space="0" w:color="auto"/>
          </w:divBdr>
        </w:div>
        <w:div w:id="1206025637">
          <w:marLeft w:val="0"/>
          <w:marRight w:val="0"/>
          <w:marTop w:val="0"/>
          <w:marBottom w:val="0"/>
          <w:divBdr>
            <w:top w:val="none" w:sz="0" w:space="0" w:color="auto"/>
            <w:left w:val="none" w:sz="0" w:space="0" w:color="auto"/>
            <w:bottom w:val="none" w:sz="0" w:space="0" w:color="auto"/>
            <w:right w:val="none" w:sz="0" w:space="0" w:color="auto"/>
          </w:divBdr>
        </w:div>
        <w:div w:id="1265841366">
          <w:marLeft w:val="0"/>
          <w:marRight w:val="0"/>
          <w:marTop w:val="0"/>
          <w:marBottom w:val="0"/>
          <w:divBdr>
            <w:top w:val="none" w:sz="0" w:space="0" w:color="auto"/>
            <w:left w:val="none" w:sz="0" w:space="0" w:color="auto"/>
            <w:bottom w:val="none" w:sz="0" w:space="0" w:color="auto"/>
            <w:right w:val="none" w:sz="0" w:space="0" w:color="auto"/>
          </w:divBdr>
        </w:div>
        <w:div w:id="146287116">
          <w:marLeft w:val="0"/>
          <w:marRight w:val="0"/>
          <w:marTop w:val="0"/>
          <w:marBottom w:val="0"/>
          <w:divBdr>
            <w:top w:val="none" w:sz="0" w:space="0" w:color="auto"/>
            <w:left w:val="none" w:sz="0" w:space="0" w:color="auto"/>
            <w:bottom w:val="none" w:sz="0" w:space="0" w:color="auto"/>
            <w:right w:val="none" w:sz="0" w:space="0" w:color="auto"/>
          </w:divBdr>
        </w:div>
        <w:div w:id="349526262">
          <w:marLeft w:val="0"/>
          <w:marRight w:val="0"/>
          <w:marTop w:val="0"/>
          <w:marBottom w:val="0"/>
          <w:divBdr>
            <w:top w:val="none" w:sz="0" w:space="0" w:color="auto"/>
            <w:left w:val="none" w:sz="0" w:space="0" w:color="auto"/>
            <w:bottom w:val="none" w:sz="0" w:space="0" w:color="auto"/>
            <w:right w:val="none" w:sz="0" w:space="0" w:color="auto"/>
          </w:divBdr>
        </w:div>
        <w:div w:id="2128886829">
          <w:marLeft w:val="0"/>
          <w:marRight w:val="0"/>
          <w:marTop w:val="0"/>
          <w:marBottom w:val="0"/>
          <w:divBdr>
            <w:top w:val="none" w:sz="0" w:space="0" w:color="auto"/>
            <w:left w:val="none" w:sz="0" w:space="0" w:color="auto"/>
            <w:bottom w:val="none" w:sz="0" w:space="0" w:color="auto"/>
            <w:right w:val="none" w:sz="0" w:space="0" w:color="auto"/>
          </w:divBdr>
        </w:div>
        <w:div w:id="789783204">
          <w:marLeft w:val="0"/>
          <w:marRight w:val="0"/>
          <w:marTop w:val="0"/>
          <w:marBottom w:val="0"/>
          <w:divBdr>
            <w:top w:val="none" w:sz="0" w:space="0" w:color="auto"/>
            <w:left w:val="none" w:sz="0" w:space="0" w:color="auto"/>
            <w:bottom w:val="none" w:sz="0" w:space="0" w:color="auto"/>
            <w:right w:val="none" w:sz="0" w:space="0" w:color="auto"/>
          </w:divBdr>
        </w:div>
        <w:div w:id="1858932321">
          <w:marLeft w:val="0"/>
          <w:marRight w:val="0"/>
          <w:marTop w:val="0"/>
          <w:marBottom w:val="0"/>
          <w:divBdr>
            <w:top w:val="none" w:sz="0" w:space="0" w:color="auto"/>
            <w:left w:val="none" w:sz="0" w:space="0" w:color="auto"/>
            <w:bottom w:val="none" w:sz="0" w:space="0" w:color="auto"/>
            <w:right w:val="none" w:sz="0" w:space="0" w:color="auto"/>
          </w:divBdr>
        </w:div>
        <w:div w:id="846670938">
          <w:marLeft w:val="0"/>
          <w:marRight w:val="0"/>
          <w:marTop w:val="0"/>
          <w:marBottom w:val="0"/>
          <w:divBdr>
            <w:top w:val="none" w:sz="0" w:space="0" w:color="auto"/>
            <w:left w:val="none" w:sz="0" w:space="0" w:color="auto"/>
            <w:bottom w:val="none" w:sz="0" w:space="0" w:color="auto"/>
            <w:right w:val="none" w:sz="0" w:space="0" w:color="auto"/>
          </w:divBdr>
        </w:div>
        <w:div w:id="2136674093">
          <w:marLeft w:val="0"/>
          <w:marRight w:val="0"/>
          <w:marTop w:val="0"/>
          <w:marBottom w:val="0"/>
          <w:divBdr>
            <w:top w:val="none" w:sz="0" w:space="0" w:color="auto"/>
            <w:left w:val="none" w:sz="0" w:space="0" w:color="auto"/>
            <w:bottom w:val="none" w:sz="0" w:space="0" w:color="auto"/>
            <w:right w:val="none" w:sz="0" w:space="0" w:color="auto"/>
          </w:divBdr>
        </w:div>
        <w:div w:id="950893369">
          <w:marLeft w:val="0"/>
          <w:marRight w:val="0"/>
          <w:marTop w:val="0"/>
          <w:marBottom w:val="0"/>
          <w:divBdr>
            <w:top w:val="none" w:sz="0" w:space="0" w:color="auto"/>
            <w:left w:val="none" w:sz="0" w:space="0" w:color="auto"/>
            <w:bottom w:val="none" w:sz="0" w:space="0" w:color="auto"/>
            <w:right w:val="none" w:sz="0" w:space="0" w:color="auto"/>
          </w:divBdr>
        </w:div>
        <w:div w:id="2022927335">
          <w:marLeft w:val="0"/>
          <w:marRight w:val="0"/>
          <w:marTop w:val="0"/>
          <w:marBottom w:val="0"/>
          <w:divBdr>
            <w:top w:val="none" w:sz="0" w:space="0" w:color="auto"/>
            <w:left w:val="none" w:sz="0" w:space="0" w:color="auto"/>
            <w:bottom w:val="none" w:sz="0" w:space="0" w:color="auto"/>
            <w:right w:val="none" w:sz="0" w:space="0" w:color="auto"/>
          </w:divBdr>
        </w:div>
        <w:div w:id="715737416">
          <w:marLeft w:val="0"/>
          <w:marRight w:val="0"/>
          <w:marTop w:val="0"/>
          <w:marBottom w:val="0"/>
          <w:divBdr>
            <w:top w:val="none" w:sz="0" w:space="0" w:color="auto"/>
            <w:left w:val="none" w:sz="0" w:space="0" w:color="auto"/>
            <w:bottom w:val="none" w:sz="0" w:space="0" w:color="auto"/>
            <w:right w:val="none" w:sz="0" w:space="0" w:color="auto"/>
          </w:divBdr>
        </w:div>
        <w:div w:id="2012293127">
          <w:marLeft w:val="0"/>
          <w:marRight w:val="0"/>
          <w:marTop w:val="0"/>
          <w:marBottom w:val="0"/>
          <w:divBdr>
            <w:top w:val="none" w:sz="0" w:space="0" w:color="auto"/>
            <w:left w:val="none" w:sz="0" w:space="0" w:color="auto"/>
            <w:bottom w:val="none" w:sz="0" w:space="0" w:color="auto"/>
            <w:right w:val="none" w:sz="0" w:space="0" w:color="auto"/>
          </w:divBdr>
        </w:div>
        <w:div w:id="495805840">
          <w:marLeft w:val="0"/>
          <w:marRight w:val="0"/>
          <w:marTop w:val="0"/>
          <w:marBottom w:val="0"/>
          <w:divBdr>
            <w:top w:val="none" w:sz="0" w:space="0" w:color="auto"/>
            <w:left w:val="none" w:sz="0" w:space="0" w:color="auto"/>
            <w:bottom w:val="none" w:sz="0" w:space="0" w:color="auto"/>
            <w:right w:val="none" w:sz="0" w:space="0" w:color="auto"/>
          </w:divBdr>
        </w:div>
        <w:div w:id="1637568489">
          <w:marLeft w:val="0"/>
          <w:marRight w:val="0"/>
          <w:marTop w:val="0"/>
          <w:marBottom w:val="0"/>
          <w:divBdr>
            <w:top w:val="none" w:sz="0" w:space="0" w:color="auto"/>
            <w:left w:val="none" w:sz="0" w:space="0" w:color="auto"/>
            <w:bottom w:val="none" w:sz="0" w:space="0" w:color="auto"/>
            <w:right w:val="none" w:sz="0" w:space="0" w:color="auto"/>
          </w:divBdr>
        </w:div>
        <w:div w:id="1097360480">
          <w:marLeft w:val="0"/>
          <w:marRight w:val="0"/>
          <w:marTop w:val="0"/>
          <w:marBottom w:val="0"/>
          <w:divBdr>
            <w:top w:val="none" w:sz="0" w:space="0" w:color="auto"/>
            <w:left w:val="none" w:sz="0" w:space="0" w:color="auto"/>
            <w:bottom w:val="none" w:sz="0" w:space="0" w:color="auto"/>
            <w:right w:val="none" w:sz="0" w:space="0" w:color="auto"/>
          </w:divBdr>
        </w:div>
        <w:div w:id="1779254978">
          <w:marLeft w:val="0"/>
          <w:marRight w:val="0"/>
          <w:marTop w:val="0"/>
          <w:marBottom w:val="0"/>
          <w:divBdr>
            <w:top w:val="none" w:sz="0" w:space="0" w:color="auto"/>
            <w:left w:val="none" w:sz="0" w:space="0" w:color="auto"/>
            <w:bottom w:val="none" w:sz="0" w:space="0" w:color="auto"/>
            <w:right w:val="none" w:sz="0" w:space="0" w:color="auto"/>
          </w:divBdr>
        </w:div>
        <w:div w:id="553198536">
          <w:marLeft w:val="0"/>
          <w:marRight w:val="0"/>
          <w:marTop w:val="0"/>
          <w:marBottom w:val="0"/>
          <w:divBdr>
            <w:top w:val="none" w:sz="0" w:space="0" w:color="auto"/>
            <w:left w:val="none" w:sz="0" w:space="0" w:color="auto"/>
            <w:bottom w:val="none" w:sz="0" w:space="0" w:color="auto"/>
            <w:right w:val="none" w:sz="0" w:space="0" w:color="auto"/>
          </w:divBdr>
        </w:div>
        <w:div w:id="1242569162">
          <w:marLeft w:val="0"/>
          <w:marRight w:val="0"/>
          <w:marTop w:val="0"/>
          <w:marBottom w:val="0"/>
          <w:divBdr>
            <w:top w:val="none" w:sz="0" w:space="0" w:color="auto"/>
            <w:left w:val="none" w:sz="0" w:space="0" w:color="auto"/>
            <w:bottom w:val="none" w:sz="0" w:space="0" w:color="auto"/>
            <w:right w:val="none" w:sz="0" w:space="0" w:color="auto"/>
          </w:divBdr>
        </w:div>
        <w:div w:id="2086537272">
          <w:marLeft w:val="0"/>
          <w:marRight w:val="0"/>
          <w:marTop w:val="0"/>
          <w:marBottom w:val="0"/>
          <w:divBdr>
            <w:top w:val="none" w:sz="0" w:space="0" w:color="auto"/>
            <w:left w:val="none" w:sz="0" w:space="0" w:color="auto"/>
            <w:bottom w:val="none" w:sz="0" w:space="0" w:color="auto"/>
            <w:right w:val="none" w:sz="0" w:space="0" w:color="auto"/>
          </w:divBdr>
        </w:div>
        <w:div w:id="1474639132">
          <w:marLeft w:val="0"/>
          <w:marRight w:val="0"/>
          <w:marTop w:val="0"/>
          <w:marBottom w:val="0"/>
          <w:divBdr>
            <w:top w:val="none" w:sz="0" w:space="0" w:color="auto"/>
            <w:left w:val="none" w:sz="0" w:space="0" w:color="auto"/>
            <w:bottom w:val="none" w:sz="0" w:space="0" w:color="auto"/>
            <w:right w:val="none" w:sz="0" w:space="0" w:color="auto"/>
          </w:divBdr>
        </w:div>
        <w:div w:id="109054144">
          <w:marLeft w:val="0"/>
          <w:marRight w:val="0"/>
          <w:marTop w:val="0"/>
          <w:marBottom w:val="0"/>
          <w:divBdr>
            <w:top w:val="none" w:sz="0" w:space="0" w:color="auto"/>
            <w:left w:val="none" w:sz="0" w:space="0" w:color="auto"/>
            <w:bottom w:val="none" w:sz="0" w:space="0" w:color="auto"/>
            <w:right w:val="none" w:sz="0" w:space="0" w:color="auto"/>
          </w:divBdr>
        </w:div>
        <w:div w:id="823548493">
          <w:marLeft w:val="0"/>
          <w:marRight w:val="0"/>
          <w:marTop w:val="0"/>
          <w:marBottom w:val="0"/>
          <w:divBdr>
            <w:top w:val="none" w:sz="0" w:space="0" w:color="auto"/>
            <w:left w:val="none" w:sz="0" w:space="0" w:color="auto"/>
            <w:bottom w:val="none" w:sz="0" w:space="0" w:color="auto"/>
            <w:right w:val="none" w:sz="0" w:space="0" w:color="auto"/>
          </w:divBdr>
        </w:div>
        <w:div w:id="1723285765">
          <w:marLeft w:val="0"/>
          <w:marRight w:val="0"/>
          <w:marTop w:val="0"/>
          <w:marBottom w:val="0"/>
          <w:divBdr>
            <w:top w:val="none" w:sz="0" w:space="0" w:color="auto"/>
            <w:left w:val="none" w:sz="0" w:space="0" w:color="auto"/>
            <w:bottom w:val="none" w:sz="0" w:space="0" w:color="auto"/>
            <w:right w:val="none" w:sz="0" w:space="0" w:color="auto"/>
          </w:divBdr>
        </w:div>
        <w:div w:id="2064478240">
          <w:marLeft w:val="0"/>
          <w:marRight w:val="0"/>
          <w:marTop w:val="0"/>
          <w:marBottom w:val="0"/>
          <w:divBdr>
            <w:top w:val="none" w:sz="0" w:space="0" w:color="auto"/>
            <w:left w:val="none" w:sz="0" w:space="0" w:color="auto"/>
            <w:bottom w:val="none" w:sz="0" w:space="0" w:color="auto"/>
            <w:right w:val="none" w:sz="0" w:space="0" w:color="auto"/>
          </w:divBdr>
        </w:div>
        <w:div w:id="4552949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B2752-64E8-41CA-A191-95E0051F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3675</Words>
  <Characters>20218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Alpiniano García-Giraldo</dc:creator>
  <cp:keywords/>
  <cp:lastModifiedBy>Marleny Aldana Sandoval</cp:lastModifiedBy>
  <cp:revision>2</cp:revision>
  <dcterms:created xsi:type="dcterms:W3CDTF">2024-08-13T22:01:00Z</dcterms:created>
  <dcterms:modified xsi:type="dcterms:W3CDTF">2024-08-13T22:01:00Z</dcterms:modified>
</cp:coreProperties>
</file>