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C514" w14:textId="77777777" w:rsidR="00E86272" w:rsidRDefault="005B00B8" w:rsidP="005B00B8">
      <w:pPr>
        <w:pStyle w:val="Default"/>
        <w:rPr>
          <w:sz w:val="16"/>
          <w:szCs w:val="16"/>
        </w:rPr>
      </w:pPr>
      <w:r>
        <w:rPr>
          <w:sz w:val="16"/>
          <w:szCs w:val="16"/>
        </w:rPr>
        <w:t xml:space="preserve">Radicación Interna: 6394 </w:t>
      </w:r>
    </w:p>
    <w:p w14:paraId="6FC5FEBA" w14:textId="0843DA5D" w:rsidR="005B00B8" w:rsidRDefault="005B00B8" w:rsidP="005B00B8">
      <w:pPr>
        <w:pStyle w:val="Default"/>
        <w:rPr>
          <w:sz w:val="16"/>
          <w:szCs w:val="16"/>
        </w:rPr>
      </w:pPr>
      <w:r>
        <w:rPr>
          <w:sz w:val="16"/>
          <w:szCs w:val="16"/>
        </w:rPr>
        <w:t xml:space="preserve">Código Único de Radicación: 11001310303320210031601 (ADMITE) </w:t>
      </w:r>
    </w:p>
    <w:p w14:paraId="58BB6ED6" w14:textId="77777777" w:rsidR="00170978" w:rsidRDefault="00170978" w:rsidP="00170978">
      <w:pPr>
        <w:pStyle w:val="Default"/>
        <w:jc w:val="center"/>
        <w:rPr>
          <w:rFonts w:ascii="Arial" w:hAnsi="Arial" w:cs="Arial"/>
          <w:b/>
          <w:bCs/>
          <w:color w:val="auto"/>
          <w:sz w:val="23"/>
          <w:szCs w:val="23"/>
        </w:rPr>
      </w:pPr>
    </w:p>
    <w:p w14:paraId="19CA2B3F" w14:textId="2997F464" w:rsidR="005B00B8" w:rsidRDefault="005B00B8" w:rsidP="00170978">
      <w:pPr>
        <w:pStyle w:val="Default"/>
        <w:jc w:val="center"/>
        <w:rPr>
          <w:rFonts w:ascii="Arial" w:hAnsi="Arial" w:cs="Arial"/>
          <w:color w:val="auto"/>
          <w:sz w:val="23"/>
          <w:szCs w:val="23"/>
        </w:rPr>
      </w:pPr>
      <w:r>
        <w:rPr>
          <w:rFonts w:ascii="Arial" w:hAnsi="Arial" w:cs="Arial"/>
          <w:b/>
          <w:bCs/>
          <w:color w:val="auto"/>
          <w:sz w:val="23"/>
          <w:szCs w:val="23"/>
        </w:rPr>
        <w:t>REPÚBLICA DE COLOMBIA</w:t>
      </w:r>
    </w:p>
    <w:p w14:paraId="7BE9C528" w14:textId="584BCDD3" w:rsidR="005B00B8" w:rsidRDefault="005B00B8" w:rsidP="00170978">
      <w:pPr>
        <w:pStyle w:val="Default"/>
        <w:jc w:val="center"/>
        <w:rPr>
          <w:rFonts w:ascii="Arial" w:hAnsi="Arial" w:cs="Arial"/>
          <w:color w:val="auto"/>
          <w:sz w:val="23"/>
          <w:szCs w:val="23"/>
        </w:rPr>
      </w:pPr>
      <w:r>
        <w:rPr>
          <w:rFonts w:ascii="Arial" w:hAnsi="Arial" w:cs="Arial"/>
          <w:b/>
          <w:bCs/>
          <w:color w:val="auto"/>
          <w:sz w:val="23"/>
          <w:szCs w:val="23"/>
        </w:rPr>
        <w:t>TRIBUNAL SUPERIOR DEL DISTRITO JUDICIAL DE BOGOTÁ</w:t>
      </w:r>
    </w:p>
    <w:p w14:paraId="523D955A" w14:textId="6F23FDDA" w:rsidR="005B00B8" w:rsidRDefault="005B00B8" w:rsidP="00170978">
      <w:pPr>
        <w:pStyle w:val="Default"/>
        <w:jc w:val="center"/>
        <w:rPr>
          <w:rFonts w:ascii="Arial" w:hAnsi="Arial" w:cs="Arial"/>
          <w:b/>
          <w:bCs/>
          <w:color w:val="auto"/>
          <w:sz w:val="23"/>
          <w:szCs w:val="23"/>
        </w:rPr>
      </w:pPr>
      <w:r>
        <w:rPr>
          <w:rFonts w:ascii="Arial" w:hAnsi="Arial" w:cs="Arial"/>
          <w:b/>
          <w:bCs/>
          <w:color w:val="auto"/>
          <w:sz w:val="23"/>
          <w:szCs w:val="23"/>
        </w:rPr>
        <w:t>SALA CIVIL</w:t>
      </w:r>
    </w:p>
    <w:p w14:paraId="7402AE67" w14:textId="77777777" w:rsidR="00170978" w:rsidRDefault="00170978" w:rsidP="00170978">
      <w:pPr>
        <w:pStyle w:val="Default"/>
        <w:jc w:val="center"/>
        <w:rPr>
          <w:rFonts w:ascii="Arial" w:hAnsi="Arial" w:cs="Arial"/>
          <w:b/>
          <w:bCs/>
          <w:color w:val="auto"/>
          <w:sz w:val="23"/>
          <w:szCs w:val="23"/>
        </w:rPr>
      </w:pPr>
    </w:p>
    <w:p w14:paraId="21B4D1F6" w14:textId="30E78809" w:rsidR="00170978" w:rsidRDefault="00170978" w:rsidP="00170978">
      <w:pPr>
        <w:pStyle w:val="Default"/>
        <w:jc w:val="center"/>
        <w:rPr>
          <w:rFonts w:ascii="Arial" w:hAnsi="Arial" w:cs="Arial"/>
          <w:b/>
          <w:bCs/>
          <w:color w:val="auto"/>
          <w:sz w:val="23"/>
          <w:szCs w:val="23"/>
        </w:rPr>
      </w:pPr>
      <w:r>
        <w:rPr>
          <w:rFonts w:ascii="Arial" w:hAnsi="Arial" w:cs="Arial"/>
          <w:color w:val="auto"/>
          <w:sz w:val="23"/>
          <w:szCs w:val="23"/>
        </w:rPr>
        <w:t>Bogotá D.C., veintiuno (21) de marzo de dos mil veinticuatro (2024)</w:t>
      </w:r>
    </w:p>
    <w:p w14:paraId="2CFBD054" w14:textId="77777777" w:rsidR="00170978" w:rsidRDefault="00170978" w:rsidP="005B00B8">
      <w:pPr>
        <w:pStyle w:val="Default"/>
        <w:rPr>
          <w:rFonts w:ascii="Arial" w:hAnsi="Arial" w:cs="Arial"/>
          <w:color w:val="auto"/>
          <w:sz w:val="23"/>
          <w:szCs w:val="23"/>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759"/>
        <w:gridCol w:w="468"/>
        <w:gridCol w:w="5050"/>
      </w:tblGrid>
      <w:tr w:rsidR="005B00B8" w14:paraId="66E75EC5" w14:textId="77777777" w:rsidTr="00D22EFB">
        <w:tblPrEx>
          <w:tblCellMar>
            <w:top w:w="0" w:type="dxa"/>
            <w:bottom w:w="0" w:type="dxa"/>
          </w:tblCellMar>
        </w:tblPrEx>
        <w:trPr>
          <w:trHeight w:val="230"/>
        </w:trPr>
        <w:tc>
          <w:tcPr>
            <w:tcW w:w="2759" w:type="dxa"/>
            <w:tcBorders>
              <w:top w:val="none" w:sz="6" w:space="0" w:color="auto"/>
              <w:bottom w:val="none" w:sz="6" w:space="0" w:color="auto"/>
              <w:right w:val="none" w:sz="6" w:space="0" w:color="auto"/>
            </w:tcBorders>
          </w:tcPr>
          <w:p w14:paraId="1F97876C" w14:textId="1A4C8918" w:rsidR="005B00B8" w:rsidRDefault="005B00B8">
            <w:pPr>
              <w:pStyle w:val="Default"/>
              <w:rPr>
                <w:rFonts w:ascii="Arial" w:hAnsi="Arial" w:cs="Arial"/>
                <w:sz w:val="22"/>
                <w:szCs w:val="22"/>
              </w:rPr>
            </w:pPr>
            <w:r>
              <w:rPr>
                <w:rFonts w:ascii="Arial" w:hAnsi="Arial" w:cs="Arial"/>
                <w:sz w:val="22"/>
                <w:szCs w:val="22"/>
              </w:rPr>
              <w:t xml:space="preserve">DEMANDANTES </w:t>
            </w:r>
          </w:p>
        </w:tc>
        <w:tc>
          <w:tcPr>
            <w:tcW w:w="468" w:type="dxa"/>
            <w:tcBorders>
              <w:top w:val="none" w:sz="6" w:space="0" w:color="auto"/>
              <w:left w:val="none" w:sz="6" w:space="0" w:color="auto"/>
              <w:bottom w:val="none" w:sz="6" w:space="0" w:color="auto"/>
              <w:right w:val="none" w:sz="6" w:space="0" w:color="auto"/>
            </w:tcBorders>
          </w:tcPr>
          <w:p w14:paraId="1332F907" w14:textId="77777777" w:rsidR="005B00B8" w:rsidRDefault="005B00B8">
            <w:pPr>
              <w:pStyle w:val="Default"/>
              <w:rPr>
                <w:rFonts w:ascii="Arial" w:hAnsi="Arial" w:cs="Arial"/>
                <w:sz w:val="22"/>
                <w:szCs w:val="22"/>
              </w:rPr>
            </w:pPr>
            <w:r>
              <w:rPr>
                <w:rFonts w:ascii="Arial" w:hAnsi="Arial" w:cs="Arial"/>
                <w:sz w:val="22"/>
                <w:szCs w:val="22"/>
              </w:rPr>
              <w:t xml:space="preserve">: </w:t>
            </w:r>
          </w:p>
        </w:tc>
        <w:tc>
          <w:tcPr>
            <w:tcW w:w="5050" w:type="dxa"/>
            <w:tcBorders>
              <w:top w:val="none" w:sz="6" w:space="0" w:color="auto"/>
              <w:left w:val="none" w:sz="6" w:space="0" w:color="auto"/>
              <w:bottom w:val="none" w:sz="6" w:space="0" w:color="auto"/>
            </w:tcBorders>
          </w:tcPr>
          <w:p w14:paraId="25883D43" w14:textId="77777777" w:rsidR="005B00B8" w:rsidRDefault="005B00B8">
            <w:pPr>
              <w:pStyle w:val="Default"/>
              <w:rPr>
                <w:rFonts w:ascii="Arial" w:hAnsi="Arial" w:cs="Arial"/>
                <w:sz w:val="22"/>
                <w:szCs w:val="22"/>
              </w:rPr>
            </w:pPr>
            <w:r>
              <w:rPr>
                <w:rFonts w:ascii="Arial" w:hAnsi="Arial" w:cs="Arial"/>
                <w:sz w:val="22"/>
                <w:szCs w:val="22"/>
              </w:rPr>
              <w:t xml:space="preserve">MARIA INÉS DURANA CONCHA y </w:t>
            </w:r>
          </w:p>
          <w:p w14:paraId="76A30442" w14:textId="77777777" w:rsidR="005B00B8" w:rsidRDefault="005B00B8">
            <w:pPr>
              <w:pStyle w:val="Default"/>
              <w:rPr>
                <w:rFonts w:ascii="Arial" w:hAnsi="Arial" w:cs="Arial"/>
                <w:sz w:val="22"/>
                <w:szCs w:val="22"/>
              </w:rPr>
            </w:pPr>
            <w:r>
              <w:rPr>
                <w:rFonts w:ascii="Arial" w:hAnsi="Arial" w:cs="Arial"/>
                <w:sz w:val="22"/>
                <w:szCs w:val="22"/>
              </w:rPr>
              <w:t xml:space="preserve">MARCELO DÍAZ DURANA </w:t>
            </w:r>
          </w:p>
        </w:tc>
      </w:tr>
      <w:tr w:rsidR="005B00B8" w14:paraId="6F0426ED" w14:textId="77777777" w:rsidTr="00D22EFB">
        <w:tblPrEx>
          <w:tblCellMar>
            <w:top w:w="0" w:type="dxa"/>
            <w:bottom w:w="0" w:type="dxa"/>
          </w:tblCellMar>
        </w:tblPrEx>
        <w:trPr>
          <w:trHeight w:val="230"/>
        </w:trPr>
        <w:tc>
          <w:tcPr>
            <w:tcW w:w="2759" w:type="dxa"/>
            <w:tcBorders>
              <w:top w:val="none" w:sz="6" w:space="0" w:color="auto"/>
              <w:bottom w:val="none" w:sz="6" w:space="0" w:color="auto"/>
              <w:right w:val="none" w:sz="6" w:space="0" w:color="auto"/>
            </w:tcBorders>
          </w:tcPr>
          <w:p w14:paraId="552BA313" w14:textId="77777777" w:rsidR="005B00B8" w:rsidRDefault="005B00B8">
            <w:pPr>
              <w:pStyle w:val="Default"/>
              <w:rPr>
                <w:rFonts w:ascii="Arial" w:hAnsi="Arial" w:cs="Arial"/>
                <w:sz w:val="22"/>
                <w:szCs w:val="22"/>
              </w:rPr>
            </w:pPr>
            <w:r>
              <w:rPr>
                <w:rFonts w:ascii="Arial" w:hAnsi="Arial" w:cs="Arial"/>
                <w:sz w:val="22"/>
                <w:szCs w:val="22"/>
              </w:rPr>
              <w:t xml:space="preserve">DEMANDADOS </w:t>
            </w:r>
          </w:p>
        </w:tc>
        <w:tc>
          <w:tcPr>
            <w:tcW w:w="468" w:type="dxa"/>
            <w:tcBorders>
              <w:top w:val="none" w:sz="6" w:space="0" w:color="auto"/>
              <w:left w:val="none" w:sz="6" w:space="0" w:color="auto"/>
              <w:bottom w:val="none" w:sz="6" w:space="0" w:color="auto"/>
              <w:right w:val="none" w:sz="6" w:space="0" w:color="auto"/>
            </w:tcBorders>
          </w:tcPr>
          <w:p w14:paraId="061C053E" w14:textId="77777777" w:rsidR="005B00B8" w:rsidRDefault="005B00B8">
            <w:pPr>
              <w:pStyle w:val="Default"/>
              <w:rPr>
                <w:rFonts w:ascii="Arial" w:hAnsi="Arial" w:cs="Arial"/>
                <w:sz w:val="22"/>
                <w:szCs w:val="22"/>
              </w:rPr>
            </w:pPr>
            <w:r>
              <w:rPr>
                <w:rFonts w:ascii="Arial" w:hAnsi="Arial" w:cs="Arial"/>
                <w:sz w:val="22"/>
                <w:szCs w:val="22"/>
              </w:rPr>
              <w:t xml:space="preserve">: </w:t>
            </w:r>
          </w:p>
        </w:tc>
        <w:tc>
          <w:tcPr>
            <w:tcW w:w="5050" w:type="dxa"/>
            <w:tcBorders>
              <w:top w:val="none" w:sz="6" w:space="0" w:color="auto"/>
              <w:left w:val="none" w:sz="6" w:space="0" w:color="auto"/>
              <w:bottom w:val="none" w:sz="6" w:space="0" w:color="auto"/>
            </w:tcBorders>
          </w:tcPr>
          <w:p w14:paraId="7C01E03B" w14:textId="77777777" w:rsidR="005B00B8" w:rsidRDefault="005B00B8">
            <w:pPr>
              <w:pStyle w:val="Default"/>
              <w:rPr>
                <w:sz w:val="22"/>
                <w:szCs w:val="22"/>
              </w:rPr>
            </w:pPr>
            <w:r>
              <w:rPr>
                <w:rFonts w:ascii="Arial" w:hAnsi="Arial" w:cs="Arial"/>
                <w:sz w:val="22"/>
                <w:szCs w:val="22"/>
              </w:rPr>
              <w:t xml:space="preserve">RAFAEL ALBERTO BLANCO ALVIAR, YOLANDA BOTERO CAMPUZANO y ALLIANZ SEGUROS S.A. </w:t>
            </w:r>
          </w:p>
        </w:tc>
      </w:tr>
      <w:tr w:rsidR="005B00B8" w14:paraId="2B331E61" w14:textId="77777777" w:rsidTr="00D22EFB">
        <w:tblPrEx>
          <w:tblCellMar>
            <w:top w:w="0" w:type="dxa"/>
            <w:bottom w:w="0" w:type="dxa"/>
          </w:tblCellMar>
        </w:tblPrEx>
        <w:trPr>
          <w:trHeight w:val="103"/>
        </w:trPr>
        <w:tc>
          <w:tcPr>
            <w:tcW w:w="2759" w:type="dxa"/>
            <w:tcBorders>
              <w:top w:val="none" w:sz="6" w:space="0" w:color="auto"/>
              <w:bottom w:val="none" w:sz="6" w:space="0" w:color="auto"/>
              <w:right w:val="none" w:sz="6" w:space="0" w:color="auto"/>
            </w:tcBorders>
          </w:tcPr>
          <w:p w14:paraId="0D5636BB" w14:textId="77777777" w:rsidR="005B00B8" w:rsidRDefault="005B00B8">
            <w:pPr>
              <w:pStyle w:val="Default"/>
              <w:rPr>
                <w:rFonts w:ascii="Arial" w:hAnsi="Arial" w:cs="Arial"/>
                <w:sz w:val="22"/>
                <w:szCs w:val="22"/>
              </w:rPr>
            </w:pPr>
            <w:r>
              <w:rPr>
                <w:rFonts w:ascii="Arial" w:hAnsi="Arial" w:cs="Arial"/>
                <w:sz w:val="22"/>
                <w:szCs w:val="22"/>
              </w:rPr>
              <w:t xml:space="preserve">CLASE DE PROCESO </w:t>
            </w:r>
          </w:p>
        </w:tc>
        <w:tc>
          <w:tcPr>
            <w:tcW w:w="468" w:type="dxa"/>
            <w:tcBorders>
              <w:top w:val="none" w:sz="6" w:space="0" w:color="auto"/>
              <w:left w:val="none" w:sz="6" w:space="0" w:color="auto"/>
              <w:bottom w:val="none" w:sz="6" w:space="0" w:color="auto"/>
              <w:right w:val="none" w:sz="6" w:space="0" w:color="auto"/>
            </w:tcBorders>
          </w:tcPr>
          <w:p w14:paraId="3F7E5550" w14:textId="77777777" w:rsidR="005B00B8" w:rsidRDefault="005B00B8">
            <w:pPr>
              <w:pStyle w:val="Default"/>
              <w:rPr>
                <w:rFonts w:ascii="Arial" w:hAnsi="Arial" w:cs="Arial"/>
                <w:sz w:val="22"/>
                <w:szCs w:val="22"/>
              </w:rPr>
            </w:pPr>
            <w:r>
              <w:rPr>
                <w:rFonts w:ascii="Arial" w:hAnsi="Arial" w:cs="Arial"/>
                <w:sz w:val="22"/>
                <w:szCs w:val="22"/>
              </w:rPr>
              <w:t xml:space="preserve">: </w:t>
            </w:r>
          </w:p>
        </w:tc>
        <w:tc>
          <w:tcPr>
            <w:tcW w:w="5050" w:type="dxa"/>
            <w:tcBorders>
              <w:top w:val="none" w:sz="6" w:space="0" w:color="auto"/>
              <w:left w:val="none" w:sz="6" w:space="0" w:color="auto"/>
              <w:bottom w:val="none" w:sz="6" w:space="0" w:color="auto"/>
            </w:tcBorders>
          </w:tcPr>
          <w:p w14:paraId="6C9BAC6F" w14:textId="77777777" w:rsidR="005B00B8" w:rsidRDefault="005B00B8">
            <w:pPr>
              <w:pStyle w:val="Default"/>
              <w:rPr>
                <w:rFonts w:ascii="Arial" w:hAnsi="Arial" w:cs="Arial"/>
                <w:sz w:val="22"/>
                <w:szCs w:val="22"/>
              </w:rPr>
            </w:pPr>
            <w:r>
              <w:rPr>
                <w:rFonts w:ascii="Arial" w:hAnsi="Arial" w:cs="Arial"/>
                <w:sz w:val="22"/>
                <w:szCs w:val="22"/>
              </w:rPr>
              <w:t xml:space="preserve">RESPONSABILIDAD CIVIL </w:t>
            </w:r>
          </w:p>
        </w:tc>
      </w:tr>
      <w:tr w:rsidR="005B00B8" w14:paraId="28C32D61" w14:textId="77777777" w:rsidTr="00D22EFB">
        <w:tblPrEx>
          <w:tblCellMar>
            <w:top w:w="0" w:type="dxa"/>
            <w:bottom w:w="0" w:type="dxa"/>
          </w:tblCellMar>
        </w:tblPrEx>
        <w:trPr>
          <w:trHeight w:val="103"/>
        </w:trPr>
        <w:tc>
          <w:tcPr>
            <w:tcW w:w="2759" w:type="dxa"/>
            <w:tcBorders>
              <w:top w:val="none" w:sz="6" w:space="0" w:color="auto"/>
              <w:bottom w:val="none" w:sz="6" w:space="0" w:color="auto"/>
              <w:right w:val="none" w:sz="6" w:space="0" w:color="auto"/>
            </w:tcBorders>
          </w:tcPr>
          <w:p w14:paraId="6321330C" w14:textId="77777777" w:rsidR="005B00B8" w:rsidRDefault="005B00B8">
            <w:pPr>
              <w:pStyle w:val="Default"/>
              <w:rPr>
                <w:rFonts w:ascii="Arial" w:hAnsi="Arial" w:cs="Arial"/>
                <w:sz w:val="22"/>
                <w:szCs w:val="22"/>
              </w:rPr>
            </w:pPr>
            <w:r>
              <w:rPr>
                <w:rFonts w:ascii="Arial" w:hAnsi="Arial" w:cs="Arial"/>
                <w:sz w:val="22"/>
                <w:szCs w:val="22"/>
              </w:rPr>
              <w:t xml:space="preserve">MOTIVO DE ALZADA </w:t>
            </w:r>
          </w:p>
        </w:tc>
        <w:tc>
          <w:tcPr>
            <w:tcW w:w="468" w:type="dxa"/>
            <w:tcBorders>
              <w:top w:val="none" w:sz="6" w:space="0" w:color="auto"/>
              <w:left w:val="none" w:sz="6" w:space="0" w:color="auto"/>
              <w:bottom w:val="none" w:sz="6" w:space="0" w:color="auto"/>
              <w:right w:val="none" w:sz="6" w:space="0" w:color="auto"/>
            </w:tcBorders>
          </w:tcPr>
          <w:p w14:paraId="0BB03BF6" w14:textId="77777777" w:rsidR="005B00B8" w:rsidRDefault="005B00B8">
            <w:pPr>
              <w:pStyle w:val="Default"/>
              <w:rPr>
                <w:rFonts w:ascii="Arial" w:hAnsi="Arial" w:cs="Arial"/>
                <w:sz w:val="22"/>
                <w:szCs w:val="22"/>
              </w:rPr>
            </w:pPr>
            <w:r>
              <w:rPr>
                <w:rFonts w:ascii="Arial" w:hAnsi="Arial" w:cs="Arial"/>
                <w:sz w:val="22"/>
                <w:szCs w:val="22"/>
              </w:rPr>
              <w:t xml:space="preserve">: </w:t>
            </w:r>
          </w:p>
        </w:tc>
        <w:tc>
          <w:tcPr>
            <w:tcW w:w="5050" w:type="dxa"/>
            <w:tcBorders>
              <w:top w:val="none" w:sz="6" w:space="0" w:color="auto"/>
              <w:left w:val="none" w:sz="6" w:space="0" w:color="auto"/>
              <w:bottom w:val="none" w:sz="6" w:space="0" w:color="auto"/>
            </w:tcBorders>
          </w:tcPr>
          <w:p w14:paraId="02F915BA" w14:textId="77777777" w:rsidR="005B00B8" w:rsidRDefault="005B00B8">
            <w:pPr>
              <w:pStyle w:val="Default"/>
              <w:rPr>
                <w:rFonts w:ascii="Arial" w:hAnsi="Arial" w:cs="Arial"/>
                <w:sz w:val="22"/>
                <w:szCs w:val="22"/>
              </w:rPr>
            </w:pPr>
            <w:r>
              <w:rPr>
                <w:rFonts w:ascii="Arial" w:hAnsi="Arial" w:cs="Arial"/>
                <w:sz w:val="22"/>
                <w:szCs w:val="22"/>
              </w:rPr>
              <w:t xml:space="preserve">APELACIÓN SENTENCIA </w:t>
            </w:r>
          </w:p>
        </w:tc>
      </w:tr>
    </w:tbl>
    <w:p w14:paraId="2386A156" w14:textId="77777777" w:rsidR="00D22EFB" w:rsidRDefault="00D22EFB" w:rsidP="00D22EFB">
      <w:pPr>
        <w:autoSpaceDE w:val="0"/>
        <w:autoSpaceDN w:val="0"/>
        <w:adjustRightInd w:val="0"/>
        <w:spacing w:after="0" w:line="240" w:lineRule="auto"/>
        <w:jc w:val="both"/>
        <w:rPr>
          <w:rFonts w:ascii="Arial" w:hAnsi="Arial" w:cs="Arial"/>
          <w:color w:val="000000"/>
          <w:kern w:val="0"/>
          <w:sz w:val="23"/>
          <w:szCs w:val="23"/>
          <w:lang w:val="es-CO"/>
        </w:rPr>
      </w:pPr>
    </w:p>
    <w:p w14:paraId="3FA60D74" w14:textId="258CBEF6" w:rsidR="00A47BEA" w:rsidRPr="00A47BEA" w:rsidRDefault="00A47BEA" w:rsidP="00D22EFB">
      <w:pPr>
        <w:autoSpaceDE w:val="0"/>
        <w:autoSpaceDN w:val="0"/>
        <w:adjustRightInd w:val="0"/>
        <w:spacing w:after="0" w:line="240" w:lineRule="auto"/>
        <w:jc w:val="both"/>
        <w:rPr>
          <w:rFonts w:ascii="Arial" w:hAnsi="Arial" w:cs="Arial"/>
          <w:color w:val="000000"/>
          <w:kern w:val="0"/>
          <w:sz w:val="23"/>
          <w:szCs w:val="23"/>
          <w:lang w:val="es-CO"/>
        </w:rPr>
      </w:pPr>
      <w:r w:rsidRPr="00A47BEA">
        <w:rPr>
          <w:rFonts w:ascii="Arial" w:hAnsi="Arial" w:cs="Arial"/>
          <w:color w:val="000000"/>
          <w:kern w:val="0"/>
          <w:sz w:val="23"/>
          <w:szCs w:val="23"/>
          <w:lang w:val="es-CO"/>
        </w:rPr>
        <w:t xml:space="preserve">Se ADMITEN en el efecto suspensivo los recursos de apelación interpuestos por: </w:t>
      </w:r>
      <w:r w:rsidRPr="00A47BEA">
        <w:rPr>
          <w:rFonts w:ascii="Arial" w:hAnsi="Arial" w:cs="Arial"/>
          <w:b/>
          <w:bCs/>
          <w:color w:val="000000"/>
          <w:kern w:val="0"/>
          <w:sz w:val="23"/>
          <w:szCs w:val="23"/>
          <w:lang w:val="es-CO"/>
        </w:rPr>
        <w:t xml:space="preserve">1) </w:t>
      </w:r>
      <w:r w:rsidRPr="00A47BEA">
        <w:rPr>
          <w:rFonts w:ascii="Arial" w:hAnsi="Arial" w:cs="Arial"/>
          <w:color w:val="000000"/>
          <w:kern w:val="0"/>
          <w:sz w:val="23"/>
          <w:szCs w:val="23"/>
          <w:lang w:val="es-CO"/>
        </w:rPr>
        <w:t xml:space="preserve">los demandantes; </w:t>
      </w:r>
      <w:r w:rsidRPr="00A47BEA">
        <w:rPr>
          <w:rFonts w:ascii="Arial" w:hAnsi="Arial" w:cs="Arial"/>
          <w:b/>
          <w:bCs/>
          <w:color w:val="000000"/>
          <w:kern w:val="0"/>
          <w:sz w:val="23"/>
          <w:szCs w:val="23"/>
          <w:lang w:val="es-CO"/>
        </w:rPr>
        <w:t xml:space="preserve">2) </w:t>
      </w:r>
      <w:r w:rsidRPr="00A47BEA">
        <w:rPr>
          <w:rFonts w:ascii="Arial" w:hAnsi="Arial" w:cs="Arial"/>
          <w:color w:val="000000"/>
          <w:kern w:val="0"/>
          <w:sz w:val="23"/>
          <w:szCs w:val="23"/>
          <w:lang w:val="es-CO"/>
        </w:rPr>
        <w:t xml:space="preserve">los demandados Rafael Alberto Blanco </w:t>
      </w:r>
      <w:proofErr w:type="spellStart"/>
      <w:r w:rsidRPr="00A47BEA">
        <w:rPr>
          <w:rFonts w:ascii="Arial" w:hAnsi="Arial" w:cs="Arial"/>
          <w:color w:val="000000"/>
          <w:kern w:val="0"/>
          <w:sz w:val="23"/>
          <w:szCs w:val="23"/>
          <w:lang w:val="es-CO"/>
        </w:rPr>
        <w:t>Alviar</w:t>
      </w:r>
      <w:proofErr w:type="spellEnd"/>
      <w:r w:rsidRPr="00A47BEA">
        <w:rPr>
          <w:rFonts w:ascii="Arial" w:hAnsi="Arial" w:cs="Arial"/>
          <w:color w:val="000000"/>
          <w:kern w:val="0"/>
          <w:sz w:val="23"/>
          <w:szCs w:val="23"/>
          <w:lang w:val="es-CO"/>
        </w:rPr>
        <w:t xml:space="preserve"> y Yolanda Botero Campuzano; y </w:t>
      </w:r>
      <w:r w:rsidRPr="00A47BEA">
        <w:rPr>
          <w:rFonts w:ascii="Arial" w:hAnsi="Arial" w:cs="Arial"/>
          <w:b/>
          <w:bCs/>
          <w:color w:val="000000"/>
          <w:kern w:val="0"/>
          <w:sz w:val="23"/>
          <w:szCs w:val="23"/>
          <w:lang w:val="es-CO"/>
        </w:rPr>
        <w:t xml:space="preserve">3) </w:t>
      </w:r>
      <w:r w:rsidRPr="00A47BEA">
        <w:rPr>
          <w:rFonts w:ascii="Arial" w:hAnsi="Arial" w:cs="Arial"/>
          <w:color w:val="000000"/>
          <w:kern w:val="0"/>
          <w:sz w:val="23"/>
          <w:szCs w:val="23"/>
          <w:lang w:val="es-CO"/>
        </w:rPr>
        <w:t xml:space="preserve">la convocada y llamada en garantía Allianz Seguros S.A., contra la sentencia que profirió el 28 de febrero de 2024, el Juzgado 33 Civil del Circuito de Bogotá, dentro del proceso de la referencia. </w:t>
      </w:r>
    </w:p>
    <w:p w14:paraId="70022FB5" w14:textId="77777777" w:rsidR="00A47BEA" w:rsidRDefault="00A47BEA" w:rsidP="00D22EFB">
      <w:pPr>
        <w:autoSpaceDE w:val="0"/>
        <w:autoSpaceDN w:val="0"/>
        <w:adjustRightInd w:val="0"/>
        <w:spacing w:after="0" w:line="240" w:lineRule="auto"/>
        <w:jc w:val="both"/>
        <w:rPr>
          <w:rFonts w:ascii="Arial" w:hAnsi="Arial" w:cs="Arial"/>
          <w:color w:val="000000"/>
          <w:kern w:val="0"/>
          <w:sz w:val="23"/>
          <w:szCs w:val="23"/>
          <w:lang w:val="es-CO"/>
        </w:rPr>
      </w:pPr>
    </w:p>
    <w:p w14:paraId="605EF0B5" w14:textId="2D7B5896" w:rsidR="00A47BEA" w:rsidRPr="00A47BEA" w:rsidRDefault="00A47BEA" w:rsidP="00D22EFB">
      <w:pPr>
        <w:autoSpaceDE w:val="0"/>
        <w:autoSpaceDN w:val="0"/>
        <w:adjustRightInd w:val="0"/>
        <w:spacing w:after="0" w:line="240" w:lineRule="auto"/>
        <w:jc w:val="both"/>
        <w:rPr>
          <w:rFonts w:ascii="Arial" w:hAnsi="Arial" w:cs="Arial"/>
          <w:color w:val="000000"/>
          <w:kern w:val="0"/>
          <w:sz w:val="23"/>
          <w:szCs w:val="23"/>
          <w:lang w:val="es-CO"/>
        </w:rPr>
      </w:pPr>
      <w:r w:rsidRPr="00A47BEA">
        <w:rPr>
          <w:rFonts w:ascii="Arial" w:hAnsi="Arial" w:cs="Arial"/>
          <w:color w:val="000000"/>
          <w:kern w:val="0"/>
          <w:sz w:val="23"/>
          <w:szCs w:val="23"/>
          <w:lang w:val="es-CO"/>
        </w:rPr>
        <w:t>Una vez ejecutoriada esta providencia, la secretaría contabilizará cinco (5) días que los apelantes tienen para sustentar sus recursos, pues si no lo hacen, se les declararán desiertos</w:t>
      </w:r>
      <w:r w:rsidRPr="00A47BEA">
        <w:rPr>
          <w:rFonts w:ascii="Arial" w:hAnsi="Arial" w:cs="Arial"/>
          <w:color w:val="000000"/>
          <w:kern w:val="0"/>
          <w:sz w:val="13"/>
          <w:szCs w:val="13"/>
          <w:lang w:val="es-CO"/>
        </w:rPr>
        <w:t>1</w:t>
      </w:r>
      <w:r w:rsidRPr="00A47BEA">
        <w:rPr>
          <w:rFonts w:ascii="Arial" w:hAnsi="Arial" w:cs="Arial"/>
          <w:color w:val="000000"/>
          <w:kern w:val="0"/>
          <w:sz w:val="23"/>
          <w:szCs w:val="23"/>
          <w:lang w:val="es-CO"/>
        </w:rPr>
        <w:t xml:space="preserve">; de los escritos de sustentación que los recurrentes presenten se trasladarán a la parte contraria en la forma y términos previstos por el artículo 12, en concordancia con el 9, de la Ley 2213 de 2022. </w:t>
      </w:r>
    </w:p>
    <w:p w14:paraId="09563A62" w14:textId="77777777" w:rsidR="00A47BEA" w:rsidRDefault="00A47BEA" w:rsidP="00D22EFB">
      <w:pPr>
        <w:autoSpaceDE w:val="0"/>
        <w:autoSpaceDN w:val="0"/>
        <w:adjustRightInd w:val="0"/>
        <w:spacing w:after="0" w:line="240" w:lineRule="auto"/>
        <w:jc w:val="both"/>
        <w:rPr>
          <w:rFonts w:ascii="Arial" w:hAnsi="Arial" w:cs="Arial"/>
          <w:color w:val="000000"/>
          <w:kern w:val="0"/>
          <w:sz w:val="23"/>
          <w:szCs w:val="23"/>
          <w:lang w:val="es-CO"/>
        </w:rPr>
      </w:pPr>
    </w:p>
    <w:p w14:paraId="3BD7A12E" w14:textId="1EED1BF5" w:rsidR="00A47BEA" w:rsidRPr="00A47BEA" w:rsidRDefault="00A47BEA" w:rsidP="00D22EFB">
      <w:pPr>
        <w:autoSpaceDE w:val="0"/>
        <w:autoSpaceDN w:val="0"/>
        <w:adjustRightInd w:val="0"/>
        <w:spacing w:after="0" w:line="240" w:lineRule="auto"/>
        <w:jc w:val="both"/>
        <w:rPr>
          <w:rFonts w:ascii="Arial" w:hAnsi="Arial" w:cs="Arial"/>
          <w:color w:val="000000"/>
          <w:kern w:val="0"/>
          <w:sz w:val="23"/>
          <w:szCs w:val="23"/>
          <w:lang w:val="es-CO"/>
        </w:rPr>
      </w:pPr>
      <w:r w:rsidRPr="00A47BEA">
        <w:rPr>
          <w:rFonts w:ascii="Arial" w:hAnsi="Arial" w:cs="Arial"/>
          <w:color w:val="000000"/>
          <w:kern w:val="0"/>
          <w:sz w:val="23"/>
          <w:szCs w:val="23"/>
          <w:lang w:val="es-CO"/>
        </w:rPr>
        <w:t xml:space="preserve">Las sustentaciones, como sus réplicas, se remitirán al correo electrónico </w:t>
      </w:r>
      <w:proofErr w:type="gramStart"/>
      <w:r w:rsidRPr="00A47BEA">
        <w:rPr>
          <w:rFonts w:ascii="Arial" w:hAnsi="Arial" w:cs="Arial"/>
          <w:color w:val="0462C1"/>
          <w:kern w:val="0"/>
          <w:sz w:val="23"/>
          <w:szCs w:val="23"/>
          <w:lang w:val="es-CO"/>
        </w:rPr>
        <w:t xml:space="preserve">secsctribsupbta2@cendoj.ramajudicial.gov.co </w:t>
      </w:r>
      <w:r w:rsidRPr="00A47BEA">
        <w:rPr>
          <w:rFonts w:ascii="Arial" w:hAnsi="Arial" w:cs="Arial"/>
          <w:color w:val="000000"/>
          <w:kern w:val="0"/>
          <w:sz w:val="23"/>
          <w:szCs w:val="23"/>
          <w:lang w:val="es-CO"/>
        </w:rPr>
        <w:t>.</w:t>
      </w:r>
      <w:proofErr w:type="gramEnd"/>
      <w:r w:rsidRPr="00A47BEA">
        <w:rPr>
          <w:rFonts w:ascii="Arial" w:hAnsi="Arial" w:cs="Arial"/>
          <w:color w:val="000000"/>
          <w:kern w:val="0"/>
          <w:sz w:val="23"/>
          <w:szCs w:val="23"/>
          <w:lang w:val="es-CO"/>
        </w:rPr>
        <w:t xml:space="preserve"> Cada parte, si es del caso, acreditará el envío del escrito a su contraparte para los efectos del artículo 3 y el parágrafo del artículo 9 de la Ley mencionada, lo cual deberá ser tenido en cuenta por la Secretaría. </w:t>
      </w:r>
    </w:p>
    <w:p w14:paraId="0FB3E40A" w14:textId="77777777" w:rsidR="00D22EFB" w:rsidRDefault="00D22EFB" w:rsidP="00D22EFB">
      <w:pPr>
        <w:jc w:val="both"/>
        <w:rPr>
          <w:rFonts w:ascii="Arial" w:hAnsi="Arial" w:cs="Arial"/>
          <w:b/>
          <w:bCs/>
          <w:color w:val="000000"/>
          <w:kern w:val="0"/>
          <w:sz w:val="23"/>
          <w:szCs w:val="23"/>
          <w:lang w:val="es-CO"/>
        </w:rPr>
      </w:pPr>
    </w:p>
    <w:p w14:paraId="587F6ABE" w14:textId="729D1823" w:rsidR="00170978" w:rsidRDefault="00A47BEA" w:rsidP="00D22EFB">
      <w:pPr>
        <w:jc w:val="both"/>
        <w:rPr>
          <w:rFonts w:ascii="Arial" w:hAnsi="Arial" w:cs="Arial"/>
          <w:b/>
          <w:bCs/>
          <w:color w:val="000000"/>
          <w:kern w:val="0"/>
          <w:sz w:val="23"/>
          <w:szCs w:val="23"/>
          <w:lang w:val="es-CO"/>
        </w:rPr>
      </w:pPr>
      <w:r w:rsidRPr="00A47BEA">
        <w:rPr>
          <w:rFonts w:ascii="Arial" w:hAnsi="Arial" w:cs="Arial"/>
          <w:b/>
          <w:bCs/>
          <w:color w:val="000000"/>
          <w:kern w:val="0"/>
          <w:sz w:val="23"/>
          <w:szCs w:val="23"/>
          <w:lang w:val="es-CO"/>
        </w:rPr>
        <w:t>Notifíquese,</w:t>
      </w:r>
    </w:p>
    <w:p w14:paraId="4A748DCF" w14:textId="77777777" w:rsidR="00D22EFB" w:rsidRDefault="00D22EFB" w:rsidP="00D22EFB">
      <w:pPr>
        <w:jc w:val="both"/>
        <w:rPr>
          <w:rFonts w:ascii="Arial" w:hAnsi="Arial" w:cs="Arial"/>
          <w:b/>
          <w:bCs/>
          <w:color w:val="000000"/>
          <w:kern w:val="0"/>
          <w:sz w:val="23"/>
          <w:szCs w:val="23"/>
          <w:lang w:val="es-CO"/>
        </w:rPr>
      </w:pPr>
    </w:p>
    <w:p w14:paraId="57890D7B" w14:textId="7C06A249" w:rsidR="00D22EFB" w:rsidRDefault="00D22EFB" w:rsidP="00D22EFB">
      <w:pPr>
        <w:jc w:val="both"/>
      </w:pPr>
      <w:r w:rsidRPr="00D22EFB">
        <w:rPr>
          <w:noProof/>
        </w:rPr>
        <w:drawing>
          <wp:inline distT="0" distB="0" distL="0" distR="0" wp14:anchorId="28F5837A" wp14:editId="4F4DF040">
            <wp:extent cx="3609975" cy="1181100"/>
            <wp:effectExtent l="0" t="0" r="9525" b="0"/>
            <wp:docPr id="12978995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09975" cy="1181100"/>
                    </a:xfrm>
                    <a:prstGeom prst="rect">
                      <a:avLst/>
                    </a:prstGeom>
                    <a:noFill/>
                    <a:ln>
                      <a:noFill/>
                    </a:ln>
                  </pic:spPr>
                </pic:pic>
              </a:graphicData>
            </a:graphic>
          </wp:inline>
        </w:drawing>
      </w:r>
    </w:p>
    <w:p w14:paraId="63BD7DAC" w14:textId="77777777" w:rsidR="00D22EFB" w:rsidRPr="00A47BEA" w:rsidRDefault="00D22EFB" w:rsidP="00D22EFB">
      <w:pPr>
        <w:autoSpaceDE w:val="0"/>
        <w:autoSpaceDN w:val="0"/>
        <w:adjustRightInd w:val="0"/>
        <w:spacing w:after="0" w:line="240" w:lineRule="auto"/>
        <w:jc w:val="both"/>
        <w:rPr>
          <w:rFonts w:ascii="Arial" w:hAnsi="Arial" w:cs="Arial"/>
          <w:color w:val="000000"/>
          <w:kern w:val="0"/>
          <w:sz w:val="23"/>
          <w:szCs w:val="23"/>
          <w:lang w:val="es-CO"/>
        </w:rPr>
      </w:pPr>
      <w:r w:rsidRPr="00A47BEA">
        <w:rPr>
          <w:rFonts w:ascii="Times New Roman" w:hAnsi="Times New Roman" w:cs="Times New Roman"/>
          <w:color w:val="000000"/>
          <w:kern w:val="0"/>
          <w:sz w:val="13"/>
          <w:szCs w:val="13"/>
          <w:lang w:val="es-CO"/>
        </w:rPr>
        <w:lastRenderedPageBreak/>
        <w:t xml:space="preserve">1 </w:t>
      </w:r>
      <w:proofErr w:type="gramStart"/>
      <w:r w:rsidRPr="00A47BEA">
        <w:rPr>
          <w:rFonts w:ascii="Times New Roman" w:hAnsi="Times New Roman" w:cs="Times New Roman"/>
          <w:color w:val="000000"/>
          <w:kern w:val="0"/>
          <w:sz w:val="20"/>
          <w:szCs w:val="20"/>
          <w:lang w:val="es-CO"/>
        </w:rPr>
        <w:t>Conforme</w:t>
      </w:r>
      <w:proofErr w:type="gramEnd"/>
      <w:r w:rsidRPr="00A47BEA">
        <w:rPr>
          <w:rFonts w:ascii="Times New Roman" w:hAnsi="Times New Roman" w:cs="Times New Roman"/>
          <w:color w:val="000000"/>
          <w:kern w:val="0"/>
          <w:sz w:val="20"/>
          <w:szCs w:val="20"/>
          <w:lang w:val="es-CO"/>
        </w:rPr>
        <w:t xml:space="preserve"> los precedentes de la Sala Laboral de la Corte Suprema de Justicia en sentencia del 13 de diciembre de 2023 -CSJ STL 17288-2023, donde recapitula otras anteriores, ente ellas las sentencias STL 2791-2021, STL-8304- 2021, y STL7317-2021. </w:t>
      </w:r>
    </w:p>
    <w:p w14:paraId="6EDF0492" w14:textId="77777777" w:rsidR="00D22EFB" w:rsidRDefault="00D22EFB" w:rsidP="00D22EFB">
      <w:pPr>
        <w:jc w:val="both"/>
      </w:pPr>
    </w:p>
    <w:p w14:paraId="4F64A93E" w14:textId="77777777" w:rsidR="00D22EFB" w:rsidRDefault="00D22EFB" w:rsidP="00D22EFB">
      <w:pPr>
        <w:jc w:val="both"/>
      </w:pPr>
    </w:p>
    <w:sectPr w:rsidR="00D22E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0B8"/>
    <w:rsid w:val="00170978"/>
    <w:rsid w:val="004305CA"/>
    <w:rsid w:val="005B00B8"/>
    <w:rsid w:val="00737460"/>
    <w:rsid w:val="00A47BEA"/>
    <w:rsid w:val="00B9243D"/>
    <w:rsid w:val="00D22EFB"/>
    <w:rsid w:val="00D51AEB"/>
    <w:rsid w:val="00DA03DC"/>
    <w:rsid w:val="00E8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C423"/>
  <w15:chartTrackingRefBased/>
  <w15:docId w15:val="{64A41E89-589B-4364-80AC-12281502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EF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B00B8"/>
    <w:pPr>
      <w:autoSpaceDE w:val="0"/>
      <w:autoSpaceDN w:val="0"/>
      <w:adjustRightInd w:val="0"/>
      <w:spacing w:after="0" w:line="240" w:lineRule="auto"/>
    </w:pPr>
    <w:rPr>
      <w:rFonts w:ascii="Verdana" w:hAnsi="Verdana" w:cs="Verdana"/>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286</Words>
  <Characters>1579</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7</cp:revision>
  <dcterms:created xsi:type="dcterms:W3CDTF">2024-03-22T23:02:00Z</dcterms:created>
  <dcterms:modified xsi:type="dcterms:W3CDTF">2024-03-22T23:23:00Z</dcterms:modified>
</cp:coreProperties>
</file>