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F713" w14:textId="77777777" w:rsidR="00FF3B8B" w:rsidRPr="005C22FB" w:rsidRDefault="00C061A2">
      <w:pPr>
        <w:widowControl w:val="0"/>
        <w:autoSpaceDE w:val="0"/>
        <w:autoSpaceDN w:val="0"/>
        <w:adjustRightInd w:val="0"/>
        <w:spacing w:after="0" w:line="240" w:lineRule="auto"/>
        <w:rPr>
          <w:rFonts w:ascii="Times New Roman" w:hAnsi="Times New Roman" w:cs="Times New Roman"/>
          <w:sz w:val="28"/>
          <w:szCs w:val="28"/>
        </w:rPr>
      </w:pPr>
      <w:r w:rsidRPr="005C22FB">
        <w:rPr>
          <w:rFonts w:ascii="Times New Roman" w:hAnsi="Times New Roman" w:cs="Times New Roman"/>
          <w:sz w:val="28"/>
          <w:szCs w:val="24"/>
        </w:rPr>
        <w:t xml:space="preserve"> </w:t>
      </w:r>
    </w:p>
    <w:p w14:paraId="42644D99" w14:textId="77777777" w:rsidR="00FF3B8B" w:rsidRPr="005C22FB" w:rsidRDefault="00FF3B8B">
      <w:pPr>
        <w:widowControl w:val="0"/>
        <w:autoSpaceDE w:val="0"/>
        <w:autoSpaceDN w:val="0"/>
        <w:adjustRightInd w:val="0"/>
        <w:spacing w:after="0" w:line="240" w:lineRule="auto"/>
        <w:rPr>
          <w:rFonts w:ascii="Times New Roman" w:hAnsi="Times New Roman" w:cs="Times New Roman"/>
          <w:sz w:val="28"/>
          <w:szCs w:val="28"/>
        </w:rPr>
      </w:pPr>
    </w:p>
    <w:p w14:paraId="1D01BB2E" w14:textId="77777777" w:rsidR="00FF3B8B" w:rsidRPr="005C22FB" w:rsidRDefault="00C061A2">
      <w:pPr>
        <w:widowControl w:val="0"/>
        <w:autoSpaceDE w:val="0"/>
        <w:autoSpaceDN w:val="0"/>
        <w:adjustRightInd w:val="0"/>
        <w:spacing w:after="0" w:line="240" w:lineRule="auto"/>
        <w:jc w:val="center"/>
        <w:rPr>
          <w:rFonts w:ascii="Times New Roman" w:hAnsi="Times New Roman" w:cs="Times New Roman"/>
          <w:b/>
          <w:bCs/>
          <w:sz w:val="28"/>
          <w:szCs w:val="28"/>
        </w:rPr>
      </w:pPr>
      <w:r w:rsidRPr="005C22FB">
        <w:rPr>
          <w:rFonts w:ascii="Times New Roman" w:hAnsi="Times New Roman" w:cs="Times New Roman"/>
          <w:b/>
          <w:bCs/>
          <w:sz w:val="28"/>
          <w:szCs w:val="28"/>
        </w:rPr>
        <w:t xml:space="preserve">TEMAS-SUBTEMAS </w:t>
      </w:r>
    </w:p>
    <w:p w14:paraId="667689F5" w14:textId="77777777" w:rsidR="00FF3B8B" w:rsidRPr="005C22FB" w:rsidRDefault="00FF3B8B">
      <w:pPr>
        <w:widowControl w:val="0"/>
        <w:autoSpaceDE w:val="0"/>
        <w:autoSpaceDN w:val="0"/>
        <w:adjustRightInd w:val="0"/>
        <w:spacing w:after="0" w:line="240" w:lineRule="auto"/>
        <w:jc w:val="center"/>
        <w:rPr>
          <w:rFonts w:ascii="Times New Roman" w:hAnsi="Times New Roman" w:cs="Times New Roman"/>
          <w:b/>
          <w:bCs/>
          <w:sz w:val="28"/>
          <w:szCs w:val="28"/>
        </w:rPr>
      </w:pPr>
    </w:p>
    <w:p w14:paraId="6C976952" w14:textId="77777777" w:rsidR="00FF3B8B" w:rsidRPr="005C22FB" w:rsidRDefault="00C061A2">
      <w:pPr>
        <w:widowControl w:val="0"/>
        <w:autoSpaceDE w:val="0"/>
        <w:autoSpaceDN w:val="0"/>
        <w:adjustRightInd w:val="0"/>
        <w:spacing w:after="0" w:line="240" w:lineRule="auto"/>
        <w:jc w:val="center"/>
        <w:rPr>
          <w:rFonts w:ascii="Times New Roman" w:hAnsi="Times New Roman" w:cs="Times New Roman"/>
          <w:sz w:val="28"/>
          <w:szCs w:val="28"/>
        </w:rPr>
      </w:pPr>
      <w:r w:rsidRPr="005C22FB">
        <w:rPr>
          <w:rFonts w:ascii="Times New Roman" w:hAnsi="Times New Roman" w:cs="Times New Roman"/>
          <w:b/>
          <w:bCs/>
          <w:sz w:val="28"/>
          <w:szCs w:val="28"/>
        </w:rPr>
        <w:t xml:space="preserve">Auto A-154/24 </w:t>
      </w:r>
    </w:p>
    <w:p w14:paraId="07B06F85" w14:textId="77777777" w:rsidR="00FF3B8B" w:rsidRPr="005C22FB" w:rsidRDefault="00FF3B8B">
      <w:pPr>
        <w:widowControl w:val="0"/>
        <w:autoSpaceDE w:val="0"/>
        <w:autoSpaceDN w:val="0"/>
        <w:adjustRightInd w:val="0"/>
        <w:spacing w:after="0" w:line="240" w:lineRule="auto"/>
        <w:jc w:val="both"/>
        <w:rPr>
          <w:rFonts w:ascii="Times New Roman" w:hAnsi="Times New Roman" w:cs="Times New Roman"/>
          <w:sz w:val="28"/>
          <w:szCs w:val="28"/>
        </w:rPr>
      </w:pPr>
    </w:p>
    <w:p w14:paraId="16B2F731" w14:textId="77777777" w:rsidR="00FF3B8B" w:rsidRPr="005C22FB" w:rsidRDefault="00C061A2">
      <w:pPr>
        <w:widowControl w:val="0"/>
        <w:autoSpaceDE w:val="0"/>
        <w:autoSpaceDN w:val="0"/>
        <w:adjustRightInd w:val="0"/>
        <w:spacing w:after="0" w:line="240" w:lineRule="auto"/>
        <w:jc w:val="both"/>
        <w:rPr>
          <w:rFonts w:ascii="Times New Roman" w:hAnsi="Times New Roman" w:cs="Times New Roman"/>
          <w:sz w:val="28"/>
          <w:szCs w:val="28"/>
        </w:rPr>
      </w:pPr>
      <w:r w:rsidRPr="005C22FB">
        <w:rPr>
          <w:rFonts w:ascii="Times New Roman" w:hAnsi="Times New Roman" w:cs="Times New Roman"/>
          <w:b/>
          <w:bCs/>
          <w:sz w:val="28"/>
          <w:szCs w:val="28"/>
        </w:rPr>
        <w:t>COMPETENCIA DE LA JURISDICCIÓN CONTENCIOSO ADMINISTRATIVA</w:t>
      </w:r>
      <w:r w:rsidRPr="005C22FB">
        <w:rPr>
          <w:rFonts w:ascii="Times New Roman" w:hAnsi="Times New Roman" w:cs="Times New Roman"/>
          <w:sz w:val="28"/>
          <w:szCs w:val="28"/>
        </w:rPr>
        <w:t xml:space="preserve">-Controversias sobre recobros de prestaciones no incluidas en el plan de beneficios de salud-PBS </w:t>
      </w:r>
    </w:p>
    <w:p w14:paraId="6AC1DD47" w14:textId="77777777" w:rsidR="00FF3B8B" w:rsidRPr="005C22FB" w:rsidRDefault="00FF3B8B">
      <w:pPr>
        <w:widowControl w:val="0"/>
        <w:autoSpaceDE w:val="0"/>
        <w:autoSpaceDN w:val="0"/>
        <w:adjustRightInd w:val="0"/>
        <w:spacing w:after="0" w:line="240" w:lineRule="auto"/>
        <w:jc w:val="both"/>
        <w:rPr>
          <w:rFonts w:ascii="Times New Roman" w:hAnsi="Times New Roman" w:cs="Times New Roman"/>
          <w:sz w:val="28"/>
          <w:szCs w:val="28"/>
        </w:rPr>
      </w:pPr>
    </w:p>
    <w:p w14:paraId="2A52DBC3" w14:textId="77777777" w:rsidR="00FF3B8B" w:rsidRPr="005C22FB" w:rsidRDefault="00000000">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2508835A">
          <v:rect id="_x0000_i1025" style="width:0;height:1.5pt" o:hralign="center" o:hrstd="t" o:hr="t" fillcolor="#a0a0a0" stroked="f"/>
        </w:pict>
      </w:r>
    </w:p>
    <w:p w14:paraId="47C5A20E" w14:textId="77777777" w:rsidR="00000000" w:rsidRPr="005C22FB" w:rsidRDefault="005C22FB" w:rsidP="005669B7">
      <w:pPr>
        <w:jc w:val="center"/>
        <w:outlineLvl w:val="0"/>
        <w:rPr>
          <w:rFonts w:ascii="Times New Roman" w:hAnsi="Times New Roman" w:cs="Times New Roman"/>
          <w:b/>
          <w:bCs/>
          <w:sz w:val="28"/>
          <w:szCs w:val="28"/>
        </w:rPr>
      </w:pPr>
      <w:r w:rsidRPr="005C22FB">
        <w:rPr>
          <w:rFonts w:ascii="Times New Roman" w:hAnsi="Times New Roman" w:cs="Times New Roman"/>
          <w:noProof/>
          <w:sz w:val="28"/>
          <w:szCs w:val="28"/>
        </w:rPr>
        <w:drawing>
          <wp:anchor distT="0" distB="0" distL="114300" distR="114300" simplePos="0" relativeHeight="251659264" behindDoc="1" locked="0" layoutInCell="1" allowOverlap="1" wp14:anchorId="52A3E7D7" wp14:editId="7501FC44">
            <wp:simplePos x="0" y="0"/>
            <wp:positionH relativeFrom="column">
              <wp:posOffset>2571277</wp:posOffset>
            </wp:positionH>
            <wp:positionV relativeFrom="paragraph">
              <wp:posOffset>204470</wp:posOffset>
            </wp:positionV>
            <wp:extent cx="791845" cy="791845"/>
            <wp:effectExtent l="0" t="0" r="8255" b="8255"/>
            <wp:wrapNone/>
            <wp:docPr id="1" name="Imagen 4" descr="Logotipo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anchor>
        </w:drawing>
      </w:r>
      <w:r w:rsidRPr="005C22FB">
        <w:rPr>
          <w:rFonts w:ascii="Times New Roman" w:hAnsi="Times New Roman" w:cs="Times New Roman"/>
          <w:b/>
          <w:bCs/>
          <w:sz w:val="28"/>
          <w:szCs w:val="28"/>
        </w:rPr>
        <w:t>REPÚBLICA DE COLOMBIA</w:t>
      </w:r>
    </w:p>
    <w:p w14:paraId="03E6C13D" w14:textId="77777777" w:rsidR="00000000" w:rsidRPr="005C22FB" w:rsidRDefault="00000000" w:rsidP="00440417">
      <w:pPr>
        <w:jc w:val="center"/>
        <w:outlineLvl w:val="0"/>
        <w:rPr>
          <w:rFonts w:ascii="Times New Roman" w:hAnsi="Times New Roman" w:cs="Times New Roman"/>
          <w:b/>
          <w:bCs/>
          <w:sz w:val="28"/>
          <w:szCs w:val="28"/>
        </w:rPr>
      </w:pPr>
    </w:p>
    <w:p w14:paraId="469005F2" w14:textId="77777777" w:rsidR="00000000" w:rsidRPr="005C22FB" w:rsidRDefault="00000000" w:rsidP="00440417">
      <w:pPr>
        <w:jc w:val="center"/>
        <w:outlineLvl w:val="0"/>
        <w:rPr>
          <w:rFonts w:ascii="Times New Roman" w:hAnsi="Times New Roman" w:cs="Times New Roman"/>
          <w:b/>
          <w:bCs/>
          <w:sz w:val="28"/>
          <w:szCs w:val="28"/>
        </w:rPr>
      </w:pPr>
    </w:p>
    <w:p w14:paraId="1E40E504" w14:textId="77777777" w:rsidR="00000000" w:rsidRPr="005C22FB" w:rsidRDefault="00000000" w:rsidP="00440417">
      <w:pPr>
        <w:jc w:val="center"/>
        <w:outlineLvl w:val="0"/>
        <w:rPr>
          <w:rFonts w:ascii="Times New Roman" w:hAnsi="Times New Roman" w:cs="Times New Roman"/>
          <w:b/>
          <w:bCs/>
          <w:sz w:val="28"/>
          <w:szCs w:val="28"/>
        </w:rPr>
      </w:pPr>
    </w:p>
    <w:p w14:paraId="3A9E8499" w14:textId="77777777" w:rsidR="00000000" w:rsidRPr="005C22FB" w:rsidRDefault="00000000" w:rsidP="00440417">
      <w:pPr>
        <w:jc w:val="center"/>
        <w:outlineLvl w:val="0"/>
        <w:rPr>
          <w:rFonts w:ascii="Times New Roman" w:hAnsi="Times New Roman" w:cs="Times New Roman"/>
          <w:b/>
          <w:bCs/>
          <w:sz w:val="28"/>
          <w:szCs w:val="28"/>
        </w:rPr>
      </w:pPr>
    </w:p>
    <w:p w14:paraId="6E51B99F" w14:textId="77777777" w:rsidR="00000000" w:rsidRPr="005C22FB" w:rsidRDefault="005C22FB" w:rsidP="00440417">
      <w:pPr>
        <w:jc w:val="center"/>
        <w:outlineLvl w:val="0"/>
        <w:rPr>
          <w:rFonts w:ascii="Times New Roman" w:hAnsi="Times New Roman" w:cs="Times New Roman"/>
          <w:b/>
          <w:bCs/>
          <w:sz w:val="28"/>
          <w:szCs w:val="28"/>
        </w:rPr>
      </w:pPr>
      <w:r w:rsidRPr="005C22FB">
        <w:rPr>
          <w:rFonts w:ascii="Times New Roman" w:hAnsi="Times New Roman" w:cs="Times New Roman"/>
          <w:b/>
          <w:bCs/>
          <w:sz w:val="28"/>
          <w:szCs w:val="28"/>
        </w:rPr>
        <w:t>CORTE CONSTITUCIONAL</w:t>
      </w:r>
    </w:p>
    <w:p w14:paraId="504AF302" w14:textId="77777777" w:rsidR="00000000" w:rsidRPr="005C22FB" w:rsidRDefault="005C22FB" w:rsidP="00440417">
      <w:pPr>
        <w:jc w:val="center"/>
        <w:outlineLvl w:val="0"/>
        <w:rPr>
          <w:rFonts w:ascii="Times New Roman" w:hAnsi="Times New Roman" w:cs="Times New Roman"/>
          <w:b/>
          <w:bCs/>
          <w:sz w:val="28"/>
          <w:szCs w:val="28"/>
        </w:rPr>
      </w:pPr>
      <w:r w:rsidRPr="005C22FB">
        <w:rPr>
          <w:rFonts w:ascii="Times New Roman" w:hAnsi="Times New Roman" w:cs="Times New Roman"/>
          <w:b/>
          <w:bCs/>
          <w:sz w:val="28"/>
          <w:szCs w:val="28"/>
        </w:rPr>
        <w:t>Sala Plena</w:t>
      </w:r>
    </w:p>
    <w:p w14:paraId="66598371" w14:textId="77777777" w:rsidR="00000000" w:rsidRPr="005C22FB" w:rsidRDefault="00000000" w:rsidP="00440417">
      <w:pPr>
        <w:jc w:val="center"/>
        <w:rPr>
          <w:rFonts w:ascii="Times New Roman" w:hAnsi="Times New Roman" w:cs="Times New Roman"/>
          <w:sz w:val="28"/>
          <w:szCs w:val="28"/>
        </w:rPr>
      </w:pPr>
    </w:p>
    <w:p w14:paraId="13147F96" w14:textId="77777777" w:rsidR="00000000" w:rsidRPr="005C22FB" w:rsidRDefault="005C22FB" w:rsidP="00440417">
      <w:pPr>
        <w:jc w:val="center"/>
        <w:rPr>
          <w:rFonts w:ascii="Times New Roman" w:hAnsi="Times New Roman" w:cs="Times New Roman"/>
          <w:b/>
          <w:sz w:val="28"/>
          <w:szCs w:val="28"/>
        </w:rPr>
      </w:pPr>
      <w:r w:rsidRPr="005C22FB">
        <w:rPr>
          <w:rFonts w:ascii="Times New Roman" w:hAnsi="Times New Roman" w:cs="Times New Roman"/>
          <w:b/>
          <w:sz w:val="28"/>
          <w:szCs w:val="28"/>
        </w:rPr>
        <w:t>AUTO 154 DE 2024</w:t>
      </w:r>
    </w:p>
    <w:p w14:paraId="146F68CC" w14:textId="77777777" w:rsidR="00000000" w:rsidRPr="005C22FB" w:rsidRDefault="00000000" w:rsidP="00440417">
      <w:pPr>
        <w:jc w:val="both"/>
        <w:rPr>
          <w:rFonts w:ascii="Times New Roman" w:hAnsi="Times New Roman" w:cs="Times New Roman"/>
          <w:sz w:val="28"/>
          <w:szCs w:val="28"/>
        </w:rPr>
      </w:pPr>
    </w:p>
    <w:p w14:paraId="111422A5" w14:textId="77777777" w:rsidR="00000000" w:rsidRPr="005C22FB" w:rsidRDefault="005C22FB" w:rsidP="00F1544A">
      <w:pPr>
        <w:ind w:left="4253"/>
        <w:jc w:val="both"/>
        <w:rPr>
          <w:rFonts w:ascii="Times New Roman" w:hAnsi="Times New Roman" w:cs="Times New Roman"/>
          <w:sz w:val="28"/>
          <w:szCs w:val="28"/>
        </w:rPr>
      </w:pPr>
      <w:r w:rsidRPr="005C22FB">
        <w:rPr>
          <w:rFonts w:ascii="Times New Roman" w:hAnsi="Times New Roman" w:cs="Times New Roman"/>
          <w:b/>
          <w:sz w:val="28"/>
          <w:szCs w:val="28"/>
        </w:rPr>
        <w:t>Referencia</w:t>
      </w:r>
      <w:r w:rsidRPr="005C22FB">
        <w:rPr>
          <w:rFonts w:ascii="Times New Roman" w:hAnsi="Times New Roman" w:cs="Times New Roman"/>
          <w:sz w:val="28"/>
          <w:szCs w:val="28"/>
        </w:rPr>
        <w:t>: Expediente CJU</w:t>
      </w:r>
      <w:r w:rsidRPr="005C22FB">
        <w:rPr>
          <w:rFonts w:ascii="Times New Roman" w:hAnsi="Times New Roman" w:cs="Times New Roman"/>
          <w:b/>
          <w:sz w:val="28"/>
          <w:szCs w:val="28"/>
        </w:rPr>
        <w:t>-</w:t>
      </w:r>
      <w:r w:rsidRPr="005C22FB">
        <w:rPr>
          <w:rFonts w:ascii="Times New Roman" w:hAnsi="Times New Roman" w:cs="Times New Roman"/>
          <w:sz w:val="28"/>
          <w:szCs w:val="28"/>
        </w:rPr>
        <w:t>4893</w:t>
      </w:r>
    </w:p>
    <w:p w14:paraId="4C81C0D3" w14:textId="77777777" w:rsidR="00000000" w:rsidRPr="005C22FB" w:rsidRDefault="00000000" w:rsidP="00440417">
      <w:pPr>
        <w:ind w:left="3960"/>
        <w:jc w:val="both"/>
        <w:rPr>
          <w:rFonts w:ascii="Times New Roman" w:hAnsi="Times New Roman" w:cs="Times New Roman"/>
          <w:sz w:val="28"/>
          <w:szCs w:val="28"/>
        </w:rPr>
      </w:pPr>
    </w:p>
    <w:p w14:paraId="28CF30ED" w14:textId="77777777" w:rsidR="00000000" w:rsidRPr="005C22FB" w:rsidRDefault="005C22FB" w:rsidP="00F1544A">
      <w:pPr>
        <w:ind w:left="4253"/>
        <w:contextualSpacing/>
        <w:jc w:val="both"/>
        <w:rPr>
          <w:rFonts w:ascii="Times New Roman" w:hAnsi="Times New Roman" w:cs="Times New Roman"/>
          <w:sz w:val="28"/>
          <w:szCs w:val="28"/>
        </w:rPr>
      </w:pPr>
      <w:bookmarkStart w:id="0" w:name="_Hlk110552811"/>
      <w:r w:rsidRPr="005C22FB">
        <w:rPr>
          <w:rFonts w:ascii="Times New Roman" w:hAnsi="Times New Roman" w:cs="Times New Roman"/>
          <w:sz w:val="28"/>
          <w:szCs w:val="28"/>
        </w:rPr>
        <w:t>Conflicto negativo de competencia entre jurisdicciones, suscitado entre la Superintendencia Nacional de Salud y el Juzgado Quinto Administrativo Oral del Circuito de Bogotá</w:t>
      </w:r>
    </w:p>
    <w:bookmarkEnd w:id="0"/>
    <w:p w14:paraId="2F94B882" w14:textId="77777777" w:rsidR="00000000" w:rsidRPr="005C22FB" w:rsidRDefault="00000000" w:rsidP="00F1544A">
      <w:pPr>
        <w:ind w:left="4253"/>
        <w:jc w:val="both"/>
        <w:rPr>
          <w:rFonts w:ascii="Times New Roman" w:hAnsi="Times New Roman" w:cs="Times New Roman"/>
          <w:sz w:val="28"/>
          <w:szCs w:val="28"/>
        </w:rPr>
      </w:pPr>
    </w:p>
    <w:p w14:paraId="777726D8" w14:textId="77777777" w:rsidR="00000000" w:rsidRPr="005C22FB" w:rsidRDefault="005C22FB" w:rsidP="00F1544A">
      <w:pPr>
        <w:ind w:left="4253"/>
        <w:jc w:val="both"/>
        <w:rPr>
          <w:rFonts w:ascii="Times New Roman" w:hAnsi="Times New Roman" w:cs="Times New Roman"/>
          <w:b/>
          <w:sz w:val="28"/>
          <w:szCs w:val="28"/>
        </w:rPr>
      </w:pPr>
      <w:r w:rsidRPr="005C22FB">
        <w:rPr>
          <w:rFonts w:ascii="Times New Roman" w:hAnsi="Times New Roman" w:cs="Times New Roman"/>
          <w:b/>
          <w:sz w:val="28"/>
          <w:szCs w:val="28"/>
        </w:rPr>
        <w:t xml:space="preserve">Magistrado sustanciador: </w:t>
      </w:r>
    </w:p>
    <w:p w14:paraId="311A2195" w14:textId="77777777" w:rsidR="00000000" w:rsidRPr="005C22FB" w:rsidRDefault="005C22FB" w:rsidP="00F1544A">
      <w:pPr>
        <w:ind w:left="4253"/>
        <w:jc w:val="both"/>
        <w:rPr>
          <w:rFonts w:ascii="Times New Roman" w:hAnsi="Times New Roman" w:cs="Times New Roman"/>
          <w:bCs/>
          <w:sz w:val="28"/>
          <w:szCs w:val="28"/>
        </w:rPr>
      </w:pPr>
      <w:r w:rsidRPr="005C22FB">
        <w:rPr>
          <w:rFonts w:ascii="Times New Roman" w:hAnsi="Times New Roman" w:cs="Times New Roman"/>
          <w:bCs/>
          <w:sz w:val="28"/>
          <w:szCs w:val="28"/>
        </w:rPr>
        <w:t>Juan Carlos Cortés González</w:t>
      </w:r>
    </w:p>
    <w:p w14:paraId="5287275F" w14:textId="77777777" w:rsidR="00000000" w:rsidRPr="005C22FB" w:rsidRDefault="00000000" w:rsidP="00440417">
      <w:pPr>
        <w:jc w:val="both"/>
        <w:rPr>
          <w:rFonts w:ascii="Times New Roman" w:hAnsi="Times New Roman" w:cs="Times New Roman"/>
          <w:sz w:val="28"/>
          <w:szCs w:val="28"/>
        </w:rPr>
      </w:pPr>
    </w:p>
    <w:p w14:paraId="25FE43FA" w14:textId="77777777" w:rsidR="00000000" w:rsidRPr="005C22FB" w:rsidRDefault="00000000" w:rsidP="00440417">
      <w:pPr>
        <w:jc w:val="both"/>
        <w:rPr>
          <w:rFonts w:ascii="Times New Roman" w:hAnsi="Times New Roman" w:cs="Times New Roman"/>
          <w:sz w:val="28"/>
          <w:szCs w:val="28"/>
        </w:rPr>
      </w:pPr>
    </w:p>
    <w:p w14:paraId="268286D8" w14:textId="77777777" w:rsidR="00000000" w:rsidRPr="005C22FB" w:rsidRDefault="005C22FB" w:rsidP="00440417">
      <w:pPr>
        <w:jc w:val="both"/>
        <w:rPr>
          <w:rFonts w:ascii="Times New Roman" w:hAnsi="Times New Roman" w:cs="Times New Roman"/>
          <w:sz w:val="28"/>
          <w:szCs w:val="28"/>
        </w:rPr>
      </w:pPr>
      <w:r w:rsidRPr="005C22FB">
        <w:rPr>
          <w:rFonts w:ascii="Times New Roman" w:hAnsi="Times New Roman" w:cs="Times New Roman"/>
          <w:sz w:val="28"/>
          <w:szCs w:val="28"/>
        </w:rPr>
        <w:t>Bogotá, D. C., treinta y uno (31) de enero de dos mil veinticuatro (2024)</w:t>
      </w:r>
    </w:p>
    <w:p w14:paraId="787BC8B5" w14:textId="77777777" w:rsidR="00000000" w:rsidRPr="005C22FB" w:rsidRDefault="00000000" w:rsidP="00440417">
      <w:pPr>
        <w:pStyle w:val="Style6"/>
        <w:widowControl/>
        <w:spacing w:line="240" w:lineRule="auto"/>
        <w:rPr>
          <w:rFonts w:ascii="Times New Roman" w:hAnsi="Times New Roman" w:cs="Times New Roman"/>
          <w:sz w:val="28"/>
          <w:szCs w:val="28"/>
          <w:lang w:val="es-CO"/>
        </w:rPr>
      </w:pPr>
    </w:p>
    <w:p w14:paraId="3FCFC975" w14:textId="77777777" w:rsidR="00000000" w:rsidRPr="005C22FB" w:rsidRDefault="005C22FB" w:rsidP="00836594">
      <w:pPr>
        <w:jc w:val="both"/>
        <w:rPr>
          <w:rFonts w:ascii="Times New Roman" w:hAnsi="Times New Roman" w:cs="Times New Roman"/>
          <w:sz w:val="28"/>
          <w:szCs w:val="28"/>
        </w:rPr>
      </w:pPr>
      <w:r w:rsidRPr="005C22FB">
        <w:rPr>
          <w:rFonts w:ascii="Times New Roman" w:hAnsi="Times New Roman" w:cs="Times New Roman"/>
          <w:sz w:val="28"/>
          <w:szCs w:val="28"/>
        </w:rPr>
        <w:t>La Sala Plena de la Corte Constitucional, en ejercicio de sus competencias constitucionales y legales, en especial la prevista en el artículo 241.11</w:t>
      </w:r>
      <w:r w:rsidRPr="005C22FB">
        <w:rPr>
          <w:rStyle w:val="Refdenotaalpie"/>
          <w:rFonts w:ascii="Times New Roman" w:hAnsi="Times New Roman" w:cs="Times New Roman"/>
          <w:sz w:val="28"/>
          <w:szCs w:val="28"/>
        </w:rPr>
        <w:footnoteReference w:id="1"/>
      </w:r>
      <w:r w:rsidRPr="005C22FB">
        <w:rPr>
          <w:rFonts w:ascii="Times New Roman" w:hAnsi="Times New Roman" w:cs="Times New Roman"/>
          <w:sz w:val="28"/>
          <w:szCs w:val="28"/>
        </w:rPr>
        <w:t xml:space="preserve"> de la Carta Política, profiere el presente auto, con fundamento en las siguientes</w:t>
      </w:r>
    </w:p>
    <w:p w14:paraId="2170512B" w14:textId="77777777" w:rsidR="00000000" w:rsidRPr="005C22FB" w:rsidRDefault="00000000" w:rsidP="00836594">
      <w:pPr>
        <w:kinsoku w:val="0"/>
        <w:overflowPunct w:val="0"/>
        <w:autoSpaceDE w:val="0"/>
        <w:autoSpaceDN w:val="0"/>
        <w:adjustRightInd w:val="0"/>
        <w:ind w:right="49"/>
        <w:jc w:val="both"/>
        <w:rPr>
          <w:rFonts w:ascii="Times New Roman" w:hAnsi="Times New Roman" w:cs="Times New Roman"/>
          <w:sz w:val="28"/>
          <w:szCs w:val="28"/>
        </w:rPr>
      </w:pPr>
    </w:p>
    <w:p w14:paraId="6CE692EB" w14:textId="77777777" w:rsidR="00000000" w:rsidRPr="005C22FB" w:rsidRDefault="005C22FB" w:rsidP="00836594">
      <w:pPr>
        <w:kinsoku w:val="0"/>
        <w:overflowPunct w:val="0"/>
        <w:autoSpaceDE w:val="0"/>
        <w:autoSpaceDN w:val="0"/>
        <w:adjustRightInd w:val="0"/>
        <w:ind w:right="49"/>
        <w:jc w:val="center"/>
        <w:rPr>
          <w:rFonts w:ascii="Times New Roman" w:hAnsi="Times New Roman" w:cs="Times New Roman"/>
          <w:b/>
          <w:bCs/>
          <w:sz w:val="28"/>
          <w:szCs w:val="28"/>
        </w:rPr>
      </w:pPr>
      <w:r w:rsidRPr="005C22FB">
        <w:rPr>
          <w:rFonts w:ascii="Times New Roman" w:hAnsi="Times New Roman" w:cs="Times New Roman"/>
          <w:b/>
          <w:bCs/>
          <w:sz w:val="28"/>
          <w:szCs w:val="28"/>
        </w:rPr>
        <w:t>CONSIDERACIONES</w:t>
      </w:r>
    </w:p>
    <w:p w14:paraId="649F3954" w14:textId="77777777" w:rsidR="00000000" w:rsidRPr="005C22FB" w:rsidRDefault="00000000" w:rsidP="00440417">
      <w:pPr>
        <w:tabs>
          <w:tab w:val="left" w:pos="426"/>
        </w:tabs>
        <w:jc w:val="both"/>
        <w:rPr>
          <w:rStyle w:val="FontStyle11"/>
          <w:sz w:val="28"/>
          <w:szCs w:val="28"/>
          <w:lang w:val="es-ES_tradnl" w:eastAsia="es-ES_tradnl"/>
        </w:rPr>
      </w:pPr>
    </w:p>
    <w:p w14:paraId="4B674460" w14:textId="77777777" w:rsidR="00000000" w:rsidRPr="005C22FB" w:rsidRDefault="005C22FB" w:rsidP="00F84B25">
      <w:pPr>
        <w:pStyle w:val="Prrafodelista"/>
        <w:numPr>
          <w:ilvl w:val="0"/>
          <w:numId w:val="1"/>
        </w:numPr>
        <w:tabs>
          <w:tab w:val="left" w:pos="284"/>
        </w:tabs>
        <w:ind w:left="0" w:firstLine="0"/>
        <w:jc w:val="both"/>
        <w:rPr>
          <w:rFonts w:ascii="Times New Roman" w:hAnsi="Times New Roman" w:cs="Times New Roman"/>
        </w:rPr>
      </w:pPr>
      <w:r w:rsidRPr="005C22FB">
        <w:rPr>
          <w:rFonts w:ascii="Times New Roman" w:hAnsi="Times New Roman" w:cs="Times New Roman"/>
          <w:i/>
          <w:iCs/>
        </w:rPr>
        <w:t xml:space="preserve">Causa judicial que suscita la controversia. </w:t>
      </w:r>
      <w:bookmarkStart w:id="1" w:name="_Hlk110860593"/>
      <w:bookmarkStart w:id="2" w:name="_Hlk128478800"/>
      <w:r w:rsidRPr="005C22FB">
        <w:rPr>
          <w:rFonts w:ascii="Times New Roman" w:hAnsi="Times New Roman" w:cs="Times New Roman"/>
        </w:rPr>
        <w:t>El 31 de octubre de 2019, la Caja de Compensación Familiar Compensar</w:t>
      </w:r>
      <w:bookmarkEnd w:id="1"/>
      <w:r w:rsidRPr="005C22FB">
        <w:rPr>
          <w:rFonts w:ascii="Times New Roman" w:hAnsi="Times New Roman" w:cs="Times New Roman"/>
        </w:rPr>
        <w:t xml:space="preserve"> –en adelante Compensar EPS-, a través de apoderado judicial, promovió demanda contra la Administradora de los Recursos del Sistema General de Seguridad Social en Salud –ADRES-, la Unión Temporal FOSYGA 2014 y el Consorcio SAYP 2011</w:t>
      </w:r>
      <w:r w:rsidRPr="005C22FB">
        <w:rPr>
          <w:rStyle w:val="Refdenotaalpie"/>
          <w:rFonts w:ascii="Times New Roman" w:hAnsi="Times New Roman" w:cs="Times New Roman"/>
        </w:rPr>
        <w:footnoteReference w:id="2"/>
      </w:r>
      <w:r w:rsidRPr="005C22FB">
        <w:rPr>
          <w:rFonts w:ascii="Times New Roman" w:hAnsi="Times New Roman" w:cs="Times New Roman"/>
        </w:rPr>
        <w:t xml:space="preserve">. Solicitó se les condene solidariamente a pagarle $965.117.806 COP, más los respectivos intereses moratorios. </w:t>
      </w:r>
      <w:bookmarkEnd w:id="2"/>
      <w:r w:rsidRPr="005C22FB">
        <w:rPr>
          <w:rFonts w:ascii="Times New Roman" w:hAnsi="Times New Roman" w:cs="Times New Roman"/>
        </w:rPr>
        <w:t>Adujo que: (i) en cumplimiento de decisiones de tutela y de comités técnico científicos (CTC), suministró insumos, servicios y medicamentos no incluidos en el plan obligatorio de salud (POS); (</w:t>
      </w:r>
      <w:proofErr w:type="spellStart"/>
      <w:r w:rsidRPr="005C22FB">
        <w:rPr>
          <w:rFonts w:ascii="Times New Roman" w:hAnsi="Times New Roman" w:cs="Times New Roman"/>
        </w:rPr>
        <w:t>ii</w:t>
      </w:r>
      <w:proofErr w:type="spellEnd"/>
      <w:r w:rsidRPr="005C22FB">
        <w:rPr>
          <w:rFonts w:ascii="Times New Roman" w:hAnsi="Times New Roman" w:cs="Times New Roman"/>
        </w:rPr>
        <w:t>) a través del cobro por vía administrativa, solicitó a los demandados desembolsar los costos aludidos y (</w:t>
      </w:r>
      <w:proofErr w:type="spellStart"/>
      <w:r w:rsidRPr="005C22FB">
        <w:rPr>
          <w:rFonts w:ascii="Times New Roman" w:hAnsi="Times New Roman" w:cs="Times New Roman"/>
        </w:rPr>
        <w:t>iii</w:t>
      </w:r>
      <w:proofErr w:type="spellEnd"/>
      <w:r w:rsidRPr="005C22FB">
        <w:rPr>
          <w:rFonts w:ascii="Times New Roman" w:hAnsi="Times New Roman" w:cs="Times New Roman"/>
        </w:rPr>
        <w:t>) estos denegaron el pago alegando diferentes causales de glosa.</w:t>
      </w:r>
      <w:r w:rsidRPr="005C22FB">
        <w:rPr>
          <w:rFonts w:ascii="Times New Roman" w:hAnsi="Times New Roman" w:cs="Times New Roman"/>
          <w:shd w:val="clear" w:color="auto" w:fill="FFFFFF"/>
        </w:rPr>
        <w:t xml:space="preserve"> </w:t>
      </w:r>
    </w:p>
    <w:p w14:paraId="53B6F030" w14:textId="77777777" w:rsidR="00000000" w:rsidRPr="005C22FB" w:rsidRDefault="00000000" w:rsidP="00F84B25">
      <w:pPr>
        <w:pStyle w:val="Prrafodelista"/>
        <w:tabs>
          <w:tab w:val="left" w:pos="284"/>
        </w:tabs>
        <w:ind w:left="0"/>
        <w:jc w:val="both"/>
        <w:rPr>
          <w:rFonts w:ascii="Times New Roman" w:hAnsi="Times New Roman" w:cs="Times New Roman"/>
        </w:rPr>
      </w:pPr>
    </w:p>
    <w:p w14:paraId="2C294F0F" w14:textId="77777777" w:rsidR="00000000" w:rsidRPr="005C22FB" w:rsidRDefault="005C22FB" w:rsidP="002A2E36">
      <w:pPr>
        <w:pStyle w:val="Prrafodelista"/>
        <w:numPr>
          <w:ilvl w:val="0"/>
          <w:numId w:val="1"/>
        </w:numPr>
        <w:tabs>
          <w:tab w:val="left" w:pos="284"/>
        </w:tabs>
        <w:ind w:left="0" w:firstLine="0"/>
        <w:jc w:val="both"/>
        <w:rPr>
          <w:rFonts w:ascii="Times New Roman" w:hAnsi="Times New Roman" w:cs="Times New Roman"/>
        </w:rPr>
      </w:pPr>
      <w:r w:rsidRPr="005C22FB">
        <w:rPr>
          <w:rFonts w:ascii="Times New Roman" w:hAnsi="Times New Roman" w:cs="Times New Roman"/>
          <w:i/>
          <w:iCs/>
        </w:rPr>
        <w:t>Decisión de la jurisdicción ordinaria.</w:t>
      </w:r>
      <w:bookmarkStart w:id="3" w:name="_Hlk133210490"/>
      <w:r w:rsidRPr="005C22FB">
        <w:rPr>
          <w:rFonts w:ascii="Times New Roman" w:hAnsi="Times New Roman" w:cs="Times New Roman"/>
        </w:rPr>
        <w:t xml:space="preserve"> En ejercicio de sus funciones jurisdiccionales, por medio de auto del 1º de septiembre del 2022</w:t>
      </w:r>
      <w:r w:rsidRPr="005C22FB">
        <w:rPr>
          <w:rStyle w:val="Refdenotaalpie"/>
          <w:rFonts w:ascii="Times New Roman" w:hAnsi="Times New Roman" w:cs="Times New Roman"/>
        </w:rPr>
        <w:footnoteReference w:id="3"/>
      </w:r>
      <w:r w:rsidRPr="005C22FB">
        <w:rPr>
          <w:rFonts w:ascii="Times New Roman" w:hAnsi="Times New Roman" w:cs="Times New Roman"/>
        </w:rPr>
        <w:t xml:space="preserve">, la Superintendencia Nacional de Salud declaró su falta de competencia y remitió el expediente a los jueces administrativos. Señaló que, al tratarse de recobros </w:t>
      </w:r>
      <w:r w:rsidRPr="005C22FB">
        <w:rPr>
          <w:rFonts w:ascii="Times New Roman" w:hAnsi="Times New Roman" w:cs="Times New Roman"/>
        </w:rPr>
        <w:lastRenderedPageBreak/>
        <w:t xml:space="preserve">de servicios no incluidos en el POS, la competencia corresponde a aquellos, según el Auto 389 del 2021 de la Corte Constitucional. </w:t>
      </w:r>
    </w:p>
    <w:p w14:paraId="47CAC253" w14:textId="77777777" w:rsidR="00000000" w:rsidRPr="005C22FB" w:rsidRDefault="00000000" w:rsidP="002A2E36">
      <w:pPr>
        <w:pStyle w:val="Prrafodelista"/>
        <w:tabs>
          <w:tab w:val="left" w:pos="284"/>
        </w:tabs>
        <w:ind w:left="0"/>
        <w:jc w:val="both"/>
        <w:rPr>
          <w:rFonts w:ascii="Times New Roman" w:hAnsi="Times New Roman" w:cs="Times New Roman"/>
        </w:rPr>
      </w:pPr>
    </w:p>
    <w:p w14:paraId="488DB5C1" w14:textId="77777777" w:rsidR="00000000" w:rsidRPr="005C22FB" w:rsidRDefault="005C22FB" w:rsidP="002A2E36">
      <w:pPr>
        <w:pStyle w:val="Prrafodelista"/>
        <w:numPr>
          <w:ilvl w:val="0"/>
          <w:numId w:val="1"/>
        </w:numPr>
        <w:tabs>
          <w:tab w:val="left" w:pos="284"/>
        </w:tabs>
        <w:ind w:left="0" w:firstLine="0"/>
        <w:jc w:val="both"/>
        <w:rPr>
          <w:rFonts w:ascii="Times New Roman" w:hAnsi="Times New Roman" w:cs="Times New Roman"/>
        </w:rPr>
      </w:pPr>
      <w:r w:rsidRPr="005C22FB">
        <w:rPr>
          <w:rFonts w:ascii="Times New Roman" w:hAnsi="Times New Roman" w:cs="Times New Roman"/>
          <w:i/>
          <w:iCs/>
        </w:rPr>
        <w:t>Decisión de la jurisdicción</w:t>
      </w:r>
      <w:bookmarkEnd w:id="3"/>
      <w:r w:rsidRPr="005C22FB">
        <w:rPr>
          <w:rFonts w:ascii="Times New Roman" w:hAnsi="Times New Roman" w:cs="Times New Roman"/>
          <w:i/>
          <w:iCs/>
        </w:rPr>
        <w:t xml:space="preserve"> contencioso administrativa. </w:t>
      </w:r>
      <w:r w:rsidRPr="005C22FB">
        <w:rPr>
          <w:rFonts w:ascii="Times New Roman" w:hAnsi="Times New Roman" w:cs="Times New Roman"/>
        </w:rPr>
        <w:t>Mediante auto del 10 de octubre del 2023</w:t>
      </w:r>
      <w:r w:rsidRPr="005C22FB">
        <w:rPr>
          <w:rStyle w:val="Refdenotaalpie"/>
          <w:rFonts w:ascii="Times New Roman" w:hAnsi="Times New Roman" w:cs="Times New Roman"/>
        </w:rPr>
        <w:footnoteReference w:id="4"/>
      </w:r>
      <w:r w:rsidRPr="005C22FB">
        <w:rPr>
          <w:rFonts w:ascii="Times New Roman" w:hAnsi="Times New Roman" w:cs="Times New Roman"/>
        </w:rPr>
        <w:t>, el Juzgado Quinto Administrativo Oral del Circuito de Bogotá</w:t>
      </w:r>
      <w:bookmarkStart w:id="4" w:name="_Hlk110865107"/>
      <w:r w:rsidRPr="005C22FB">
        <w:rPr>
          <w:rFonts w:ascii="Times New Roman" w:hAnsi="Times New Roman" w:cs="Times New Roman"/>
        </w:rPr>
        <w:t xml:space="preserve"> declaró la falta de jurisdicción y remitió el expediente a esta corporación. Explicó que según el concepto de </w:t>
      </w:r>
      <w:proofErr w:type="spellStart"/>
      <w:r w:rsidRPr="005C22FB">
        <w:rPr>
          <w:rFonts w:ascii="Times New Roman" w:hAnsi="Times New Roman" w:cs="Times New Roman"/>
          <w:i/>
        </w:rPr>
        <w:t>perpetuatio</w:t>
      </w:r>
      <w:proofErr w:type="spellEnd"/>
      <w:r w:rsidRPr="005C22FB">
        <w:rPr>
          <w:rFonts w:ascii="Times New Roman" w:hAnsi="Times New Roman" w:cs="Times New Roman"/>
          <w:i/>
        </w:rPr>
        <w:t xml:space="preserve"> </w:t>
      </w:r>
      <w:proofErr w:type="spellStart"/>
      <w:r w:rsidRPr="005C22FB">
        <w:rPr>
          <w:rFonts w:ascii="Times New Roman" w:hAnsi="Times New Roman" w:cs="Times New Roman"/>
          <w:i/>
        </w:rPr>
        <w:t>jurisdictionis</w:t>
      </w:r>
      <w:proofErr w:type="spellEnd"/>
      <w:r w:rsidRPr="005C22FB">
        <w:rPr>
          <w:rFonts w:ascii="Times New Roman" w:hAnsi="Times New Roman" w:cs="Times New Roman"/>
          <w:i/>
        </w:rPr>
        <w:t>,</w:t>
      </w:r>
      <w:r w:rsidRPr="005C22FB">
        <w:rPr>
          <w:rFonts w:ascii="Times New Roman" w:hAnsi="Times New Roman" w:cs="Times New Roman"/>
        </w:rPr>
        <w:t xml:space="preserve"> no es posible que la Superintendencia Nacional de Salud se aparte del conocimiento del presente proceso, salvo que prospere un medio exceptivo de falta de jurisdicción o competencia presentado por alguna de las partes. </w:t>
      </w:r>
    </w:p>
    <w:p w14:paraId="7F829183" w14:textId="77777777" w:rsidR="00000000" w:rsidRPr="005C22FB" w:rsidRDefault="00000000" w:rsidP="002A2E36">
      <w:pPr>
        <w:pStyle w:val="Prrafodelista"/>
        <w:rPr>
          <w:rFonts w:ascii="Times New Roman" w:hAnsi="Times New Roman" w:cs="Times New Roman"/>
        </w:rPr>
      </w:pPr>
    </w:p>
    <w:p w14:paraId="4F155E14" w14:textId="77777777" w:rsidR="00000000" w:rsidRPr="005C22FB" w:rsidRDefault="005C22FB" w:rsidP="002A2E36">
      <w:pPr>
        <w:pStyle w:val="Prrafodelista"/>
        <w:numPr>
          <w:ilvl w:val="0"/>
          <w:numId w:val="1"/>
        </w:numPr>
        <w:tabs>
          <w:tab w:val="left" w:pos="284"/>
        </w:tabs>
        <w:ind w:left="0" w:firstLine="0"/>
        <w:jc w:val="both"/>
        <w:rPr>
          <w:rFonts w:ascii="Times New Roman" w:hAnsi="Times New Roman" w:cs="Times New Roman"/>
        </w:rPr>
      </w:pPr>
      <w:r w:rsidRPr="005C22FB">
        <w:rPr>
          <w:rFonts w:ascii="Times New Roman" w:hAnsi="Times New Roman" w:cs="Times New Roman"/>
        </w:rPr>
        <w:t xml:space="preserve"> </w:t>
      </w:r>
      <w:bookmarkEnd w:id="4"/>
      <w:r w:rsidRPr="005C22FB">
        <w:rPr>
          <w:rFonts w:ascii="Times New Roman" w:hAnsi="Times New Roman" w:cs="Times New Roman"/>
          <w:i/>
          <w:iCs/>
        </w:rPr>
        <w:t xml:space="preserve">El caso cumple con los presupuestos para la procedencia de un conflicto de competencia entre jurisdicciones. </w:t>
      </w:r>
      <w:r w:rsidRPr="005C22FB">
        <w:rPr>
          <w:rFonts w:ascii="Times New Roman" w:hAnsi="Times New Roman" w:cs="Times New Roman"/>
        </w:rPr>
        <w:t xml:space="preserve">El presente asunto satisface las reglas definidas en el Auto 155 de 2019 para la configuración de un conflicto de competencia entre jurisdicciones. </w:t>
      </w:r>
      <w:r w:rsidRPr="005C22FB">
        <w:rPr>
          <w:rFonts w:ascii="Times New Roman" w:hAnsi="Times New Roman" w:cs="Times New Roman"/>
          <w:iCs/>
        </w:rPr>
        <w:t>Primero</w:t>
      </w:r>
      <w:r w:rsidRPr="005C22FB">
        <w:rPr>
          <w:rFonts w:ascii="Times New Roman" w:hAnsi="Times New Roman" w:cs="Times New Roman"/>
        </w:rPr>
        <w:t xml:space="preserve">, </w:t>
      </w:r>
      <w:r w:rsidRPr="005C22FB">
        <w:rPr>
          <w:rFonts w:ascii="Times New Roman" w:hAnsi="Times New Roman" w:cs="Times New Roman"/>
          <w:iCs/>
        </w:rPr>
        <w:t>acredita el cumplimiento del presupuesto subjetivo</w:t>
      </w:r>
      <w:r w:rsidRPr="005C22FB">
        <w:rPr>
          <w:rFonts w:ascii="Times New Roman" w:hAnsi="Times New Roman" w:cs="Times New Roman"/>
        </w:rPr>
        <w:t xml:space="preserve">, debido a que existe una controversia entre dos autoridades judiciales que pertenecen a diferentes jurisdicciones. Se trata de la Superintendencia Nacional de Salud, en ejercicio de sus funciones jurisdiccionales, y el Juzgado Quinto Administrativo Oral del Circuito Judicial de Bogotá. </w:t>
      </w:r>
      <w:r w:rsidRPr="005C22FB">
        <w:rPr>
          <w:rFonts w:ascii="Times New Roman" w:hAnsi="Times New Roman" w:cs="Times New Roman"/>
          <w:iCs/>
        </w:rPr>
        <w:t>Segundo</w:t>
      </w:r>
      <w:r w:rsidRPr="005C22FB">
        <w:rPr>
          <w:rFonts w:ascii="Times New Roman" w:hAnsi="Times New Roman" w:cs="Times New Roman"/>
        </w:rPr>
        <w:t xml:space="preserve">, </w:t>
      </w:r>
      <w:r w:rsidRPr="005C22FB">
        <w:rPr>
          <w:rFonts w:ascii="Times New Roman" w:hAnsi="Times New Roman" w:cs="Times New Roman"/>
          <w:iCs/>
        </w:rPr>
        <w:t>demuestra el cumplimiento del presupuesto objetivo</w:t>
      </w:r>
      <w:r w:rsidRPr="005C22FB">
        <w:rPr>
          <w:rFonts w:ascii="Times New Roman" w:hAnsi="Times New Roman" w:cs="Times New Roman"/>
          <w:i/>
          <w:iCs/>
        </w:rPr>
        <w:t xml:space="preserve">, </w:t>
      </w:r>
      <w:r w:rsidRPr="005C22FB">
        <w:rPr>
          <w:rFonts w:ascii="Times New Roman" w:hAnsi="Times New Roman" w:cs="Times New Roman"/>
        </w:rPr>
        <w:t xml:space="preserve">en tanto existe una demanda instaurada por Compensar EPS contra la ADRES, la Unión Temporal FOSYGA 2014 y el Consorcio SAYP 2011. </w:t>
      </w:r>
      <w:r w:rsidRPr="005C22FB">
        <w:rPr>
          <w:rFonts w:ascii="Times New Roman" w:hAnsi="Times New Roman" w:cs="Times New Roman"/>
          <w:shd w:val="clear" w:color="auto" w:fill="FFFFFF"/>
        </w:rPr>
        <w:t xml:space="preserve">La pretensión es que se condene de manera solidaria a estas últimas al pago de </w:t>
      </w:r>
      <w:r w:rsidRPr="005C22FB">
        <w:rPr>
          <w:rFonts w:ascii="Times New Roman" w:hAnsi="Times New Roman" w:cs="Times New Roman"/>
        </w:rPr>
        <w:t xml:space="preserve">$965.117.806 COP. </w:t>
      </w:r>
      <w:r w:rsidRPr="005C22FB">
        <w:rPr>
          <w:rFonts w:ascii="Times New Roman" w:hAnsi="Times New Roman" w:cs="Times New Roman"/>
          <w:iCs/>
        </w:rPr>
        <w:t>Tercero</w:t>
      </w:r>
      <w:r w:rsidRPr="005C22FB">
        <w:rPr>
          <w:rFonts w:ascii="Times New Roman" w:hAnsi="Times New Roman" w:cs="Times New Roman"/>
        </w:rPr>
        <w:t xml:space="preserve">, </w:t>
      </w:r>
      <w:r w:rsidRPr="005C22FB">
        <w:rPr>
          <w:rFonts w:ascii="Times New Roman" w:hAnsi="Times New Roman" w:cs="Times New Roman"/>
          <w:iCs/>
        </w:rPr>
        <w:t xml:space="preserve">satisface el presupuesto normativo, </w:t>
      </w:r>
      <w:r w:rsidRPr="005C22FB">
        <w:rPr>
          <w:rFonts w:ascii="Times New Roman" w:hAnsi="Times New Roman" w:cs="Times New Roman"/>
        </w:rPr>
        <w:t xml:space="preserve">porque las dos autoridades plantean una controversia legal y jurisprudencial dirigida a negar su competencia. La Superintendencia Nacional de Salud señala </w:t>
      </w:r>
      <w:proofErr w:type="gramStart"/>
      <w:r w:rsidRPr="005C22FB">
        <w:rPr>
          <w:rFonts w:ascii="Times New Roman" w:hAnsi="Times New Roman" w:cs="Times New Roman"/>
        </w:rPr>
        <w:t>que</w:t>
      </w:r>
      <w:proofErr w:type="gramEnd"/>
      <w:r w:rsidRPr="005C22FB">
        <w:rPr>
          <w:rFonts w:ascii="Times New Roman" w:hAnsi="Times New Roman" w:cs="Times New Roman"/>
        </w:rPr>
        <w:t xml:space="preserve"> al tratarse de recobros de servicios no incluidos en el POS, le corresponde a la jurisdicción contencioso administrativa conocer del asunto. Por su parte, el juez administrativo indica que por la aplicación del principio de </w:t>
      </w:r>
      <w:proofErr w:type="spellStart"/>
      <w:r w:rsidRPr="005C22FB">
        <w:rPr>
          <w:rFonts w:ascii="Times New Roman" w:hAnsi="Times New Roman" w:cs="Times New Roman"/>
          <w:i/>
        </w:rPr>
        <w:t>perpetuatio</w:t>
      </w:r>
      <w:proofErr w:type="spellEnd"/>
      <w:r w:rsidRPr="005C22FB">
        <w:rPr>
          <w:rFonts w:ascii="Times New Roman" w:hAnsi="Times New Roman" w:cs="Times New Roman"/>
          <w:i/>
        </w:rPr>
        <w:t xml:space="preserve"> </w:t>
      </w:r>
      <w:proofErr w:type="spellStart"/>
      <w:r w:rsidRPr="005C22FB">
        <w:rPr>
          <w:rFonts w:ascii="Times New Roman" w:hAnsi="Times New Roman" w:cs="Times New Roman"/>
          <w:i/>
        </w:rPr>
        <w:t>jurisdictionis</w:t>
      </w:r>
      <w:proofErr w:type="spellEnd"/>
      <w:r w:rsidRPr="005C22FB">
        <w:rPr>
          <w:rFonts w:ascii="Times New Roman" w:hAnsi="Times New Roman" w:cs="Times New Roman"/>
          <w:i/>
        </w:rPr>
        <w:t>,</w:t>
      </w:r>
      <w:r w:rsidRPr="005C22FB">
        <w:rPr>
          <w:rFonts w:ascii="Times New Roman" w:hAnsi="Times New Roman" w:cs="Times New Roman"/>
        </w:rPr>
        <w:t xml:space="preserve"> la Superintendencia de Nacional de Salud solo puede apartarse del conocimiento del asunto si su falta de competencia es presentada como una excepción.</w:t>
      </w:r>
    </w:p>
    <w:p w14:paraId="01C6F91D" w14:textId="77777777" w:rsidR="00000000" w:rsidRPr="005C22FB" w:rsidRDefault="00000000" w:rsidP="002A2E36">
      <w:pPr>
        <w:pStyle w:val="Prrafodelista"/>
        <w:tabs>
          <w:tab w:val="left" w:pos="284"/>
        </w:tabs>
        <w:ind w:left="0"/>
        <w:jc w:val="both"/>
        <w:rPr>
          <w:rFonts w:ascii="Times New Roman" w:hAnsi="Times New Roman" w:cs="Times New Roman"/>
        </w:rPr>
      </w:pPr>
    </w:p>
    <w:p w14:paraId="494F8AD4" w14:textId="77777777" w:rsidR="00000000" w:rsidRPr="005C22FB" w:rsidRDefault="005C22FB" w:rsidP="00D81DBD">
      <w:pPr>
        <w:tabs>
          <w:tab w:val="left" w:pos="284"/>
        </w:tabs>
        <w:jc w:val="both"/>
        <w:rPr>
          <w:rFonts w:ascii="Times New Roman" w:hAnsi="Times New Roman" w:cs="Times New Roman"/>
          <w:sz w:val="28"/>
          <w:szCs w:val="28"/>
          <w:shd w:val="clear" w:color="auto" w:fill="FFFFFF"/>
          <w:lang w:val="es-ES_tradnl"/>
        </w:rPr>
      </w:pPr>
      <w:r w:rsidRPr="005C22FB">
        <w:rPr>
          <w:rFonts w:ascii="Times New Roman" w:hAnsi="Times New Roman" w:cs="Times New Roman"/>
          <w:i/>
          <w:iCs/>
          <w:sz w:val="28"/>
          <w:szCs w:val="28"/>
          <w:lang w:val="es-ES" w:eastAsia="es-ES"/>
        </w:rPr>
        <w:lastRenderedPageBreak/>
        <w:t>5.</w:t>
      </w:r>
      <w:r w:rsidRPr="005C22FB">
        <w:rPr>
          <w:rFonts w:ascii="Times New Roman" w:hAnsi="Times New Roman" w:cs="Times New Roman"/>
          <w:i/>
          <w:iCs/>
          <w:sz w:val="28"/>
          <w:szCs w:val="28"/>
        </w:rPr>
        <w:t xml:space="preserve"> Reiteración </w:t>
      </w:r>
      <w:proofErr w:type="gramStart"/>
      <w:r w:rsidRPr="005C22FB">
        <w:rPr>
          <w:rFonts w:ascii="Times New Roman" w:hAnsi="Times New Roman" w:cs="Times New Roman"/>
          <w:i/>
          <w:iCs/>
          <w:sz w:val="28"/>
          <w:szCs w:val="28"/>
        </w:rPr>
        <w:t>de</w:t>
      </w:r>
      <w:r w:rsidRPr="005C22FB">
        <w:rPr>
          <w:rFonts w:ascii="Times New Roman" w:hAnsi="Times New Roman" w:cs="Times New Roman"/>
          <w:i/>
          <w:iCs/>
          <w:sz w:val="28"/>
          <w:szCs w:val="28"/>
          <w:lang w:val="es-ES_tradnl"/>
        </w:rPr>
        <w:t>l  Auto</w:t>
      </w:r>
      <w:proofErr w:type="gramEnd"/>
      <w:r w:rsidRPr="005C22FB">
        <w:rPr>
          <w:rFonts w:ascii="Times New Roman" w:hAnsi="Times New Roman" w:cs="Times New Roman"/>
          <w:i/>
          <w:iCs/>
          <w:sz w:val="28"/>
          <w:szCs w:val="28"/>
          <w:lang w:val="es-ES_tradnl"/>
        </w:rPr>
        <w:t xml:space="preserve"> 389 de 2021</w:t>
      </w:r>
      <w:r w:rsidRPr="005C22FB">
        <w:rPr>
          <w:rStyle w:val="Refdenotaalpie"/>
          <w:rFonts w:ascii="Times New Roman" w:hAnsi="Times New Roman" w:cs="Times New Roman"/>
          <w:i/>
          <w:iCs/>
          <w:sz w:val="28"/>
          <w:szCs w:val="28"/>
          <w:lang w:val="es-ES_tradnl"/>
        </w:rPr>
        <w:footnoteReference w:id="5"/>
      </w:r>
      <w:r w:rsidRPr="005C22FB">
        <w:rPr>
          <w:rFonts w:ascii="Times New Roman" w:hAnsi="Times New Roman" w:cs="Times New Roman"/>
          <w:i/>
          <w:iCs/>
          <w:sz w:val="28"/>
          <w:szCs w:val="28"/>
          <w:lang w:val="es-ES_tradnl"/>
        </w:rPr>
        <w:t xml:space="preserve">. </w:t>
      </w:r>
      <w:r w:rsidRPr="005C22FB">
        <w:rPr>
          <w:rFonts w:ascii="Times New Roman" w:hAnsi="Times New Roman" w:cs="Times New Roman"/>
          <w:sz w:val="28"/>
          <w:szCs w:val="28"/>
          <w:lang w:val="es-ES_tradnl"/>
        </w:rPr>
        <w:t xml:space="preserve">En esta providencia, la Corte Constitucional estableció que </w:t>
      </w:r>
      <w:r w:rsidRPr="005C22FB">
        <w:rPr>
          <w:rFonts w:ascii="Times New Roman" w:hAnsi="Times New Roman" w:cs="Times New Roman"/>
          <w:sz w:val="28"/>
          <w:szCs w:val="28"/>
          <w:shd w:val="clear" w:color="auto" w:fill="FFFFFF"/>
          <w:lang w:val="es-ES_tradnl"/>
        </w:rPr>
        <w:t xml:space="preserve">corresponde a </w:t>
      </w:r>
      <w:r w:rsidRPr="005C22FB">
        <w:rPr>
          <w:rFonts w:ascii="Times New Roman" w:hAnsi="Times New Roman" w:cs="Times New Roman"/>
          <w:sz w:val="28"/>
          <w:szCs w:val="28"/>
          <w:lang w:val="es-ES_tradnl"/>
        </w:rPr>
        <w:t>la jurisdicción contencioso administrativa el conocimiento de los procesos relacionados</w:t>
      </w:r>
      <w:r w:rsidRPr="005C22FB">
        <w:rPr>
          <w:rFonts w:ascii="Times New Roman" w:hAnsi="Times New Roman" w:cs="Times New Roman"/>
          <w:sz w:val="28"/>
          <w:szCs w:val="28"/>
          <w:shd w:val="clear" w:color="auto" w:fill="FFFFFF"/>
          <w:lang w:val="es-ES_tradnl"/>
        </w:rPr>
        <w:t xml:space="preserve"> con el pago de recobros judiciales al Estado por prestaciones no incluidas en el antiguo POS (hoy PBS) y por las devoluciones o glosas a las facturas entre entidades del SGSSS</w:t>
      </w:r>
      <w:r w:rsidRPr="005C22FB">
        <w:rPr>
          <w:rFonts w:ascii="Times New Roman" w:hAnsi="Times New Roman" w:cs="Times New Roman"/>
          <w:sz w:val="28"/>
          <w:szCs w:val="28"/>
          <w:lang w:val="es-ES_tradnl"/>
        </w:rPr>
        <w:t xml:space="preserve">. Esta corporación explicó que tales controversias no hacen parte de aquellas que conocen los jueces ordinarios en su especialidad laboral, en virtud del artículo 2.4 del CPTSS, en la medida que el procedimiento de recobro, en estricto sentido, no corresponde a una disputa relativa a la prestación de servicios de seguridad social, sino que implica resolver un desequilibrio económico entre el Estado y una EPS. Adicionalmente, en este tipo de procesos no intervienen afiliados, beneficiarios, usuarios ni empleadores. De ahí que sea necesario aplicar el artículo 104.1 de la Ley 1437 del 2011, pues el procedimiento de recobro constituye un trámite administrativo que busca gestionar las fuentes y los recursos que financian el SGSS. Es decir, se discuten actos administrativos que consolidan o niegan la existencia de una obligación. </w:t>
      </w:r>
    </w:p>
    <w:p w14:paraId="0B8DB0D3" w14:textId="77777777" w:rsidR="00000000" w:rsidRPr="005C22FB" w:rsidRDefault="00000000" w:rsidP="00092381">
      <w:pPr>
        <w:tabs>
          <w:tab w:val="left" w:pos="1560"/>
        </w:tabs>
        <w:jc w:val="both"/>
        <w:rPr>
          <w:rFonts w:ascii="Times New Roman" w:hAnsi="Times New Roman" w:cs="Times New Roman"/>
          <w:sz w:val="28"/>
          <w:szCs w:val="28"/>
          <w:lang w:val="es-ES_tradnl"/>
        </w:rPr>
      </w:pPr>
    </w:p>
    <w:p w14:paraId="55C555E8" w14:textId="77777777" w:rsidR="00000000" w:rsidRPr="005C22FB" w:rsidRDefault="005C22FB" w:rsidP="00092381">
      <w:pPr>
        <w:tabs>
          <w:tab w:val="left" w:pos="1560"/>
        </w:tabs>
        <w:jc w:val="both"/>
        <w:rPr>
          <w:rFonts w:ascii="Times New Roman" w:hAnsi="Times New Roman" w:cs="Times New Roman"/>
          <w:sz w:val="28"/>
          <w:szCs w:val="28"/>
          <w:lang w:val="es-ES_tradnl"/>
        </w:rPr>
      </w:pPr>
      <w:r w:rsidRPr="005C22FB">
        <w:rPr>
          <w:rFonts w:ascii="Times New Roman" w:hAnsi="Times New Roman" w:cs="Times New Roman"/>
          <w:sz w:val="28"/>
          <w:szCs w:val="28"/>
          <w:lang w:val="es-ES_tradnl"/>
        </w:rPr>
        <w:t xml:space="preserve">6. </w:t>
      </w:r>
      <w:r w:rsidRPr="005C22FB">
        <w:rPr>
          <w:rFonts w:ascii="Times New Roman" w:hAnsi="Times New Roman" w:cs="Times New Roman"/>
          <w:i/>
          <w:iCs/>
          <w:sz w:val="28"/>
          <w:szCs w:val="28"/>
        </w:rPr>
        <w:t>Reiteración del Auto 1942 de 2023</w:t>
      </w:r>
      <w:r w:rsidRPr="005C22FB">
        <w:rPr>
          <w:rStyle w:val="Refdenotaalpie"/>
          <w:rFonts w:ascii="Times New Roman" w:hAnsi="Times New Roman" w:cs="Times New Roman"/>
          <w:sz w:val="28"/>
        </w:rPr>
        <w:footnoteReference w:id="6"/>
      </w:r>
      <w:r w:rsidRPr="005C22FB">
        <w:rPr>
          <w:rFonts w:ascii="Times New Roman" w:hAnsi="Times New Roman" w:cs="Times New Roman"/>
          <w:i/>
          <w:iCs/>
          <w:sz w:val="28"/>
          <w:szCs w:val="28"/>
        </w:rPr>
        <w:t>, que adoptó reglas de transición de carácter excepcional y temporal, para evitar la imposición de una carga excesivamente gravosa con ocasión del cambio jurisprudencial introducido por el Auto 389 de 2021.</w:t>
      </w:r>
      <w:r w:rsidRPr="005C22FB">
        <w:rPr>
          <w:rFonts w:ascii="Times New Roman" w:hAnsi="Times New Roman" w:cs="Times New Roman"/>
          <w:sz w:val="28"/>
          <w:szCs w:val="28"/>
        </w:rPr>
        <w:t xml:space="preserve"> En esta decisión, la Sala Plena de la Corte Constitucional reiteró la regla de decisión del Auto 389 de 2021. Sin embargo, adoptó un régimen de transición de carácter excepcional y temporal, para </w:t>
      </w:r>
      <w:r w:rsidRPr="005C22FB">
        <w:rPr>
          <w:rFonts w:ascii="Times New Roman" w:hAnsi="Times New Roman" w:cs="Times New Roman"/>
          <w:sz w:val="28"/>
          <w:szCs w:val="28"/>
          <w:lang w:val="es-ES"/>
        </w:rPr>
        <w:t xml:space="preserve">mitigar el impacto del ajuste realizado en la jurisprudencia respecto de la competencia de la jurisdicción de lo contencioso administrativo en asuntos relacionados con los recobros judiciales al Estado por prestaciones de servicios médicos no incluidos en el PBS. Lo anterior, para </w:t>
      </w:r>
      <w:r w:rsidRPr="005C22FB">
        <w:rPr>
          <w:rFonts w:ascii="Times New Roman" w:hAnsi="Times New Roman" w:cs="Times New Roman"/>
          <w:color w:val="000000" w:themeColor="text1"/>
          <w:sz w:val="28"/>
          <w:szCs w:val="28"/>
          <w:lang w:val="es-ES" w:eastAsia="es-ES"/>
        </w:rPr>
        <w:t>“</w:t>
      </w:r>
      <w:r w:rsidRPr="005C22FB">
        <w:rPr>
          <w:rFonts w:ascii="Times New Roman" w:hAnsi="Times New Roman" w:cs="Times New Roman"/>
          <w:sz w:val="28"/>
          <w:szCs w:val="28"/>
          <w:lang w:val="es-ES"/>
        </w:rPr>
        <w:t xml:space="preserve">aquellos demandantes que hayan optado o llegaren a optar por los medios de control de nulidad y restablecimiento del derecho o de reparación directa y que no logren cumplir los presupuestos procesales atinentes al agotamiento de recursos administrativos (nulidad y restablecimiento) y la conciliación extrajudicial, así </w:t>
      </w:r>
      <w:r w:rsidRPr="005C22FB">
        <w:rPr>
          <w:rFonts w:ascii="Times New Roman" w:hAnsi="Times New Roman" w:cs="Times New Roman"/>
          <w:sz w:val="28"/>
          <w:szCs w:val="28"/>
          <w:lang w:val="es-ES"/>
        </w:rPr>
        <w:lastRenderedPageBreak/>
        <w:t>como formular la demanda dentro del término de caducidad (cuatro meses o dos años)</w:t>
      </w:r>
      <w:r w:rsidRPr="005C22FB">
        <w:rPr>
          <w:rFonts w:ascii="Times New Roman" w:hAnsi="Times New Roman" w:cs="Times New Roman"/>
          <w:color w:val="000000" w:themeColor="text1"/>
          <w:sz w:val="28"/>
          <w:szCs w:val="28"/>
          <w:lang w:val="es-ES" w:eastAsia="es-ES"/>
        </w:rPr>
        <w:t>”</w:t>
      </w:r>
      <w:r w:rsidRPr="005C22FB">
        <w:rPr>
          <w:rFonts w:ascii="Times New Roman" w:hAnsi="Times New Roman" w:cs="Times New Roman"/>
          <w:sz w:val="28"/>
          <w:szCs w:val="28"/>
          <w:lang w:val="es-ES"/>
        </w:rPr>
        <w:t>. Estas son las reglas de transición:</w:t>
      </w:r>
    </w:p>
    <w:p w14:paraId="0E7D9B85" w14:textId="77777777" w:rsidR="00000000" w:rsidRPr="005C22FB" w:rsidRDefault="00000000" w:rsidP="00337A28">
      <w:pPr>
        <w:pStyle w:val="Prrafodelista"/>
        <w:ind w:left="0"/>
        <w:rPr>
          <w:rFonts w:ascii="Times New Roman" w:hAnsi="Times New Roman" w:cs="Times New Roman"/>
          <w:i/>
          <w:iCs/>
          <w:u w:val="single"/>
        </w:rPr>
      </w:pPr>
    </w:p>
    <w:tbl>
      <w:tblPr>
        <w:tblStyle w:val="Tablaconcuadrcula"/>
        <w:tblW w:w="9209" w:type="dxa"/>
        <w:jc w:val="center"/>
        <w:tblLook w:val="04A0" w:firstRow="1" w:lastRow="0" w:firstColumn="1" w:lastColumn="0" w:noHBand="0" w:noVBand="1"/>
      </w:tblPr>
      <w:tblGrid>
        <w:gridCol w:w="1958"/>
        <w:gridCol w:w="7251"/>
      </w:tblGrid>
      <w:tr w:rsidR="00337A28" w:rsidRPr="005C22FB" w14:paraId="129703C7" w14:textId="77777777" w:rsidTr="008C75D5">
        <w:trPr>
          <w:trHeight w:val="388"/>
          <w:jc w:val="center"/>
        </w:trPr>
        <w:tc>
          <w:tcPr>
            <w:tcW w:w="9209" w:type="dxa"/>
            <w:gridSpan w:val="2"/>
            <w:shd w:val="clear" w:color="auto" w:fill="E7E6E6" w:themeFill="background2"/>
            <w:vAlign w:val="center"/>
          </w:tcPr>
          <w:p w14:paraId="03C408EC" w14:textId="77777777" w:rsidR="00000000" w:rsidRPr="005C22FB" w:rsidRDefault="005C22FB" w:rsidP="008C75D5">
            <w:pPr>
              <w:pStyle w:val="Prrafodelista"/>
              <w:ind w:left="0"/>
              <w:jc w:val="center"/>
              <w:rPr>
                <w:rFonts w:ascii="Times New Roman" w:hAnsi="Times New Roman" w:cs="Times New Roman"/>
                <w:b/>
                <w:bCs/>
                <w:szCs w:val="24"/>
              </w:rPr>
            </w:pPr>
            <w:r w:rsidRPr="005C22FB">
              <w:rPr>
                <w:rFonts w:ascii="Times New Roman" w:hAnsi="Times New Roman" w:cs="Times New Roman"/>
                <w:b/>
                <w:bCs/>
                <w:szCs w:val="24"/>
              </w:rPr>
              <w:t>Síntesis de las reglas de transición desarrolladas en el Auto 1942 de 2023</w:t>
            </w:r>
          </w:p>
        </w:tc>
      </w:tr>
      <w:tr w:rsidR="00337A28" w:rsidRPr="005C22FB" w14:paraId="0FDC8725" w14:textId="77777777" w:rsidTr="008C75D5">
        <w:trPr>
          <w:jc w:val="center"/>
        </w:trPr>
        <w:tc>
          <w:tcPr>
            <w:tcW w:w="1958" w:type="dxa"/>
            <w:vMerge w:val="restart"/>
            <w:shd w:val="clear" w:color="auto" w:fill="F2F2F2" w:themeFill="background1" w:themeFillShade="F2"/>
            <w:vAlign w:val="center"/>
          </w:tcPr>
          <w:p w14:paraId="4678AC0E" w14:textId="77777777" w:rsidR="00000000" w:rsidRPr="005C22FB" w:rsidRDefault="005C22FB" w:rsidP="008C75D5">
            <w:pPr>
              <w:pStyle w:val="Prrafodelista"/>
              <w:ind w:left="0"/>
              <w:jc w:val="center"/>
              <w:rPr>
                <w:rFonts w:ascii="Times New Roman" w:hAnsi="Times New Roman" w:cs="Times New Roman"/>
                <w:i/>
                <w:iCs/>
                <w:szCs w:val="24"/>
              </w:rPr>
            </w:pPr>
            <w:r w:rsidRPr="005C22FB">
              <w:rPr>
                <w:rFonts w:ascii="Times New Roman" w:hAnsi="Times New Roman" w:cs="Times New Roman"/>
                <w:b/>
                <w:bCs/>
                <w:szCs w:val="24"/>
              </w:rPr>
              <w:t>Demandas a las que se aplican las reglas de transición</w:t>
            </w:r>
            <w:r w:rsidRPr="005C22FB">
              <w:rPr>
                <w:rStyle w:val="Refdenotaalpie"/>
                <w:rFonts w:ascii="Times New Roman" w:hAnsi="Times New Roman" w:cs="Times New Roman"/>
                <w:szCs w:val="24"/>
              </w:rPr>
              <w:footnoteReference w:id="7"/>
            </w:r>
          </w:p>
        </w:tc>
        <w:tc>
          <w:tcPr>
            <w:tcW w:w="7251" w:type="dxa"/>
            <w:vAlign w:val="center"/>
          </w:tcPr>
          <w:p w14:paraId="1E6D68DC" w14:textId="77777777" w:rsidR="00000000" w:rsidRPr="005C22FB" w:rsidRDefault="005C22FB" w:rsidP="008C75D5">
            <w:pPr>
              <w:tabs>
                <w:tab w:val="left" w:pos="1504"/>
              </w:tabs>
              <w:jc w:val="both"/>
              <w:rPr>
                <w:rFonts w:ascii="Times New Roman" w:eastAsiaTheme="minorHAnsi" w:hAnsi="Times New Roman" w:cs="Times New Roman"/>
                <w:sz w:val="28"/>
                <w:lang w:val="es-ES"/>
              </w:rPr>
            </w:pPr>
            <w:r w:rsidRPr="005C22FB">
              <w:rPr>
                <w:rFonts w:ascii="Times New Roman" w:hAnsi="Times New Roman" w:cs="Times New Roman"/>
                <w:sz w:val="28"/>
                <w:lang w:eastAsia="en-US"/>
              </w:rPr>
              <w:t xml:space="preserve">Demandas que estaban en trámite ante la jurisdicción ordinaria laboral al momento de expedición del Auto 389 de 2021 </w:t>
            </w:r>
            <w:r w:rsidRPr="005C22FB">
              <w:rPr>
                <w:rFonts w:ascii="Times New Roman" w:eastAsiaTheme="minorHAnsi" w:hAnsi="Times New Roman" w:cs="Times New Roman"/>
                <w:sz w:val="28"/>
                <w:lang w:val="es-ES"/>
              </w:rPr>
              <w:t>y/o que se encontraban en trámite al expedir el Auto 1942 de 2023, y que, a partir del cambio de precedente:</w:t>
            </w:r>
          </w:p>
          <w:p w14:paraId="665C763E" w14:textId="77777777" w:rsidR="00000000" w:rsidRPr="005C22FB" w:rsidRDefault="00000000" w:rsidP="008C75D5">
            <w:pPr>
              <w:tabs>
                <w:tab w:val="left" w:pos="1504"/>
              </w:tabs>
              <w:jc w:val="both"/>
              <w:rPr>
                <w:rFonts w:ascii="Times New Roman" w:hAnsi="Times New Roman" w:cs="Times New Roman"/>
                <w:sz w:val="28"/>
                <w:lang w:eastAsia="en-US"/>
              </w:rPr>
            </w:pPr>
          </w:p>
          <w:p w14:paraId="04311CD1" w14:textId="77777777" w:rsidR="00000000" w:rsidRPr="005C22FB" w:rsidRDefault="005C22FB" w:rsidP="00691A37">
            <w:pPr>
              <w:pStyle w:val="Prrafodelista"/>
              <w:numPr>
                <w:ilvl w:val="0"/>
                <w:numId w:val="2"/>
              </w:numPr>
              <w:ind w:left="183" w:firstLine="0"/>
              <w:jc w:val="both"/>
              <w:rPr>
                <w:rFonts w:ascii="Times New Roman" w:eastAsia="Calibri" w:hAnsi="Times New Roman" w:cs="Times New Roman"/>
                <w:szCs w:val="24"/>
              </w:rPr>
            </w:pPr>
            <w:r w:rsidRPr="005C22FB">
              <w:rPr>
                <w:rFonts w:ascii="Times New Roman" w:eastAsiaTheme="minorHAnsi" w:hAnsi="Times New Roman" w:cs="Times New Roman"/>
                <w:bCs/>
                <w:szCs w:val="24"/>
              </w:rPr>
              <w:t>Se remitieron a la jurisdicción de lo contencioso administrativo y en esta sede judicial se adoptó una decisión de rechazo o inadmisión.</w:t>
            </w:r>
          </w:p>
          <w:p w14:paraId="6B2B2DCD" w14:textId="77777777" w:rsidR="00000000" w:rsidRPr="005C22FB" w:rsidRDefault="00000000" w:rsidP="008C75D5">
            <w:pPr>
              <w:pStyle w:val="Prrafodelista"/>
              <w:ind w:left="183"/>
              <w:rPr>
                <w:rFonts w:ascii="Times New Roman" w:eastAsia="Calibri" w:hAnsi="Times New Roman" w:cs="Times New Roman"/>
                <w:szCs w:val="24"/>
              </w:rPr>
            </w:pPr>
          </w:p>
          <w:p w14:paraId="7289144B" w14:textId="77777777" w:rsidR="00000000" w:rsidRPr="005C22FB" w:rsidRDefault="005C22FB" w:rsidP="00691A37">
            <w:pPr>
              <w:pStyle w:val="Prrafodelista"/>
              <w:numPr>
                <w:ilvl w:val="0"/>
                <w:numId w:val="2"/>
              </w:numPr>
              <w:ind w:left="183" w:firstLine="0"/>
              <w:jc w:val="both"/>
              <w:rPr>
                <w:rFonts w:ascii="Times New Roman" w:hAnsi="Times New Roman" w:cs="Times New Roman"/>
                <w:szCs w:val="24"/>
              </w:rPr>
            </w:pPr>
            <w:r w:rsidRPr="005C22FB">
              <w:rPr>
                <w:rFonts w:ascii="Times New Roman" w:hAnsi="Times New Roman" w:cs="Times New Roman"/>
                <w:szCs w:val="24"/>
              </w:rPr>
              <w:t>Se remitieron a la jurisdicción de lo contencioso administrativo hasta seis meses después</w:t>
            </w:r>
            <w:r w:rsidRPr="005C22FB">
              <w:rPr>
                <w:rFonts w:ascii="Times New Roman" w:hAnsi="Times New Roman" w:cs="Times New Roman"/>
                <w:bCs/>
                <w:szCs w:val="24"/>
              </w:rPr>
              <w:t xml:space="preserve"> </w:t>
            </w:r>
            <w:r w:rsidRPr="005C22FB">
              <w:rPr>
                <w:rFonts w:ascii="Times New Roman" w:hAnsi="Times New Roman" w:cs="Times New Roman"/>
                <w:szCs w:val="24"/>
              </w:rPr>
              <w:t xml:space="preserve">de la publicación del Auto 1942 de 2023 </w:t>
            </w:r>
            <w:r w:rsidRPr="005C22FB">
              <w:rPr>
                <w:rFonts w:ascii="Times New Roman" w:hAnsi="Times New Roman" w:cs="Times New Roman"/>
                <w:bCs/>
                <w:szCs w:val="24"/>
              </w:rPr>
              <w:t>y en dicha sede se deba adoptar una decisión de rechazo o inadmisión.</w:t>
            </w:r>
          </w:p>
        </w:tc>
      </w:tr>
      <w:tr w:rsidR="00337A28" w:rsidRPr="005C22FB" w14:paraId="1B383F06" w14:textId="77777777" w:rsidTr="008C75D5">
        <w:trPr>
          <w:jc w:val="center"/>
        </w:trPr>
        <w:tc>
          <w:tcPr>
            <w:tcW w:w="1958" w:type="dxa"/>
            <w:vMerge/>
            <w:shd w:val="clear" w:color="auto" w:fill="F2F2F2" w:themeFill="background1" w:themeFillShade="F2"/>
            <w:vAlign w:val="center"/>
          </w:tcPr>
          <w:p w14:paraId="1A3960B3" w14:textId="77777777" w:rsidR="00000000" w:rsidRPr="005C22FB" w:rsidRDefault="00000000" w:rsidP="008C75D5">
            <w:pPr>
              <w:pStyle w:val="Prrafodelista"/>
              <w:ind w:left="0"/>
              <w:rPr>
                <w:rFonts w:ascii="Times New Roman" w:hAnsi="Times New Roman" w:cs="Times New Roman"/>
                <w:i/>
                <w:iCs/>
                <w:szCs w:val="24"/>
                <w:u w:val="single"/>
              </w:rPr>
            </w:pPr>
          </w:p>
        </w:tc>
        <w:tc>
          <w:tcPr>
            <w:tcW w:w="7251" w:type="dxa"/>
            <w:vAlign w:val="center"/>
          </w:tcPr>
          <w:p w14:paraId="263F66BB" w14:textId="77777777" w:rsidR="00000000" w:rsidRPr="005C22FB" w:rsidRDefault="005C22FB" w:rsidP="00691A37">
            <w:pPr>
              <w:pStyle w:val="Prrafodelista"/>
              <w:ind w:left="0"/>
              <w:jc w:val="both"/>
              <w:rPr>
                <w:rFonts w:ascii="Times New Roman" w:hAnsi="Times New Roman" w:cs="Times New Roman"/>
                <w:szCs w:val="24"/>
              </w:rPr>
            </w:pPr>
            <w:r w:rsidRPr="005C22FB">
              <w:rPr>
                <w:rFonts w:ascii="Times New Roman" w:hAnsi="Times New Roman" w:cs="Times New Roman"/>
                <w:szCs w:val="24"/>
              </w:rPr>
              <w:t>Demandas instauradas ante la jurisdicción de lo contencioso administrativo con posterioridad a la expedición del Auto 389 de 2021 y que, a partir del cambio de precedente:</w:t>
            </w:r>
          </w:p>
          <w:p w14:paraId="6954D425" w14:textId="77777777" w:rsidR="00000000" w:rsidRPr="005C22FB" w:rsidRDefault="00000000" w:rsidP="008C75D5">
            <w:pPr>
              <w:pStyle w:val="Prrafodelista"/>
              <w:ind w:left="0"/>
              <w:rPr>
                <w:rFonts w:ascii="Times New Roman" w:hAnsi="Times New Roman" w:cs="Times New Roman"/>
                <w:b/>
                <w:bCs/>
                <w:szCs w:val="24"/>
              </w:rPr>
            </w:pPr>
          </w:p>
          <w:p w14:paraId="765B82D4" w14:textId="77777777" w:rsidR="00000000" w:rsidRPr="005C22FB" w:rsidRDefault="005C22FB" w:rsidP="00691A37">
            <w:pPr>
              <w:pStyle w:val="Prrafodelista"/>
              <w:numPr>
                <w:ilvl w:val="0"/>
                <w:numId w:val="2"/>
              </w:numPr>
              <w:ind w:left="183" w:firstLine="0"/>
              <w:jc w:val="both"/>
              <w:rPr>
                <w:rFonts w:ascii="Times New Roman" w:hAnsi="Times New Roman" w:cs="Times New Roman"/>
                <w:szCs w:val="24"/>
              </w:rPr>
            </w:pPr>
            <w:r w:rsidRPr="005C22FB">
              <w:rPr>
                <w:rFonts w:ascii="Times New Roman" w:hAnsi="Times New Roman" w:cs="Times New Roman"/>
                <w:szCs w:val="24"/>
              </w:rPr>
              <w:t>Se inadmitieron o rechazaron por el incumplimiento de los requisitos de procedibilidad, según el medio de control elegido por el demandante.</w:t>
            </w:r>
          </w:p>
          <w:p w14:paraId="2FB6F4BB" w14:textId="77777777" w:rsidR="00000000" w:rsidRPr="005C22FB" w:rsidRDefault="00000000" w:rsidP="008C75D5">
            <w:pPr>
              <w:pStyle w:val="Prrafodelista"/>
              <w:ind w:left="183"/>
              <w:rPr>
                <w:rFonts w:ascii="Times New Roman" w:hAnsi="Times New Roman" w:cs="Times New Roman"/>
                <w:szCs w:val="24"/>
              </w:rPr>
            </w:pPr>
          </w:p>
          <w:p w14:paraId="18D76B33" w14:textId="77777777" w:rsidR="00000000" w:rsidRPr="005C22FB" w:rsidRDefault="005C22FB" w:rsidP="00691A37">
            <w:pPr>
              <w:pStyle w:val="Prrafodelista"/>
              <w:numPr>
                <w:ilvl w:val="0"/>
                <w:numId w:val="2"/>
              </w:numPr>
              <w:ind w:left="183" w:firstLine="0"/>
              <w:jc w:val="both"/>
              <w:rPr>
                <w:rFonts w:ascii="Times New Roman" w:hAnsi="Times New Roman" w:cs="Times New Roman"/>
                <w:szCs w:val="24"/>
              </w:rPr>
            </w:pPr>
            <w:r w:rsidRPr="005C22FB">
              <w:rPr>
                <w:rFonts w:ascii="Times New Roman" w:hAnsi="Times New Roman" w:cs="Times New Roman"/>
                <w:szCs w:val="24"/>
              </w:rPr>
              <w:t xml:space="preserve"> </w:t>
            </w:r>
            <w:r w:rsidRPr="005C22FB">
              <w:rPr>
                <w:rFonts w:ascii="Times New Roman" w:eastAsiaTheme="minorHAnsi" w:hAnsi="Times New Roman" w:cs="Times New Roman"/>
                <w:bCs/>
                <w:szCs w:val="24"/>
              </w:rPr>
              <w:t>Se encuentran en trámite al momento de la expedición del auto 1492 de 2023 y en dicha sede se deba adoptar una decisión de rechazo o inadmisión.</w:t>
            </w:r>
          </w:p>
        </w:tc>
      </w:tr>
      <w:tr w:rsidR="00337A28" w:rsidRPr="005C22FB" w14:paraId="0BF79C52" w14:textId="77777777" w:rsidTr="008C75D5">
        <w:trPr>
          <w:jc w:val="center"/>
        </w:trPr>
        <w:tc>
          <w:tcPr>
            <w:tcW w:w="1958" w:type="dxa"/>
            <w:vMerge/>
            <w:shd w:val="clear" w:color="auto" w:fill="F2F2F2" w:themeFill="background1" w:themeFillShade="F2"/>
            <w:vAlign w:val="center"/>
          </w:tcPr>
          <w:p w14:paraId="57D68532" w14:textId="77777777" w:rsidR="00000000" w:rsidRPr="005C22FB" w:rsidRDefault="00000000" w:rsidP="008C75D5">
            <w:pPr>
              <w:pStyle w:val="Prrafodelista"/>
              <w:ind w:left="0"/>
              <w:rPr>
                <w:rFonts w:ascii="Times New Roman" w:hAnsi="Times New Roman" w:cs="Times New Roman"/>
                <w:i/>
                <w:iCs/>
                <w:szCs w:val="24"/>
                <w:u w:val="single"/>
              </w:rPr>
            </w:pPr>
          </w:p>
        </w:tc>
        <w:tc>
          <w:tcPr>
            <w:tcW w:w="7251" w:type="dxa"/>
            <w:vAlign w:val="center"/>
          </w:tcPr>
          <w:p w14:paraId="5BC0BBF5" w14:textId="77777777" w:rsidR="00000000" w:rsidRPr="005C22FB" w:rsidRDefault="005C22FB" w:rsidP="00691A37">
            <w:pPr>
              <w:pStyle w:val="Prrafodelista"/>
              <w:numPr>
                <w:ilvl w:val="0"/>
                <w:numId w:val="2"/>
              </w:numPr>
              <w:ind w:left="183" w:firstLine="0"/>
              <w:jc w:val="both"/>
              <w:rPr>
                <w:rFonts w:ascii="Times New Roman" w:hAnsi="Times New Roman" w:cs="Times New Roman"/>
                <w:szCs w:val="24"/>
              </w:rPr>
            </w:pPr>
            <w:r w:rsidRPr="005C22FB">
              <w:rPr>
                <w:rFonts w:ascii="Times New Roman" w:hAnsi="Times New Roman" w:cs="Times New Roman"/>
                <w:szCs w:val="24"/>
              </w:rPr>
              <w:t xml:space="preserve">Demandas que </w:t>
            </w:r>
            <w:r w:rsidRPr="005C22FB">
              <w:rPr>
                <w:rFonts w:ascii="Times New Roman" w:eastAsiaTheme="minorHAnsi" w:hAnsi="Times New Roman" w:cs="Times New Roman"/>
                <w:szCs w:val="24"/>
              </w:rPr>
              <w:t xml:space="preserve">se inicien hasta seis meses después </w:t>
            </w:r>
            <w:r w:rsidRPr="005C22FB">
              <w:rPr>
                <w:rFonts w:ascii="Times New Roman" w:hAnsi="Times New Roman" w:cs="Times New Roman"/>
                <w:szCs w:val="24"/>
                <w:shd w:val="clear" w:color="auto" w:fill="FFFFFF"/>
              </w:rPr>
              <w:t>de la publicación por parte del Consejo Superior de la Judicatura del Auto 1942 de 2023, según lo ordenado en el resolutivo sexto.</w:t>
            </w:r>
          </w:p>
        </w:tc>
      </w:tr>
      <w:tr w:rsidR="00337A28" w:rsidRPr="005C22FB" w14:paraId="523287DF" w14:textId="77777777" w:rsidTr="008C75D5">
        <w:trPr>
          <w:jc w:val="center"/>
        </w:trPr>
        <w:tc>
          <w:tcPr>
            <w:tcW w:w="1958" w:type="dxa"/>
            <w:vMerge w:val="restart"/>
            <w:shd w:val="clear" w:color="auto" w:fill="F2F2F2" w:themeFill="background1" w:themeFillShade="F2"/>
            <w:vAlign w:val="center"/>
          </w:tcPr>
          <w:p w14:paraId="3534A1FF" w14:textId="77777777" w:rsidR="00000000" w:rsidRPr="005C22FB" w:rsidRDefault="005C22FB" w:rsidP="008C75D5">
            <w:pPr>
              <w:pStyle w:val="Prrafodelista"/>
              <w:ind w:left="0"/>
              <w:jc w:val="center"/>
              <w:rPr>
                <w:rFonts w:ascii="Times New Roman" w:hAnsi="Times New Roman" w:cs="Times New Roman"/>
                <w:b/>
                <w:bCs/>
                <w:szCs w:val="24"/>
              </w:rPr>
            </w:pPr>
            <w:r w:rsidRPr="005C22FB">
              <w:rPr>
                <w:rFonts w:ascii="Times New Roman" w:hAnsi="Times New Roman" w:cs="Times New Roman"/>
                <w:b/>
                <w:bCs/>
                <w:szCs w:val="24"/>
              </w:rPr>
              <w:t>Reglas de transición a aplicar</w:t>
            </w:r>
            <w:r w:rsidRPr="005C22FB">
              <w:rPr>
                <w:rStyle w:val="Refdenotaalpie"/>
                <w:rFonts w:ascii="Times New Roman" w:hAnsi="Times New Roman" w:cs="Times New Roman"/>
                <w:b/>
                <w:bCs/>
                <w:szCs w:val="24"/>
              </w:rPr>
              <w:footnoteReference w:id="8"/>
            </w:r>
          </w:p>
        </w:tc>
        <w:tc>
          <w:tcPr>
            <w:tcW w:w="7251" w:type="dxa"/>
            <w:vAlign w:val="center"/>
          </w:tcPr>
          <w:p w14:paraId="3F3793EC" w14:textId="77777777" w:rsidR="00000000" w:rsidRPr="005C22FB" w:rsidRDefault="005C22FB" w:rsidP="008C75D5">
            <w:pPr>
              <w:contextualSpacing/>
              <w:jc w:val="both"/>
              <w:rPr>
                <w:rFonts w:ascii="Times New Roman" w:hAnsi="Times New Roman" w:cs="Times New Roman"/>
                <w:sz w:val="28"/>
              </w:rPr>
            </w:pPr>
            <w:r w:rsidRPr="005C22FB">
              <w:rPr>
                <w:rFonts w:ascii="Times New Roman" w:hAnsi="Times New Roman" w:cs="Times New Roman"/>
                <w:i/>
                <w:iCs/>
                <w:sz w:val="28"/>
                <w:u w:val="single"/>
              </w:rPr>
              <w:t>Respecto del agotamiento previo de recursos</w:t>
            </w:r>
            <w:r w:rsidRPr="005C22FB">
              <w:rPr>
                <w:rFonts w:ascii="Times New Roman" w:hAnsi="Times New Roman" w:cs="Times New Roman"/>
                <w:sz w:val="28"/>
              </w:rPr>
              <w:t xml:space="preserve">. El artículo 161.2 del CPACA, que refiere </w:t>
            </w:r>
            <w:r w:rsidRPr="005C22FB">
              <w:rPr>
                <w:rFonts w:ascii="Times New Roman" w:hAnsi="Times New Roman" w:cs="Times New Roman"/>
                <w:sz w:val="28"/>
                <w:shd w:val="clear" w:color="auto" w:fill="FFFFFF"/>
                <w:lang w:val="es-MX"/>
              </w:rPr>
              <w:t xml:space="preserve">el agotamiento previo de los recursos obligatorios </w:t>
            </w:r>
            <w:r w:rsidRPr="005C22FB">
              <w:rPr>
                <w:rFonts w:ascii="Times New Roman" w:hAnsi="Times New Roman" w:cs="Times New Roman"/>
                <w:b/>
                <w:bCs/>
                <w:sz w:val="28"/>
                <w:shd w:val="clear" w:color="auto" w:fill="FFFFFF"/>
                <w:lang w:val="es-MX"/>
              </w:rPr>
              <w:t>no aplica frente a las demandas de nulidad y restablecimiento del derecho</w:t>
            </w:r>
            <w:r w:rsidRPr="005C22FB">
              <w:rPr>
                <w:rFonts w:ascii="Times New Roman" w:hAnsi="Times New Roman" w:cs="Times New Roman"/>
                <w:sz w:val="28"/>
                <w:shd w:val="clear" w:color="auto" w:fill="FFFFFF"/>
                <w:lang w:val="es-MX"/>
              </w:rPr>
              <w:t xml:space="preserve"> promovidas contra la ADRES, con la finalidad de obtener el recobro judicial </w:t>
            </w:r>
            <w:r w:rsidRPr="005C22FB">
              <w:rPr>
                <w:rFonts w:ascii="Times New Roman" w:hAnsi="Times New Roman" w:cs="Times New Roman"/>
                <w:sz w:val="28"/>
                <w:shd w:val="clear" w:color="auto" w:fill="FFFFFF"/>
              </w:rPr>
              <w:t>por prestaciones de servicios de salud no incluidos en el PBS. Por consiguiente, las autoridades judiciales no deben exigir que se adelante el trámite de objeción ante la ADRES (</w:t>
            </w:r>
            <w:r w:rsidRPr="005C22FB">
              <w:rPr>
                <w:rFonts w:ascii="Times New Roman" w:hAnsi="Times New Roman" w:cs="Times New Roman"/>
                <w:i/>
                <w:iCs/>
                <w:sz w:val="28"/>
                <w:shd w:val="clear" w:color="auto" w:fill="FFFFFF"/>
              </w:rPr>
              <w:t>ni ningún otro recurso adicional</w:t>
            </w:r>
            <w:r w:rsidRPr="005C22FB">
              <w:rPr>
                <w:rFonts w:ascii="Times New Roman" w:hAnsi="Times New Roman" w:cs="Times New Roman"/>
                <w:sz w:val="28"/>
                <w:shd w:val="clear" w:color="auto" w:fill="FFFFFF"/>
              </w:rPr>
              <w:t>), para que el medio de control de nulidad y restablecimiento del derecho sea admitido.</w:t>
            </w:r>
          </w:p>
        </w:tc>
      </w:tr>
      <w:tr w:rsidR="00337A28" w:rsidRPr="005C22FB" w14:paraId="2CE33F2F" w14:textId="77777777" w:rsidTr="008C75D5">
        <w:trPr>
          <w:jc w:val="center"/>
        </w:trPr>
        <w:tc>
          <w:tcPr>
            <w:tcW w:w="1958" w:type="dxa"/>
            <w:vMerge/>
            <w:shd w:val="clear" w:color="auto" w:fill="F2F2F2" w:themeFill="background1" w:themeFillShade="F2"/>
            <w:vAlign w:val="center"/>
          </w:tcPr>
          <w:p w14:paraId="77934642" w14:textId="77777777" w:rsidR="00000000" w:rsidRPr="005C22FB" w:rsidRDefault="00000000" w:rsidP="008C75D5">
            <w:pPr>
              <w:pStyle w:val="Prrafodelista"/>
              <w:ind w:left="0"/>
              <w:rPr>
                <w:rFonts w:ascii="Times New Roman" w:hAnsi="Times New Roman" w:cs="Times New Roman"/>
                <w:i/>
                <w:iCs/>
                <w:szCs w:val="24"/>
                <w:u w:val="single"/>
              </w:rPr>
            </w:pPr>
          </w:p>
        </w:tc>
        <w:tc>
          <w:tcPr>
            <w:tcW w:w="7251" w:type="dxa"/>
            <w:vAlign w:val="center"/>
          </w:tcPr>
          <w:p w14:paraId="67FB406B" w14:textId="77777777" w:rsidR="00000000" w:rsidRPr="005C22FB" w:rsidRDefault="005C22FB" w:rsidP="008C75D5">
            <w:pPr>
              <w:contextualSpacing/>
              <w:jc w:val="both"/>
              <w:rPr>
                <w:rFonts w:ascii="Times New Roman" w:hAnsi="Times New Roman" w:cs="Times New Roman"/>
                <w:sz w:val="28"/>
                <w:u w:val="single"/>
              </w:rPr>
            </w:pPr>
            <w:r w:rsidRPr="005C22FB">
              <w:rPr>
                <w:rFonts w:ascii="Times New Roman" w:hAnsi="Times New Roman" w:cs="Times New Roman"/>
                <w:i/>
                <w:iCs/>
                <w:sz w:val="28"/>
                <w:u w:val="single"/>
              </w:rPr>
              <w:t>Respecto de la conciliación extrajudicial</w:t>
            </w:r>
            <w:r w:rsidRPr="005C22FB">
              <w:rPr>
                <w:rFonts w:ascii="Times New Roman" w:hAnsi="Times New Roman" w:cs="Times New Roman"/>
                <w:i/>
                <w:iCs/>
                <w:sz w:val="28"/>
              </w:rPr>
              <w:t>.</w:t>
            </w:r>
            <w:r w:rsidRPr="005C22FB">
              <w:rPr>
                <w:rFonts w:ascii="Times New Roman" w:hAnsi="Times New Roman" w:cs="Times New Roman"/>
                <w:sz w:val="28"/>
              </w:rPr>
              <w:t xml:space="preserve"> No se exigirá el agotamiento del requisito de la conciliación extrajudicial previsto en el artículo 161.1 del CPACA. Y en las demandas que exista una conciliación previa deberá ser tenida en cuenta por las autoridades judiciales. En todo caso, </w:t>
            </w:r>
            <w:r w:rsidRPr="005C22FB">
              <w:rPr>
                <w:rFonts w:ascii="Times New Roman" w:hAnsi="Times New Roman" w:cs="Times New Roman"/>
                <w:sz w:val="28"/>
                <w:shd w:val="clear" w:color="auto" w:fill="FFFFFF"/>
              </w:rPr>
              <w:t>los jueces administrativos deberán invitar a las partes a conciliar sus diferencias proponiendo eventuales fórmulas de arreglo en la audiencia inicial del artículo 180 del CPACA.</w:t>
            </w:r>
          </w:p>
        </w:tc>
      </w:tr>
      <w:tr w:rsidR="00337A28" w:rsidRPr="005C22FB" w14:paraId="33042635" w14:textId="77777777" w:rsidTr="008C75D5">
        <w:trPr>
          <w:trHeight w:val="294"/>
          <w:jc w:val="center"/>
        </w:trPr>
        <w:tc>
          <w:tcPr>
            <w:tcW w:w="1958" w:type="dxa"/>
            <w:vMerge/>
            <w:shd w:val="clear" w:color="auto" w:fill="F2F2F2" w:themeFill="background1" w:themeFillShade="F2"/>
            <w:vAlign w:val="center"/>
          </w:tcPr>
          <w:p w14:paraId="24FBC0A6" w14:textId="77777777" w:rsidR="00000000" w:rsidRPr="005C22FB" w:rsidRDefault="00000000" w:rsidP="008C75D5">
            <w:pPr>
              <w:pStyle w:val="Prrafodelista"/>
              <w:ind w:left="0"/>
              <w:rPr>
                <w:rFonts w:ascii="Times New Roman" w:hAnsi="Times New Roman" w:cs="Times New Roman"/>
                <w:i/>
                <w:iCs/>
                <w:szCs w:val="24"/>
                <w:u w:val="single"/>
              </w:rPr>
            </w:pPr>
          </w:p>
        </w:tc>
        <w:tc>
          <w:tcPr>
            <w:tcW w:w="7251" w:type="dxa"/>
            <w:vAlign w:val="center"/>
          </w:tcPr>
          <w:p w14:paraId="691A5A39" w14:textId="77777777" w:rsidR="00000000" w:rsidRPr="005C22FB" w:rsidRDefault="005C22FB" w:rsidP="008C75D5">
            <w:pPr>
              <w:contextualSpacing/>
              <w:jc w:val="both"/>
              <w:rPr>
                <w:rFonts w:ascii="Times New Roman" w:hAnsi="Times New Roman" w:cs="Times New Roman"/>
                <w:i/>
                <w:iCs/>
                <w:sz w:val="28"/>
                <w:u w:val="single"/>
              </w:rPr>
            </w:pPr>
            <w:r w:rsidRPr="005C22FB">
              <w:rPr>
                <w:rFonts w:ascii="Times New Roman" w:eastAsia="Garamond" w:hAnsi="Times New Roman" w:cs="Times New Roman"/>
                <w:i/>
                <w:iCs/>
                <w:sz w:val="28"/>
                <w:u w:val="single"/>
              </w:rPr>
              <w:t>Respecto de los términos de caducidad del medio de control</w:t>
            </w:r>
            <w:r w:rsidRPr="005C22FB">
              <w:rPr>
                <w:rFonts w:ascii="Times New Roman" w:eastAsia="Garamond" w:hAnsi="Times New Roman" w:cs="Times New Roman"/>
                <w:i/>
                <w:iCs/>
                <w:sz w:val="28"/>
              </w:rPr>
              <w:t xml:space="preserve">. </w:t>
            </w:r>
            <w:r w:rsidRPr="005C22FB">
              <w:rPr>
                <w:rFonts w:ascii="Times New Roman" w:eastAsia="Garamond" w:hAnsi="Times New Roman" w:cs="Times New Roman"/>
                <w:sz w:val="28"/>
              </w:rPr>
              <w:t xml:space="preserve">En cada caso, </w:t>
            </w:r>
            <w:r w:rsidRPr="005C22FB">
              <w:rPr>
                <w:rFonts w:ascii="Times New Roman" w:eastAsia="Garamond" w:hAnsi="Times New Roman" w:cs="Times New Roman"/>
                <w:b/>
                <w:bCs/>
                <w:sz w:val="28"/>
              </w:rPr>
              <w:t xml:space="preserve">el juez de lo contencioso administrativo podrá </w:t>
            </w:r>
            <w:r w:rsidRPr="005C22FB">
              <w:rPr>
                <w:rFonts w:ascii="Times New Roman" w:hAnsi="Times New Roman" w:cs="Times New Roman"/>
                <w:b/>
                <w:bCs/>
                <w:sz w:val="28"/>
              </w:rPr>
              <w:t>contabilizar el término de la prescripción</w:t>
            </w:r>
            <w:r w:rsidRPr="005C22FB">
              <w:rPr>
                <w:rFonts w:ascii="Times New Roman" w:hAnsi="Times New Roman" w:cs="Times New Roman"/>
                <w:sz w:val="28"/>
              </w:rPr>
              <w:t xml:space="preserve"> que debió tener en cuenta el juez laboral y de la seguridad social, al momento de estudiar la caducidad y admisión de la demanda.</w:t>
            </w:r>
          </w:p>
        </w:tc>
      </w:tr>
    </w:tbl>
    <w:p w14:paraId="413A8F81" w14:textId="77777777" w:rsidR="00000000" w:rsidRPr="005C22FB" w:rsidRDefault="005C22FB" w:rsidP="00D81DBD">
      <w:pPr>
        <w:tabs>
          <w:tab w:val="left" w:pos="284"/>
        </w:tabs>
        <w:jc w:val="both"/>
        <w:rPr>
          <w:rFonts w:ascii="Times New Roman" w:hAnsi="Times New Roman" w:cs="Times New Roman"/>
          <w:sz w:val="28"/>
          <w:lang w:val="es-ES_tradnl"/>
        </w:rPr>
      </w:pPr>
      <w:r w:rsidRPr="005C22FB">
        <w:rPr>
          <w:rFonts w:ascii="Times New Roman" w:hAnsi="Times New Roman" w:cs="Times New Roman"/>
          <w:sz w:val="28"/>
          <w:lang w:val="es-ES_tradnl"/>
        </w:rPr>
        <w:lastRenderedPageBreak/>
        <w:t xml:space="preserve"> </w:t>
      </w:r>
    </w:p>
    <w:p w14:paraId="7EA00FF1" w14:textId="77777777" w:rsidR="00000000" w:rsidRPr="005C22FB" w:rsidRDefault="005C22FB" w:rsidP="003E148A">
      <w:pPr>
        <w:jc w:val="both"/>
        <w:rPr>
          <w:rFonts w:ascii="Times New Roman" w:hAnsi="Times New Roman" w:cs="Times New Roman"/>
          <w:sz w:val="28"/>
          <w:szCs w:val="28"/>
        </w:rPr>
      </w:pPr>
      <w:r w:rsidRPr="005C22FB">
        <w:rPr>
          <w:rFonts w:ascii="Times New Roman" w:hAnsi="Times New Roman" w:cs="Times New Roman"/>
          <w:sz w:val="28"/>
          <w:szCs w:val="28"/>
        </w:rPr>
        <w:t>7</w:t>
      </w:r>
      <w:r w:rsidRPr="005C22FB">
        <w:rPr>
          <w:rFonts w:ascii="Times New Roman" w:hAnsi="Times New Roman" w:cs="Times New Roman"/>
          <w:i/>
          <w:iCs/>
          <w:sz w:val="28"/>
          <w:szCs w:val="28"/>
          <w:lang w:val="es-ES"/>
        </w:rPr>
        <w:t>. La jurisdicción contencioso administrativa es la competente para conocer el caso que suscita el presente conflicto de competencia entre jurisdicciones</w:t>
      </w:r>
      <w:r w:rsidRPr="005C22FB">
        <w:rPr>
          <w:rFonts w:ascii="Times New Roman" w:hAnsi="Times New Roman" w:cs="Times New Roman"/>
          <w:sz w:val="28"/>
          <w:szCs w:val="28"/>
          <w:lang w:val="es-ES"/>
        </w:rPr>
        <w:t xml:space="preserve">. El </w:t>
      </w:r>
      <w:r w:rsidRPr="005C22FB">
        <w:rPr>
          <w:rFonts w:ascii="Times New Roman" w:hAnsi="Times New Roman" w:cs="Times New Roman"/>
          <w:sz w:val="28"/>
          <w:szCs w:val="28"/>
        </w:rPr>
        <w:t xml:space="preserve">Juzgado Quinto Administrativo del Circuito de Bogotá </w:t>
      </w:r>
      <w:r w:rsidRPr="005C22FB">
        <w:rPr>
          <w:rFonts w:ascii="Times New Roman" w:hAnsi="Times New Roman" w:cs="Times New Roman"/>
          <w:sz w:val="28"/>
          <w:szCs w:val="28"/>
          <w:lang w:val="es-ES"/>
        </w:rPr>
        <w:t xml:space="preserve">es el competente para pronunciarse sobre el presente asunto, en tanto este versa sobre el reconocimiento y pago de sumas derivadas de los recobros realizados por Compensar EPS a la ADRES, </w:t>
      </w:r>
      <w:r w:rsidRPr="005C22FB">
        <w:rPr>
          <w:rFonts w:ascii="Times New Roman" w:hAnsi="Times New Roman" w:cs="Times New Roman"/>
          <w:sz w:val="28"/>
          <w:szCs w:val="28"/>
        </w:rPr>
        <w:t xml:space="preserve">la Unión Temporal FOSYGA 2014 y el Consorcio SAYP 2011, </w:t>
      </w:r>
      <w:r w:rsidRPr="005C22FB">
        <w:rPr>
          <w:rFonts w:ascii="Times New Roman" w:hAnsi="Times New Roman" w:cs="Times New Roman"/>
          <w:sz w:val="28"/>
          <w:szCs w:val="28"/>
          <w:lang w:val="es-ES"/>
        </w:rPr>
        <w:t xml:space="preserve">por insumos y servicios prestados, que no se encontraban incluidos en el PBS (antes POS) y que fueron reconocidos por decisiones del CTC o por acciones de tutela.  </w:t>
      </w:r>
    </w:p>
    <w:p w14:paraId="5D9086B6" w14:textId="77777777" w:rsidR="00000000" w:rsidRPr="005C22FB" w:rsidRDefault="00000000" w:rsidP="002F3861">
      <w:pPr>
        <w:rPr>
          <w:rFonts w:ascii="Times New Roman" w:hAnsi="Times New Roman" w:cs="Times New Roman"/>
          <w:sz w:val="28"/>
        </w:rPr>
      </w:pPr>
    </w:p>
    <w:p w14:paraId="0C8CDF31" w14:textId="77777777" w:rsidR="00000000" w:rsidRPr="005C22FB" w:rsidRDefault="005C22FB" w:rsidP="005B47F5">
      <w:pPr>
        <w:shd w:val="clear" w:color="auto" w:fill="FFFFFF"/>
        <w:spacing w:before="1"/>
        <w:jc w:val="both"/>
        <w:rPr>
          <w:rFonts w:ascii="Times New Roman" w:hAnsi="Times New Roman" w:cs="Times New Roman"/>
          <w:sz w:val="28"/>
          <w:szCs w:val="28"/>
        </w:rPr>
      </w:pPr>
      <w:r w:rsidRPr="005C22FB">
        <w:rPr>
          <w:rFonts w:ascii="Times New Roman" w:hAnsi="Times New Roman" w:cs="Times New Roman"/>
          <w:sz w:val="28"/>
          <w:szCs w:val="28"/>
          <w:lang w:val="es-ES_tradnl"/>
        </w:rPr>
        <w:t>8.</w:t>
      </w:r>
      <w:r w:rsidRPr="005C22FB">
        <w:rPr>
          <w:rFonts w:ascii="Times New Roman" w:hAnsi="Times New Roman" w:cs="Times New Roman"/>
          <w:i/>
          <w:iCs/>
          <w:sz w:val="28"/>
          <w:szCs w:val="28"/>
          <w:lang w:val="es-ES_tradnl"/>
        </w:rPr>
        <w:t xml:space="preserve"> Regla de decisión:</w:t>
      </w:r>
      <w:r w:rsidRPr="005C22FB">
        <w:rPr>
          <w:rFonts w:ascii="Times New Roman" w:hAnsi="Times New Roman" w:cs="Times New Roman"/>
          <w:sz w:val="28"/>
          <w:szCs w:val="28"/>
          <w:lang w:val="es-ES_tradnl"/>
        </w:rPr>
        <w:t xml:space="preserve"> </w:t>
      </w:r>
      <w:r w:rsidRPr="005C22FB">
        <w:rPr>
          <w:rFonts w:ascii="Times New Roman" w:hAnsi="Times New Roman" w:cs="Times New Roman"/>
          <w:sz w:val="28"/>
          <w:szCs w:val="28"/>
          <w:shd w:val="clear" w:color="auto" w:fill="FFFFFF"/>
          <w:lang w:val="es-ES_tradnl"/>
        </w:rPr>
        <w:t>el conocimiento de los asuntos relacionados con los recobros por servicios, insumos y tecnologías en salud no incluidos en el POS (hoy PBS), o como consecuencia de fallos de tutela o de decisiones de comités técnico científicos (CTC), corresponde a la jurisdicción de lo contencioso administrativo, en virtud de lo dispuesto por el inciso primero del artículo 104 de la Ley 1437 de 2011. En concreto, porque las EPS cuestionan actuaciones administrativas del FOSYGA, hoy ADRES.</w:t>
      </w:r>
    </w:p>
    <w:p w14:paraId="135B23EF" w14:textId="77777777" w:rsidR="00000000" w:rsidRPr="005C22FB" w:rsidRDefault="005C22FB" w:rsidP="005B47F5">
      <w:pPr>
        <w:shd w:val="clear" w:color="auto" w:fill="FFFFFF"/>
        <w:spacing w:before="1"/>
        <w:jc w:val="both"/>
        <w:rPr>
          <w:rFonts w:ascii="Times New Roman" w:hAnsi="Times New Roman" w:cs="Times New Roman"/>
          <w:sz w:val="28"/>
          <w:szCs w:val="28"/>
        </w:rPr>
      </w:pPr>
      <w:r w:rsidRPr="005C22FB">
        <w:rPr>
          <w:rFonts w:ascii="Times New Roman" w:hAnsi="Times New Roman" w:cs="Times New Roman"/>
          <w:sz w:val="28"/>
          <w:szCs w:val="28"/>
          <w:lang w:val="es-ES_tradnl"/>
        </w:rPr>
        <w:t> </w:t>
      </w:r>
    </w:p>
    <w:p w14:paraId="2A7E4617" w14:textId="77777777" w:rsidR="00000000" w:rsidRPr="005C22FB" w:rsidRDefault="005C22FB" w:rsidP="00440417">
      <w:pPr>
        <w:pStyle w:val="Prrafodelista"/>
        <w:ind w:left="0"/>
        <w:jc w:val="both"/>
        <w:rPr>
          <w:rFonts w:ascii="Times New Roman" w:hAnsi="Times New Roman" w:cs="Times New Roman"/>
          <w:lang w:val="es-ES_tradnl" w:eastAsia="es-MX"/>
        </w:rPr>
      </w:pPr>
      <w:r w:rsidRPr="005C22FB">
        <w:rPr>
          <w:rFonts w:ascii="Times New Roman" w:hAnsi="Times New Roman" w:cs="Times New Roman"/>
          <w:b/>
          <w:bCs/>
          <w:lang w:val="es-ES_tradnl" w:eastAsia="es-MX"/>
        </w:rPr>
        <w:t>DECISIÓN</w:t>
      </w:r>
    </w:p>
    <w:p w14:paraId="4953B805" w14:textId="77777777" w:rsidR="00000000" w:rsidRPr="005C22FB" w:rsidRDefault="00000000" w:rsidP="00440417">
      <w:pPr>
        <w:shd w:val="clear" w:color="auto" w:fill="FFFFFF"/>
        <w:jc w:val="both"/>
        <w:rPr>
          <w:rFonts w:ascii="Times New Roman" w:hAnsi="Times New Roman" w:cs="Times New Roman"/>
          <w:sz w:val="28"/>
          <w:szCs w:val="28"/>
          <w:lang w:val="es-ES_tradnl"/>
        </w:rPr>
      </w:pPr>
    </w:p>
    <w:p w14:paraId="2BC78597" w14:textId="77777777" w:rsidR="00000000" w:rsidRPr="005C22FB" w:rsidRDefault="005C22FB" w:rsidP="00024548">
      <w:pPr>
        <w:jc w:val="both"/>
        <w:rPr>
          <w:rFonts w:ascii="Times New Roman" w:hAnsi="Times New Roman" w:cs="Times New Roman"/>
          <w:sz w:val="28"/>
          <w:szCs w:val="28"/>
          <w:lang w:eastAsia="es-ES"/>
        </w:rPr>
      </w:pPr>
      <w:r w:rsidRPr="005C22FB">
        <w:rPr>
          <w:rFonts w:ascii="Times New Roman" w:hAnsi="Times New Roman" w:cs="Times New Roman"/>
          <w:sz w:val="28"/>
          <w:szCs w:val="28"/>
          <w:lang w:eastAsia="es-ES"/>
        </w:rPr>
        <w:t>En mérito de lo expuesto, la Sala Plena de la Corte Constitucional,</w:t>
      </w:r>
    </w:p>
    <w:p w14:paraId="205CA94E" w14:textId="77777777" w:rsidR="00000000" w:rsidRPr="005C22FB" w:rsidRDefault="00000000" w:rsidP="00024548">
      <w:pPr>
        <w:jc w:val="both"/>
        <w:rPr>
          <w:rFonts w:ascii="Times New Roman" w:hAnsi="Times New Roman" w:cs="Times New Roman"/>
          <w:bCs/>
          <w:sz w:val="28"/>
          <w:szCs w:val="28"/>
        </w:rPr>
      </w:pPr>
    </w:p>
    <w:p w14:paraId="1DD7D8B3" w14:textId="77777777" w:rsidR="00000000" w:rsidRPr="005C22FB" w:rsidRDefault="005C22FB" w:rsidP="00024548">
      <w:pPr>
        <w:keepNext/>
        <w:jc w:val="center"/>
        <w:rPr>
          <w:rFonts w:ascii="Times New Roman" w:hAnsi="Times New Roman" w:cs="Times New Roman"/>
          <w:bCs/>
          <w:sz w:val="28"/>
          <w:szCs w:val="28"/>
        </w:rPr>
      </w:pPr>
      <w:r w:rsidRPr="005C22FB">
        <w:rPr>
          <w:rFonts w:ascii="Times New Roman" w:hAnsi="Times New Roman" w:cs="Times New Roman"/>
          <w:b/>
          <w:sz w:val="28"/>
          <w:szCs w:val="28"/>
        </w:rPr>
        <w:t>RESUELVE</w:t>
      </w:r>
    </w:p>
    <w:p w14:paraId="7CA109D0" w14:textId="77777777" w:rsidR="00000000" w:rsidRPr="005C22FB" w:rsidRDefault="00000000" w:rsidP="00024548">
      <w:pPr>
        <w:keepNext/>
        <w:rPr>
          <w:rFonts w:ascii="Times New Roman" w:hAnsi="Times New Roman" w:cs="Times New Roman"/>
          <w:bCs/>
          <w:sz w:val="28"/>
          <w:szCs w:val="28"/>
        </w:rPr>
      </w:pPr>
    </w:p>
    <w:p w14:paraId="49027902" w14:textId="77777777" w:rsidR="00000000" w:rsidRPr="005C22FB" w:rsidRDefault="005C22FB" w:rsidP="00024548">
      <w:pPr>
        <w:jc w:val="both"/>
        <w:rPr>
          <w:rFonts w:ascii="Times New Roman" w:hAnsi="Times New Roman" w:cs="Times New Roman"/>
          <w:sz w:val="28"/>
          <w:szCs w:val="28"/>
        </w:rPr>
      </w:pPr>
      <w:r w:rsidRPr="005C22FB">
        <w:rPr>
          <w:rFonts w:ascii="Times New Roman" w:hAnsi="Times New Roman" w:cs="Times New Roman"/>
          <w:b/>
          <w:sz w:val="28"/>
          <w:szCs w:val="28"/>
          <w:bdr w:val="none" w:sz="0" w:space="0" w:color="auto" w:frame="1"/>
        </w:rPr>
        <w:t>PRIMERO.</w:t>
      </w:r>
      <w:r w:rsidRPr="005C22FB">
        <w:rPr>
          <w:rFonts w:ascii="Times New Roman" w:hAnsi="Times New Roman" w:cs="Times New Roman"/>
          <w:sz w:val="28"/>
          <w:szCs w:val="28"/>
          <w:bdr w:val="none" w:sz="0" w:space="0" w:color="auto" w:frame="1"/>
        </w:rPr>
        <w:t xml:space="preserve"> </w:t>
      </w:r>
      <w:r w:rsidRPr="005C22FB">
        <w:rPr>
          <w:rFonts w:ascii="Times New Roman" w:hAnsi="Times New Roman" w:cs="Times New Roman"/>
          <w:b/>
          <w:sz w:val="28"/>
          <w:szCs w:val="28"/>
          <w:bdr w:val="none" w:sz="0" w:space="0" w:color="auto" w:frame="1"/>
        </w:rPr>
        <w:t>DIRIMIR</w:t>
      </w:r>
      <w:r w:rsidRPr="005C22FB">
        <w:rPr>
          <w:rFonts w:ascii="Times New Roman" w:hAnsi="Times New Roman" w:cs="Times New Roman"/>
          <w:sz w:val="28"/>
          <w:szCs w:val="28"/>
          <w:bdr w:val="none" w:sz="0" w:space="0" w:color="auto" w:frame="1"/>
        </w:rPr>
        <w:t xml:space="preserve"> el presente conflicto negativo de competencia entre jurisdicciones en el sentido de </w:t>
      </w:r>
      <w:r w:rsidRPr="005C22FB">
        <w:rPr>
          <w:rFonts w:ascii="Times New Roman" w:hAnsi="Times New Roman" w:cs="Times New Roman"/>
          <w:b/>
          <w:bCs/>
          <w:sz w:val="28"/>
          <w:szCs w:val="28"/>
          <w:bdr w:val="none" w:sz="0" w:space="0" w:color="auto" w:frame="1"/>
        </w:rPr>
        <w:t>DECLARAR</w:t>
      </w:r>
      <w:r w:rsidRPr="005C22FB">
        <w:rPr>
          <w:rFonts w:ascii="Times New Roman" w:hAnsi="Times New Roman" w:cs="Times New Roman"/>
          <w:sz w:val="28"/>
          <w:szCs w:val="28"/>
          <w:bdr w:val="none" w:sz="0" w:space="0" w:color="auto" w:frame="1"/>
        </w:rPr>
        <w:t xml:space="preserve"> que corresponde al </w:t>
      </w:r>
      <w:r w:rsidRPr="005C22FB">
        <w:rPr>
          <w:rFonts w:ascii="Times New Roman" w:hAnsi="Times New Roman" w:cs="Times New Roman"/>
          <w:b/>
          <w:bCs/>
          <w:sz w:val="28"/>
          <w:szCs w:val="28"/>
          <w:lang w:val="es-ES" w:eastAsia="es-ES"/>
        </w:rPr>
        <w:t xml:space="preserve">Juzgado Quinto Administrativo del Circuito de Bogotá </w:t>
      </w:r>
      <w:r w:rsidRPr="005C22FB">
        <w:rPr>
          <w:rFonts w:ascii="Times New Roman" w:hAnsi="Times New Roman" w:cs="Times New Roman"/>
          <w:sz w:val="28"/>
          <w:szCs w:val="28"/>
          <w:bdr w:val="none" w:sz="0" w:space="0" w:color="auto" w:frame="1"/>
        </w:rPr>
        <w:t xml:space="preserve">conocer </w:t>
      </w:r>
      <w:r w:rsidRPr="005C22FB">
        <w:rPr>
          <w:rFonts w:ascii="Times New Roman" w:hAnsi="Times New Roman" w:cs="Times New Roman"/>
          <w:sz w:val="28"/>
          <w:szCs w:val="28"/>
          <w:lang w:val="es-ES"/>
        </w:rPr>
        <w:t xml:space="preserve">del proceso </w:t>
      </w:r>
      <w:r w:rsidRPr="005C22FB">
        <w:rPr>
          <w:rFonts w:ascii="Times New Roman" w:hAnsi="Times New Roman" w:cs="Times New Roman"/>
          <w:sz w:val="28"/>
          <w:szCs w:val="28"/>
        </w:rPr>
        <w:t xml:space="preserve">promovido por Compensar EPS contra la ADRES, la Unión Temporal FOSYGA 2014 y el Consorcio SAYP 2011 </w:t>
      </w:r>
    </w:p>
    <w:p w14:paraId="7EE912B8" w14:textId="77777777" w:rsidR="00000000" w:rsidRPr="005C22FB" w:rsidRDefault="00000000" w:rsidP="00024548">
      <w:pPr>
        <w:jc w:val="both"/>
        <w:rPr>
          <w:rFonts w:ascii="Times New Roman" w:hAnsi="Times New Roman" w:cs="Times New Roman"/>
          <w:sz w:val="28"/>
          <w:szCs w:val="28"/>
          <w:bdr w:val="none" w:sz="0" w:space="0" w:color="auto" w:frame="1"/>
        </w:rPr>
      </w:pPr>
    </w:p>
    <w:p w14:paraId="4E802A9C" w14:textId="77777777" w:rsidR="00000000" w:rsidRPr="005C22FB" w:rsidRDefault="005C22FB" w:rsidP="00024548">
      <w:pPr>
        <w:jc w:val="both"/>
        <w:rPr>
          <w:rFonts w:ascii="Times New Roman" w:hAnsi="Times New Roman" w:cs="Times New Roman"/>
          <w:sz w:val="28"/>
          <w:szCs w:val="28"/>
          <w:bdr w:val="none" w:sz="0" w:space="0" w:color="auto" w:frame="1"/>
        </w:rPr>
      </w:pPr>
      <w:r w:rsidRPr="005C22FB">
        <w:rPr>
          <w:rFonts w:ascii="Times New Roman" w:hAnsi="Times New Roman" w:cs="Times New Roman"/>
          <w:b/>
          <w:sz w:val="28"/>
          <w:szCs w:val="28"/>
          <w:bdr w:val="none" w:sz="0" w:space="0" w:color="auto" w:frame="1"/>
        </w:rPr>
        <w:lastRenderedPageBreak/>
        <w:t>SEGUNDO.</w:t>
      </w:r>
      <w:r w:rsidRPr="005C22FB">
        <w:rPr>
          <w:rFonts w:ascii="Times New Roman" w:hAnsi="Times New Roman" w:cs="Times New Roman"/>
          <w:sz w:val="28"/>
          <w:szCs w:val="28"/>
          <w:bdr w:val="none" w:sz="0" w:space="0" w:color="auto" w:frame="1"/>
        </w:rPr>
        <w:t xml:space="preserve">  Por intermedio de la Secretaría General de la Corte Constitucional, </w:t>
      </w:r>
      <w:r w:rsidRPr="005C22FB">
        <w:rPr>
          <w:rFonts w:ascii="Times New Roman" w:hAnsi="Times New Roman" w:cs="Times New Roman"/>
          <w:b/>
          <w:sz w:val="28"/>
          <w:szCs w:val="28"/>
          <w:bdr w:val="none" w:sz="0" w:space="0" w:color="auto" w:frame="1"/>
        </w:rPr>
        <w:t>REMITIR</w:t>
      </w:r>
      <w:r w:rsidRPr="005C22FB">
        <w:rPr>
          <w:rFonts w:ascii="Times New Roman" w:hAnsi="Times New Roman" w:cs="Times New Roman"/>
          <w:sz w:val="28"/>
          <w:szCs w:val="28"/>
          <w:bdr w:val="none" w:sz="0" w:space="0" w:color="auto" w:frame="1"/>
        </w:rPr>
        <w:t xml:space="preserve"> el expediente CJU-4893 al </w:t>
      </w:r>
      <w:r w:rsidRPr="005C22FB">
        <w:rPr>
          <w:rFonts w:ascii="Times New Roman" w:hAnsi="Times New Roman" w:cs="Times New Roman"/>
          <w:sz w:val="28"/>
          <w:szCs w:val="28"/>
          <w:lang w:val="es-ES" w:eastAsia="es-ES"/>
        </w:rPr>
        <w:t>Juzgado Quinto Administrativo del Circuito de Bogotá,</w:t>
      </w:r>
      <w:r w:rsidRPr="005C22FB">
        <w:rPr>
          <w:rFonts w:ascii="Times New Roman" w:hAnsi="Times New Roman" w:cs="Times New Roman"/>
          <w:sz w:val="28"/>
          <w:szCs w:val="28"/>
          <w:bdr w:val="none" w:sz="0" w:space="0" w:color="auto" w:frame="1"/>
        </w:rPr>
        <w:t xml:space="preserve"> para lo de su competencia y para que comunique esta decisión a la Superintendencia Nacional de Salud</w:t>
      </w:r>
      <w:r w:rsidRPr="005C22FB">
        <w:rPr>
          <w:rFonts w:ascii="Times New Roman" w:hAnsi="Times New Roman" w:cs="Times New Roman"/>
          <w:sz w:val="28"/>
          <w:szCs w:val="28"/>
          <w:lang w:eastAsia="es-ES"/>
        </w:rPr>
        <w:t xml:space="preserve"> y a los interesados.</w:t>
      </w:r>
    </w:p>
    <w:p w14:paraId="25EF6FA0" w14:textId="77777777" w:rsidR="00000000" w:rsidRPr="005C22FB" w:rsidRDefault="00000000" w:rsidP="00024548">
      <w:pPr>
        <w:jc w:val="both"/>
        <w:rPr>
          <w:rFonts w:ascii="Times New Roman" w:hAnsi="Times New Roman" w:cs="Times New Roman"/>
          <w:sz w:val="28"/>
          <w:szCs w:val="28"/>
          <w:bdr w:val="none" w:sz="0" w:space="0" w:color="auto" w:frame="1"/>
        </w:rPr>
      </w:pPr>
    </w:p>
    <w:p w14:paraId="6D9A1581" w14:textId="77777777" w:rsidR="00000000" w:rsidRPr="005C22FB" w:rsidRDefault="005C22FB" w:rsidP="005669B7">
      <w:pPr>
        <w:widowControl w:val="0"/>
        <w:jc w:val="both"/>
        <w:rPr>
          <w:rFonts w:ascii="Times New Roman" w:hAnsi="Times New Roman" w:cs="Times New Roman"/>
          <w:sz w:val="28"/>
          <w:szCs w:val="28"/>
        </w:rPr>
      </w:pPr>
      <w:r w:rsidRPr="005C22FB">
        <w:rPr>
          <w:rFonts w:ascii="Times New Roman" w:hAnsi="Times New Roman" w:cs="Times New Roman"/>
          <w:sz w:val="28"/>
          <w:szCs w:val="28"/>
        </w:rPr>
        <w:t>Notifíquese, comuníquese y cúmplase,</w:t>
      </w:r>
    </w:p>
    <w:p w14:paraId="4B37E189" w14:textId="77777777" w:rsidR="00000000" w:rsidRPr="005C22FB" w:rsidRDefault="00000000" w:rsidP="005669B7">
      <w:pPr>
        <w:widowControl w:val="0"/>
        <w:jc w:val="both"/>
        <w:rPr>
          <w:rFonts w:ascii="Times New Roman" w:hAnsi="Times New Roman" w:cs="Times New Roman"/>
          <w:sz w:val="28"/>
          <w:szCs w:val="28"/>
          <w:bdr w:val="none" w:sz="0" w:space="0" w:color="auto" w:frame="1"/>
        </w:rPr>
      </w:pPr>
    </w:p>
    <w:p w14:paraId="39D41F5C" w14:textId="77777777" w:rsidR="00000000" w:rsidRPr="005C22FB" w:rsidRDefault="00000000" w:rsidP="005669B7">
      <w:pPr>
        <w:widowControl w:val="0"/>
        <w:jc w:val="both"/>
        <w:rPr>
          <w:rFonts w:ascii="Times New Roman" w:hAnsi="Times New Roman" w:cs="Times New Roman"/>
          <w:sz w:val="28"/>
          <w:szCs w:val="28"/>
          <w:bdr w:val="none" w:sz="0" w:space="0" w:color="auto" w:frame="1"/>
        </w:rPr>
      </w:pPr>
    </w:p>
    <w:p w14:paraId="19C3D70E"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DIANA FAJARDO RIVERA</w:t>
      </w:r>
    </w:p>
    <w:p w14:paraId="091DE445"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Presidenta</w:t>
      </w:r>
    </w:p>
    <w:p w14:paraId="5ACAD6AC"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329A79C0"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6B3D787D"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30444707"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NATALIA ÁNGEL CABO</w:t>
      </w:r>
    </w:p>
    <w:p w14:paraId="46659582"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Magistrada</w:t>
      </w:r>
    </w:p>
    <w:p w14:paraId="42257E62"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336E4D7E"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299FB716"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6F3F9870"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JUAN CARLOS CORTÉS GONZÁLEZ</w:t>
      </w:r>
    </w:p>
    <w:p w14:paraId="75C7EB88"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Magistrado</w:t>
      </w:r>
    </w:p>
    <w:p w14:paraId="11A3C183"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524370DE"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004DC9EC"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43480AF9"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VLADIMIR FERNÁNDEZ ANDRADE</w:t>
      </w:r>
    </w:p>
    <w:p w14:paraId="3DD9BAB1"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Magistrado</w:t>
      </w:r>
    </w:p>
    <w:p w14:paraId="64DBDE0F"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61E2C368"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536F6471"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736D1FF6"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 xml:space="preserve">JORGE ENRIQUE IBÁÑEZ NAJAR </w:t>
      </w:r>
    </w:p>
    <w:p w14:paraId="3C700333"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Magistrado</w:t>
      </w:r>
    </w:p>
    <w:p w14:paraId="3037857C"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5D08A43C"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2F9188DC"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7D3C2B72"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ANTONIO JOSÉ LIZARAZO OCAMPO</w:t>
      </w:r>
    </w:p>
    <w:p w14:paraId="085BB837"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Magistrado</w:t>
      </w:r>
    </w:p>
    <w:p w14:paraId="41B6DCF0"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1F46BD8E"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77E2A64E"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4D13079B"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PAOLA ANDREA MENESES MOSQUERA</w:t>
      </w:r>
    </w:p>
    <w:p w14:paraId="6E179627"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Magistrada</w:t>
      </w:r>
    </w:p>
    <w:p w14:paraId="19E85600"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0137ECFC"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598B2EC0"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4B8D6639"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CRISTINA PARDO SCHLESINGER</w:t>
      </w:r>
    </w:p>
    <w:p w14:paraId="0A978249"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Magistrada</w:t>
      </w:r>
    </w:p>
    <w:p w14:paraId="716DDB5F"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1E85B5D6"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0A9DA2FE"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5C82B25A"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JOSE FERNANDO REYES CUARTAS</w:t>
      </w:r>
    </w:p>
    <w:p w14:paraId="1D011CDC"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Magistrado</w:t>
      </w:r>
    </w:p>
    <w:p w14:paraId="4EBCE88E"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4032781C"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6B36B2EB"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2C7ADF07"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ANDREA LILIANA ROMERO LOPEZ</w:t>
      </w:r>
    </w:p>
    <w:p w14:paraId="00CADA8D" w14:textId="77777777" w:rsidR="00000000" w:rsidRPr="005C22FB" w:rsidRDefault="005C22FB" w:rsidP="00584458">
      <w:pPr>
        <w:widowControl w:val="0"/>
        <w:jc w:val="center"/>
        <w:rPr>
          <w:rFonts w:ascii="Times New Roman" w:hAnsi="Times New Roman" w:cs="Times New Roman"/>
          <w:sz w:val="28"/>
          <w:szCs w:val="28"/>
          <w:bdr w:val="none" w:sz="0" w:space="0" w:color="auto" w:frame="1"/>
        </w:rPr>
      </w:pPr>
      <w:r w:rsidRPr="005C22FB">
        <w:rPr>
          <w:rFonts w:ascii="Times New Roman" w:hAnsi="Times New Roman" w:cs="Times New Roman"/>
          <w:sz w:val="28"/>
          <w:szCs w:val="28"/>
          <w:bdr w:val="none" w:sz="0" w:space="0" w:color="auto" w:frame="1"/>
        </w:rPr>
        <w:t>Secretaria General</w:t>
      </w:r>
    </w:p>
    <w:p w14:paraId="012EFFE2"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031B3E79"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47385DDE"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5875D7CC"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3BE49F27"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p w14:paraId="4CBA602D" w14:textId="77777777" w:rsidR="00000000" w:rsidRPr="005C22FB" w:rsidRDefault="00000000" w:rsidP="00584458">
      <w:pPr>
        <w:widowControl w:val="0"/>
        <w:jc w:val="center"/>
        <w:rPr>
          <w:rFonts w:ascii="Times New Roman" w:hAnsi="Times New Roman" w:cs="Times New Roman"/>
          <w:sz w:val="28"/>
          <w:szCs w:val="28"/>
          <w:bdr w:val="none" w:sz="0" w:space="0" w:color="auto" w:frame="1"/>
        </w:rPr>
      </w:pPr>
    </w:p>
    <w:sectPr w:rsidR="00584458" w:rsidRPr="005C22FB">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5122" w14:textId="77777777" w:rsidR="00E56BFB" w:rsidRDefault="00E56BFB">
      <w:pPr>
        <w:spacing w:after="0" w:line="240" w:lineRule="auto"/>
      </w:pPr>
      <w:r>
        <w:separator/>
      </w:r>
    </w:p>
  </w:endnote>
  <w:endnote w:type="continuationSeparator" w:id="0">
    <w:p w14:paraId="7D88FA11" w14:textId="77777777" w:rsidR="00E56BFB" w:rsidRDefault="00E5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65F0" w14:textId="77777777" w:rsidR="00E56BFB" w:rsidRDefault="00E56BFB">
      <w:pPr>
        <w:spacing w:after="0" w:line="240" w:lineRule="auto"/>
      </w:pPr>
      <w:r>
        <w:separator/>
      </w:r>
    </w:p>
  </w:footnote>
  <w:footnote w:type="continuationSeparator" w:id="0">
    <w:p w14:paraId="13B7B4AB" w14:textId="77777777" w:rsidR="00E56BFB" w:rsidRDefault="00E56BFB">
      <w:pPr>
        <w:spacing w:after="0" w:line="240" w:lineRule="auto"/>
      </w:pPr>
      <w:r>
        <w:continuationSeparator/>
      </w:r>
    </w:p>
  </w:footnote>
  <w:footnote w:id="1">
    <w:p w14:paraId="0F0DF9DC" w14:textId="77777777" w:rsidR="00000000" w:rsidRPr="00430785" w:rsidRDefault="005C22FB" w:rsidP="0029375E">
      <w:pPr>
        <w:pStyle w:val="Textonotapie"/>
        <w:jc w:val="both"/>
      </w:pPr>
      <w:r w:rsidRPr="00430785">
        <w:rPr>
          <w:rStyle w:val="Refdenotaalpie"/>
        </w:rPr>
        <w:footnoteRef/>
      </w:r>
      <w:r w:rsidRPr="00430785">
        <w:t xml:space="preserve"> El artículo 241 de la Constitución establece:</w:t>
      </w:r>
      <w:r w:rsidRPr="00430785">
        <w:rPr>
          <w:i/>
        </w:rPr>
        <w:t xml:space="preserve"> </w:t>
      </w:r>
      <w:r w:rsidRPr="00430785">
        <w:t>“A la Corte Constitucional se le confía la guarda de la integridad y supremacía de la Constitución, en los estrictos y precisos términos de este artículo. Con tal fin, cumplirá las siguientes funciones: [...] || 11. Dirimir los conflictos de competencia que ocurran entre las distintas jurisdicciones”.</w:t>
      </w:r>
    </w:p>
  </w:footnote>
  <w:footnote w:id="2">
    <w:p w14:paraId="26372605" w14:textId="77777777" w:rsidR="00000000" w:rsidRDefault="005C22FB">
      <w:pPr>
        <w:pStyle w:val="Textonotapie"/>
      </w:pPr>
      <w:r w:rsidRPr="00430785">
        <w:rPr>
          <w:rStyle w:val="Refdenotaalpie"/>
        </w:rPr>
        <w:footnoteRef/>
      </w:r>
      <w:r w:rsidRPr="00430785">
        <w:t xml:space="preserve"> Expediente dig</w:t>
      </w:r>
      <w:r>
        <w:t>ital. Archivo “02Demanda</w:t>
      </w:r>
      <w:r w:rsidRPr="00430785">
        <w:t>.pdf”</w:t>
      </w:r>
      <w:r>
        <w:t>.</w:t>
      </w:r>
    </w:p>
  </w:footnote>
  <w:footnote w:id="3">
    <w:p w14:paraId="2CBA5107" w14:textId="77777777" w:rsidR="00000000" w:rsidRDefault="005C22FB">
      <w:pPr>
        <w:pStyle w:val="Textonotapie"/>
      </w:pPr>
      <w:r>
        <w:rPr>
          <w:rStyle w:val="Refdenotaalpie"/>
        </w:rPr>
        <w:footnoteRef/>
      </w:r>
      <w:r>
        <w:t xml:space="preserve"> Expediente digital. Archivo “120228100001452921_00002_unlocked.pdf”. </w:t>
      </w:r>
    </w:p>
  </w:footnote>
  <w:footnote w:id="4">
    <w:p w14:paraId="02C350C3" w14:textId="77777777" w:rsidR="00000000" w:rsidRDefault="005C22FB">
      <w:pPr>
        <w:pStyle w:val="Textonotapie"/>
      </w:pPr>
      <w:r>
        <w:rPr>
          <w:rStyle w:val="Refdenotaalpie"/>
        </w:rPr>
        <w:footnoteRef/>
      </w:r>
      <w:r>
        <w:t xml:space="preserve"> Expediente digital. Archivo “10ProponeConflictoJurisdiccion.pdf”.</w:t>
      </w:r>
    </w:p>
  </w:footnote>
  <w:footnote w:id="5">
    <w:p w14:paraId="19FE0CCD" w14:textId="77777777" w:rsidR="00000000" w:rsidRPr="008273A6" w:rsidRDefault="005C22FB">
      <w:pPr>
        <w:pStyle w:val="Textonotapie"/>
        <w:rPr>
          <w:lang w:val="es-MX"/>
        </w:rPr>
      </w:pPr>
      <w:r>
        <w:rPr>
          <w:rStyle w:val="Refdenotaalpie"/>
        </w:rPr>
        <w:footnoteRef/>
      </w:r>
      <w:r>
        <w:t xml:space="preserve"> </w:t>
      </w:r>
      <w:r>
        <w:rPr>
          <w:lang w:val="es-MX"/>
        </w:rPr>
        <w:t>Expediente CJU-072. M.P. Antonio José Lizarazo Ocampo.</w:t>
      </w:r>
    </w:p>
  </w:footnote>
  <w:footnote w:id="6">
    <w:p w14:paraId="423DE4A6" w14:textId="77777777" w:rsidR="00000000" w:rsidRPr="00D8195A" w:rsidRDefault="005C22FB" w:rsidP="00337A28">
      <w:pPr>
        <w:pStyle w:val="Textonotapie"/>
        <w:jc w:val="both"/>
      </w:pPr>
      <w:r>
        <w:rPr>
          <w:rStyle w:val="Refdenotaalpie"/>
        </w:rPr>
        <w:footnoteRef/>
      </w:r>
      <w:r>
        <w:t xml:space="preserve">Expediente CJU-1741. M.P. José Fernando Reyes Cuartas. </w:t>
      </w:r>
    </w:p>
  </w:footnote>
  <w:footnote w:id="7">
    <w:p w14:paraId="5B798C6B" w14:textId="77777777" w:rsidR="00000000" w:rsidRPr="00DE2647" w:rsidRDefault="005C22FB" w:rsidP="00337A28">
      <w:pPr>
        <w:pStyle w:val="Textonotapie"/>
        <w:jc w:val="both"/>
      </w:pPr>
      <w:r>
        <w:rPr>
          <w:rStyle w:val="Refdenotaalpie"/>
        </w:rPr>
        <w:footnoteRef/>
      </w:r>
      <w:r>
        <w:t xml:space="preserve"> Respecto de los literales </w:t>
      </w:r>
      <w:r w:rsidRPr="00807DAC">
        <w:rPr>
          <w:i/>
          <w:iCs/>
        </w:rPr>
        <w:t>a</w:t>
      </w:r>
      <w:r>
        <w:t xml:space="preserve">) y </w:t>
      </w:r>
      <w:r w:rsidRPr="00807DAC">
        <w:rPr>
          <w:i/>
          <w:iCs/>
        </w:rPr>
        <w:t>c</w:t>
      </w:r>
      <w:r>
        <w:t xml:space="preserve">) que refieren a demandas en las que existe decisión de la jurisdicción de lo contencioso administrativo de inadmisión o rechazo </w:t>
      </w:r>
      <w:r w:rsidRPr="00807DAC">
        <w:t>por el incumplimiento de los requisitos de procedibilidad (</w:t>
      </w:r>
      <w:r w:rsidRPr="00DA5620">
        <w:rPr>
          <w:i/>
          <w:iCs/>
        </w:rPr>
        <w:t>agotamiento de recursos obligatorios y/o conciliación extrajudicial</w:t>
      </w:r>
      <w:r w:rsidRPr="00807DAC">
        <w:t>) o el presupuesto procesal de la caducidad</w:t>
      </w:r>
      <w:r>
        <w:t>; el auto determinó que, e</w:t>
      </w:r>
      <w:r w:rsidRPr="00B85B29">
        <w:t xml:space="preserve">n caso de existir una decisión definitiva respecto de esas demandas, las mismas podrán ser nuevamente presentadas de acuerdo con el literal </w:t>
      </w:r>
      <w:r w:rsidRPr="00B85B29">
        <w:rPr>
          <w:i/>
          <w:iCs/>
        </w:rPr>
        <w:t>e</w:t>
      </w:r>
      <w:r>
        <w:t>)</w:t>
      </w:r>
      <w:r w:rsidRPr="00B85B29">
        <w:t>.</w:t>
      </w:r>
      <w:r>
        <w:t xml:space="preserve"> Sin embargo, si fueron solo inadmitidas, se deberá dar aplicación a estas reglas. En el mismo sentido, se determinó que en las demandas referidas en los literales </w:t>
      </w:r>
      <w:r w:rsidRPr="00166BDB">
        <w:rPr>
          <w:i/>
          <w:iCs/>
        </w:rPr>
        <w:t>c</w:t>
      </w:r>
      <w:r>
        <w:t xml:space="preserve">) y </w:t>
      </w:r>
      <w:r w:rsidRPr="00166BDB">
        <w:rPr>
          <w:i/>
          <w:iCs/>
        </w:rPr>
        <w:t>d</w:t>
      </w:r>
      <w:r>
        <w:t>)</w:t>
      </w:r>
      <w:r w:rsidRPr="00166BDB">
        <w:t>,</w:t>
      </w:r>
      <w:r>
        <w:t xml:space="preserve"> </w:t>
      </w:r>
      <w:r w:rsidRPr="005555A8">
        <w:t xml:space="preserve">el juez de conocimiento deberá considerar si el referido incumplimiento de la parte demandante deriva de la confianza legítima que ostentaría frente a la observancia del precedente que remitía el asunto a la </w:t>
      </w:r>
      <w:r>
        <w:t>j</w:t>
      </w:r>
      <w:r w:rsidRPr="005555A8">
        <w:t xml:space="preserve">urisdicción </w:t>
      </w:r>
      <w:r>
        <w:t>o</w:t>
      </w:r>
      <w:r w:rsidRPr="005555A8">
        <w:t xml:space="preserve">rdinaria </w:t>
      </w:r>
      <w:r>
        <w:t>l</w:t>
      </w:r>
      <w:r w:rsidRPr="005555A8">
        <w:t>aboral</w:t>
      </w:r>
      <w:r>
        <w:t>.</w:t>
      </w:r>
    </w:p>
  </w:footnote>
  <w:footnote w:id="8">
    <w:p w14:paraId="610CD616" w14:textId="77777777" w:rsidR="00000000" w:rsidRPr="00811A18" w:rsidRDefault="005C22FB" w:rsidP="00337A28">
      <w:pPr>
        <w:pStyle w:val="Textonotapie"/>
        <w:jc w:val="both"/>
        <w:rPr>
          <w:lang w:val="es-ES_tradnl"/>
        </w:rPr>
      </w:pPr>
      <w:r>
        <w:rPr>
          <w:rStyle w:val="Refdenotaalpie"/>
        </w:rPr>
        <w:footnoteRef/>
      </w:r>
      <w:r>
        <w:t xml:space="preserve"> </w:t>
      </w:r>
      <w:r>
        <w:rPr>
          <w:lang w:val="es-ES_tradnl"/>
        </w:rPr>
        <w:t>Sin perjuicio de la presente síntesis, las reglas de transición están desarrolladas y fundamentadas en el Auto 1942 de 2023 de la Corte Constitucional, al cual se remite en su integridad esta providencia.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F7F3E"/>
    <w:multiLevelType w:val="hybridMultilevel"/>
    <w:tmpl w:val="309C267A"/>
    <w:lvl w:ilvl="0" w:tplc="2A542C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D516C3D"/>
    <w:multiLevelType w:val="hybridMultilevel"/>
    <w:tmpl w:val="0FA8F894"/>
    <w:lvl w:ilvl="0" w:tplc="CE3ECC34">
      <w:start w:val="1"/>
      <w:numFmt w:val="lowerLetter"/>
      <w:suff w:val="space"/>
      <w:lvlText w:val="(%1)"/>
      <w:lvlJc w:val="left"/>
      <w:pPr>
        <w:ind w:left="720" w:hanging="360"/>
      </w:pPr>
      <w:rPr>
        <w:rFonts w:eastAsiaTheme="minorHAnsi" w:hint="default"/>
        <w:b/>
        <w:bCs/>
        <w:i w:val="0"/>
        <w:i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7377641">
    <w:abstractNumId w:val="0"/>
  </w:num>
  <w:num w:numId="2" w16cid:durableId="167440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A2"/>
    <w:rsid w:val="003D50B9"/>
    <w:rsid w:val="005C22FB"/>
    <w:rsid w:val="008370E7"/>
    <w:rsid w:val="00C061A2"/>
    <w:rsid w:val="00E56BFB"/>
    <w:rsid w:val="00FF3B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EE46A"/>
  <w14:defaultImageDpi w14:val="0"/>
  <w15:docId w15:val="{71E7DB9F-2192-4F23-BC23-80D0AE6A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Footnote Text Char,Pie de Págin,ft,C"/>
    <w:basedOn w:val="Normal"/>
    <w:link w:val="TextonotapieCar1"/>
    <w:qFormat/>
    <w:rsid w:val="00440417"/>
    <w:rPr>
      <w:sz w:val="20"/>
      <w:szCs w:val="20"/>
      <w:lang w:val="es-ES" w:eastAsia="es-ES"/>
    </w:rPr>
  </w:style>
  <w:style w:type="character" w:customStyle="1" w:styleId="TextonotapieCar">
    <w:name w:val="Texto nota pie Car"/>
    <w:aliases w:val="Footnote Text Char Car,Footnote Text Char Char Char Char Char Car1,Footnote Text Char Char Char Char Car1,Footnote reference Car1,FA Fu Car1,Footnote Text Char Char Char Car1,Footnote Text Char Car1,ft Car,Footnote referenc Car,F Car"/>
    <w:basedOn w:val="Fuentedeprrafopredeter"/>
    <w:qFormat/>
    <w:rsid w:val="00440417"/>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referencia nota al pie,Footnote number,BVI fnr,f,Texto nota pie Car Car1,texto de nota al pie Car Car,Texto nota pie Car Car Car,Ref. de nota al pie 2,4_G,16 Point,FC,F,R"/>
    <w:link w:val="Piedepagina"/>
    <w:uiPriority w:val="99"/>
    <w:qFormat/>
    <w:rsid w:val="00440417"/>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har Char Char Char Char Char Char Car"/>
    <w:link w:val="Textonotapie"/>
    <w:qFormat/>
    <w:locked/>
    <w:rsid w:val="00440417"/>
    <w:rPr>
      <w:rFonts w:ascii="Times New Roman" w:eastAsia="Times New Roman" w:hAnsi="Times New Roman" w:cs="Times New Roman"/>
      <w:sz w:val="20"/>
      <w:szCs w:val="20"/>
      <w:lang w:val="es-ES" w:eastAsia="es-ES"/>
    </w:rPr>
  </w:style>
  <w:style w:type="paragraph" w:customStyle="1" w:styleId="Piedepagina">
    <w:name w:val="Pie de pagina"/>
    <w:aliases w:val="Ref. de nota al pie2"/>
    <w:basedOn w:val="Normal"/>
    <w:link w:val="Refdenotaalpie"/>
    <w:uiPriority w:val="99"/>
    <w:qFormat/>
    <w:rsid w:val="00440417"/>
    <w:pPr>
      <w:spacing w:line="240" w:lineRule="exact"/>
    </w:pPr>
    <w:rPr>
      <w:rFonts w:eastAsiaTheme="minorHAnsi"/>
      <w:vertAlign w:val="superscript"/>
      <w:lang w:eastAsia="en-US"/>
    </w:rPr>
  </w:style>
  <w:style w:type="paragraph" w:styleId="Prrafodelista">
    <w:name w:val="List Paragraph"/>
    <w:aliases w:val="Footnote,Colorful List - Accent 11,List Paragraph2,List Paragraph1,Ha,lp1,Lista vistosa - Énfasis 11,List1,titulo 3,Párrafo de lista1,Bullets,Párrafo de lista2,Cuadrícula clara - Énfasis 31,Dot pt,F5 List Paragraph,No Spacing1,Bolita"/>
    <w:basedOn w:val="Normal"/>
    <w:link w:val="PrrafodelistaCar"/>
    <w:uiPriority w:val="34"/>
    <w:qFormat/>
    <w:rsid w:val="00440417"/>
    <w:pPr>
      <w:ind w:left="720"/>
      <w:contextualSpacing/>
    </w:pPr>
    <w:rPr>
      <w:sz w:val="28"/>
      <w:szCs w:val="28"/>
      <w:lang w:val="es-ES" w:eastAsia="es-ES"/>
    </w:rPr>
  </w:style>
  <w:style w:type="paragraph" w:customStyle="1" w:styleId="Style2">
    <w:name w:val="Style2"/>
    <w:basedOn w:val="Normal"/>
    <w:uiPriority w:val="99"/>
    <w:rsid w:val="00440417"/>
    <w:pPr>
      <w:widowControl w:val="0"/>
      <w:autoSpaceDE w:val="0"/>
      <w:autoSpaceDN w:val="0"/>
      <w:adjustRightInd w:val="0"/>
      <w:spacing w:line="322" w:lineRule="exact"/>
      <w:jc w:val="center"/>
    </w:pPr>
    <w:rPr>
      <w:lang w:val="es-ES" w:eastAsia="es-ES"/>
    </w:rPr>
  </w:style>
  <w:style w:type="paragraph" w:customStyle="1" w:styleId="Style5">
    <w:name w:val="Style5"/>
    <w:basedOn w:val="Normal"/>
    <w:uiPriority w:val="99"/>
    <w:rsid w:val="00440417"/>
    <w:pPr>
      <w:widowControl w:val="0"/>
      <w:autoSpaceDE w:val="0"/>
      <w:autoSpaceDN w:val="0"/>
      <w:adjustRightInd w:val="0"/>
    </w:pPr>
    <w:rPr>
      <w:lang w:val="es-ES" w:eastAsia="es-ES"/>
    </w:rPr>
  </w:style>
  <w:style w:type="paragraph" w:customStyle="1" w:styleId="Style6">
    <w:name w:val="Style6"/>
    <w:basedOn w:val="Normal"/>
    <w:uiPriority w:val="99"/>
    <w:rsid w:val="00440417"/>
    <w:pPr>
      <w:widowControl w:val="0"/>
      <w:autoSpaceDE w:val="0"/>
      <w:autoSpaceDN w:val="0"/>
      <w:adjustRightInd w:val="0"/>
      <w:spacing w:line="322" w:lineRule="exact"/>
      <w:jc w:val="both"/>
    </w:pPr>
    <w:rPr>
      <w:lang w:val="es-ES" w:eastAsia="es-ES"/>
    </w:rPr>
  </w:style>
  <w:style w:type="character" w:customStyle="1" w:styleId="FontStyle11">
    <w:name w:val="Font Style11"/>
    <w:uiPriority w:val="99"/>
    <w:rsid w:val="00440417"/>
    <w:rPr>
      <w:rFonts w:ascii="Times New Roman" w:hAnsi="Times New Roman" w:cs="Times New Roman"/>
      <w:b/>
      <w:bCs/>
      <w:sz w:val="26"/>
      <w:szCs w:val="26"/>
    </w:rPr>
  </w:style>
  <w:style w:type="character" w:customStyle="1" w:styleId="FontStyle12">
    <w:name w:val="Font Style12"/>
    <w:uiPriority w:val="99"/>
    <w:rsid w:val="00440417"/>
    <w:rPr>
      <w:rFonts w:ascii="Times New Roman" w:hAnsi="Times New Roman" w:cs="Times New Roman"/>
      <w:sz w:val="26"/>
      <w:szCs w:val="26"/>
    </w:rPr>
  </w:style>
  <w:style w:type="character" w:customStyle="1" w:styleId="FontStyle13">
    <w:name w:val="Font Style13"/>
    <w:uiPriority w:val="99"/>
    <w:rsid w:val="00440417"/>
    <w:rPr>
      <w:rFonts w:ascii="Times New Roman" w:hAnsi="Times New Roman" w:cs="Times New Roman"/>
      <w:i/>
      <w:iCs/>
      <w:sz w:val="26"/>
      <w:szCs w:val="26"/>
    </w:rPr>
  </w:style>
  <w:style w:type="paragraph" w:styleId="Sinespaciado">
    <w:name w:val="No Spacing"/>
    <w:uiPriority w:val="1"/>
    <w:qFormat/>
    <w:rsid w:val="00440417"/>
    <w:rPr>
      <w:rFonts w:ascii="Times New Roman" w:eastAsia="Times New Roman" w:hAnsi="Times New Roman" w:cs="Times New Roman"/>
      <w:sz w:val="28"/>
      <w:szCs w:val="28"/>
      <w:lang w:val="es-ES" w:eastAsia="es-ES"/>
    </w:rPr>
  </w:style>
  <w:style w:type="paragraph" w:styleId="Encabezado">
    <w:name w:val="header"/>
    <w:basedOn w:val="Normal"/>
    <w:link w:val="EncabezadoCar"/>
    <w:uiPriority w:val="99"/>
    <w:unhideWhenUsed/>
    <w:rsid w:val="00440417"/>
    <w:pPr>
      <w:tabs>
        <w:tab w:val="center" w:pos="4419"/>
        <w:tab w:val="right" w:pos="8838"/>
      </w:tabs>
    </w:pPr>
    <w:rPr>
      <w:sz w:val="28"/>
      <w:szCs w:val="28"/>
      <w:lang w:val="es-ES" w:eastAsia="es-ES"/>
    </w:rPr>
  </w:style>
  <w:style w:type="character" w:customStyle="1" w:styleId="EncabezadoCar">
    <w:name w:val="Encabezado Car"/>
    <w:basedOn w:val="Fuentedeprrafopredeter"/>
    <w:link w:val="Encabezado"/>
    <w:uiPriority w:val="99"/>
    <w:rsid w:val="00440417"/>
    <w:rPr>
      <w:rFonts w:ascii="Times New Roman" w:eastAsia="Times New Roman" w:hAnsi="Times New Roman" w:cs="Times New Roman"/>
      <w:sz w:val="28"/>
      <w:szCs w:val="28"/>
      <w:lang w:val="es-ES" w:eastAsia="es-ES"/>
    </w:rPr>
  </w:style>
  <w:style w:type="paragraph" w:styleId="Piedepgina">
    <w:name w:val="footer"/>
    <w:basedOn w:val="Normal"/>
    <w:link w:val="PiedepginaCar"/>
    <w:uiPriority w:val="99"/>
    <w:unhideWhenUsed/>
    <w:rsid w:val="00440417"/>
    <w:pPr>
      <w:tabs>
        <w:tab w:val="center" w:pos="4419"/>
        <w:tab w:val="right" w:pos="8838"/>
      </w:tabs>
    </w:pPr>
    <w:rPr>
      <w:sz w:val="28"/>
      <w:szCs w:val="28"/>
      <w:lang w:val="es-ES" w:eastAsia="es-ES"/>
    </w:rPr>
  </w:style>
  <w:style w:type="character" w:customStyle="1" w:styleId="PiedepginaCar">
    <w:name w:val="Pie de página Car"/>
    <w:basedOn w:val="Fuentedeprrafopredeter"/>
    <w:link w:val="Piedepgina"/>
    <w:uiPriority w:val="99"/>
    <w:rsid w:val="00440417"/>
    <w:rPr>
      <w:rFonts w:ascii="Times New Roman" w:eastAsia="Times New Roman" w:hAnsi="Times New Roman" w:cs="Times New Roman"/>
      <w:sz w:val="28"/>
      <w:szCs w:val="28"/>
      <w:lang w:val="es-ES" w:eastAsia="es-ES"/>
    </w:rPr>
  </w:style>
  <w:style w:type="character" w:customStyle="1" w:styleId="PrrafodelistaCar">
    <w:name w:val="Párrafo de lista Car"/>
    <w:aliases w:val="Footnote Car,Colorful List - Accent 11 Car,List Paragraph2 Car,List Paragraph1 Car,Ha Car,lp1 Car,Lista vistosa - Énfasis 11 Car,List1 Car,titulo 3 Car,Párrafo de lista1 Car,Bullets Car,Párrafo de lista2 Car,Dot pt Car,Bolita Car"/>
    <w:link w:val="Prrafodelista"/>
    <w:uiPriority w:val="34"/>
    <w:qFormat/>
    <w:locked/>
    <w:rsid w:val="00440417"/>
    <w:rPr>
      <w:rFonts w:ascii="Times New Roman" w:eastAsia="Times New Roman" w:hAnsi="Times New Roman" w:cs="Times New Roman"/>
      <w:sz w:val="28"/>
      <w:szCs w:val="28"/>
      <w:lang w:val="es-ES" w:eastAsia="es-ES"/>
    </w:rPr>
  </w:style>
  <w:style w:type="paragraph" w:styleId="NormalWeb">
    <w:name w:val="Normal (Web)"/>
    <w:basedOn w:val="Normal"/>
    <w:uiPriority w:val="99"/>
    <w:unhideWhenUsed/>
    <w:rsid w:val="00440417"/>
    <w:pPr>
      <w:spacing w:before="100" w:beforeAutospacing="1" w:after="100" w:afterAutospacing="1"/>
    </w:pPr>
  </w:style>
  <w:style w:type="paragraph" w:customStyle="1" w:styleId="Corte">
    <w:name w:val="Corte"/>
    <w:basedOn w:val="Textonotapie"/>
    <w:link w:val="CorteCar"/>
    <w:qFormat/>
    <w:rsid w:val="00E417AE"/>
    <w:pPr>
      <w:jc w:val="both"/>
    </w:pPr>
    <w:rPr>
      <w:lang w:val="es-CO"/>
    </w:rPr>
  </w:style>
  <w:style w:type="character" w:customStyle="1" w:styleId="CorteCar">
    <w:name w:val="Corte Car"/>
    <w:link w:val="Corte"/>
    <w:rsid w:val="00E417AE"/>
    <w:rPr>
      <w:rFonts w:ascii="Times New Roman" w:eastAsia="Times New Roman" w:hAnsi="Times New Roman" w:cs="Times New Roman"/>
      <w:sz w:val="20"/>
      <w:szCs w:val="20"/>
      <w:lang w:eastAsia="es-ES"/>
    </w:rPr>
  </w:style>
  <w:style w:type="character" w:styleId="Hipervnculo">
    <w:name w:val="Hyperlink"/>
    <w:basedOn w:val="Fuentedeprrafopredeter"/>
    <w:uiPriority w:val="99"/>
    <w:semiHidden/>
    <w:unhideWhenUsed/>
    <w:rsid w:val="00EF66BD"/>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3F3C3D"/>
    <w:pPr>
      <w:jc w:val="both"/>
    </w:pPr>
    <w:rPr>
      <w:rFonts w:eastAsiaTheme="minorHAnsi"/>
      <w:vertAlign w:val="superscript"/>
      <w:lang w:eastAsia="en-US"/>
    </w:rPr>
  </w:style>
  <w:style w:type="paragraph" w:styleId="Revisin">
    <w:name w:val="Revision"/>
    <w:hidden/>
    <w:uiPriority w:val="99"/>
    <w:semiHidden/>
    <w:rsid w:val="004D68C6"/>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4D68C6"/>
    <w:rPr>
      <w:sz w:val="16"/>
      <w:szCs w:val="16"/>
    </w:rPr>
  </w:style>
  <w:style w:type="paragraph" w:styleId="Textocomentario">
    <w:name w:val="annotation text"/>
    <w:basedOn w:val="Normal"/>
    <w:link w:val="TextocomentarioCar"/>
    <w:uiPriority w:val="99"/>
    <w:unhideWhenUsed/>
    <w:rsid w:val="004D68C6"/>
    <w:rPr>
      <w:sz w:val="20"/>
      <w:szCs w:val="20"/>
    </w:rPr>
  </w:style>
  <w:style w:type="character" w:customStyle="1" w:styleId="TextocomentarioCar">
    <w:name w:val="Texto comentario Car"/>
    <w:basedOn w:val="Fuentedeprrafopredeter"/>
    <w:link w:val="Textocomentario"/>
    <w:uiPriority w:val="99"/>
    <w:rsid w:val="004D68C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D68C6"/>
    <w:rPr>
      <w:b/>
      <w:bCs/>
    </w:rPr>
  </w:style>
  <w:style w:type="character" w:customStyle="1" w:styleId="AsuntodelcomentarioCar">
    <w:name w:val="Asunto del comentario Car"/>
    <w:basedOn w:val="TextocomentarioCar"/>
    <w:link w:val="Asuntodelcomentario"/>
    <w:uiPriority w:val="99"/>
    <w:semiHidden/>
    <w:rsid w:val="004D68C6"/>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1754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5438"/>
    <w:rPr>
      <w:rFonts w:ascii="Segoe UI" w:eastAsia="Times New Roman" w:hAnsi="Segoe UI" w:cs="Segoe UI"/>
      <w:sz w:val="18"/>
      <w:szCs w:val="18"/>
      <w:lang w:eastAsia="es-MX"/>
    </w:rPr>
  </w:style>
  <w:style w:type="table" w:styleId="Tablaconcuadrcula">
    <w:name w:val="Table Grid"/>
    <w:basedOn w:val="Tablanormal"/>
    <w:uiPriority w:val="39"/>
    <w:rsid w:val="00337A28"/>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1769</Words>
  <Characters>9735</Characters>
  <Application>Microsoft Office Word</Application>
  <DocSecurity>0</DocSecurity>
  <Lines>81</Lines>
  <Paragraphs>22</Paragraphs>
  <ScaleCrop>false</ScaleCrop>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Marleny Aldana Sandoval</cp:lastModifiedBy>
  <cp:revision>2</cp:revision>
  <dcterms:created xsi:type="dcterms:W3CDTF">2024-03-07T22:26:00Z</dcterms:created>
  <dcterms:modified xsi:type="dcterms:W3CDTF">2024-03-07T22:26:00Z</dcterms:modified>
</cp:coreProperties>
</file>