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282D" w14:textId="77777777" w:rsidR="003C4AB6" w:rsidRDefault="003C4AB6" w:rsidP="009871E2">
      <w:pPr>
        <w:autoSpaceDE w:val="0"/>
        <w:autoSpaceDN w:val="0"/>
        <w:adjustRightInd w:val="0"/>
        <w:spacing w:after="0" w:line="240" w:lineRule="auto"/>
        <w:jc w:val="right"/>
        <w:rPr>
          <w:rFonts w:ascii="BookmanOldStyle" w:hAnsi="BookmanOldStyle" w:cs="BookmanOldStyle"/>
          <w:color w:val="818181"/>
          <w:kern w:val="0"/>
          <w:sz w:val="20"/>
          <w:szCs w:val="20"/>
          <w:lang w:val="es-CO"/>
        </w:rPr>
      </w:pPr>
      <w:r>
        <w:rPr>
          <w:rFonts w:ascii="BookmanOldStyle" w:hAnsi="BookmanOldStyle" w:cs="BookmanOldStyle"/>
          <w:color w:val="818181"/>
          <w:kern w:val="0"/>
          <w:sz w:val="20"/>
          <w:szCs w:val="20"/>
          <w:lang w:val="es-CO"/>
        </w:rPr>
        <w:t xml:space="preserve">Radicación </w:t>
      </w:r>
      <w:proofErr w:type="spellStart"/>
      <w:r>
        <w:rPr>
          <w:rFonts w:ascii="BookmanOldStyle" w:hAnsi="BookmanOldStyle" w:cs="BookmanOldStyle"/>
          <w:color w:val="818181"/>
          <w:kern w:val="0"/>
          <w:sz w:val="20"/>
          <w:szCs w:val="20"/>
          <w:lang w:val="es-CO"/>
        </w:rPr>
        <w:t>n.°</w:t>
      </w:r>
      <w:proofErr w:type="spellEnd"/>
      <w:r>
        <w:rPr>
          <w:rFonts w:ascii="BookmanOldStyle" w:hAnsi="BookmanOldStyle" w:cs="BookmanOldStyle"/>
          <w:color w:val="818181"/>
          <w:kern w:val="0"/>
          <w:sz w:val="20"/>
          <w:szCs w:val="20"/>
          <w:lang w:val="es-CO"/>
        </w:rPr>
        <w:t xml:space="preserve"> 023202200255 – 01</w:t>
      </w:r>
    </w:p>
    <w:p w14:paraId="0F13F5F9" w14:textId="77777777" w:rsidR="009871E2" w:rsidRDefault="009871E2" w:rsidP="009871E2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</w:p>
    <w:p w14:paraId="463A77EB" w14:textId="77777777" w:rsidR="009871E2" w:rsidRDefault="009871E2" w:rsidP="009871E2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</w:p>
    <w:p w14:paraId="2EBDF807" w14:textId="0BD0041D" w:rsidR="003C4AB6" w:rsidRDefault="003C4AB6" w:rsidP="009871E2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REPÚBLICA DE COLOMBIA</w:t>
      </w:r>
    </w:p>
    <w:p w14:paraId="48E0E86E" w14:textId="77777777" w:rsidR="003C4AB6" w:rsidRDefault="003C4AB6" w:rsidP="009871E2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TRIBUNAL SUPERIOR DISTRITO JUDICIAL DE BOGOTÁ</w:t>
      </w:r>
    </w:p>
    <w:p w14:paraId="77418D2A" w14:textId="77777777" w:rsidR="003C4AB6" w:rsidRDefault="003C4AB6" w:rsidP="009871E2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SALA CUARTA DE DECISIÓN LABORAL</w:t>
      </w:r>
    </w:p>
    <w:p w14:paraId="6D206DEA" w14:textId="77777777" w:rsidR="009871E2" w:rsidRDefault="009871E2" w:rsidP="009871E2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</w:p>
    <w:p w14:paraId="28D16FDB" w14:textId="4A926458" w:rsidR="003C4AB6" w:rsidRDefault="003C4AB6" w:rsidP="009871E2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GUSTAVO ALIRIO TUPAZ PARRA</w:t>
      </w:r>
    </w:p>
    <w:p w14:paraId="05BCF81C" w14:textId="77777777" w:rsidR="003C4AB6" w:rsidRDefault="003C4AB6" w:rsidP="009871E2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Magistrado ponente</w:t>
      </w:r>
    </w:p>
    <w:p w14:paraId="52D4D8EA" w14:textId="77777777" w:rsidR="009871E2" w:rsidRDefault="009871E2" w:rsidP="009871E2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3D86EB97" w14:textId="7745FBAB" w:rsidR="003C4AB6" w:rsidRDefault="003C4AB6" w:rsidP="009871E2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Bogotá, D.C., Veintiuno (21) de febrero dos mil veinticuatro (2024).</w:t>
      </w:r>
    </w:p>
    <w:p w14:paraId="22622DE1" w14:textId="77777777" w:rsidR="009871E2" w:rsidRDefault="009871E2" w:rsidP="003C4AB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6DEB4F16" w14:textId="77777777" w:rsidR="009871E2" w:rsidRDefault="009871E2" w:rsidP="003C4AB6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7B14321F" w14:textId="14BFAB9D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Procede la Sala a determinar la viabilidad de los recursos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extraordinarios de casación interpuestos por la parte demandada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 xml:space="preserve">INVERSIONES SEQUOIA COLOMBIA S.A.S.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y la parte demandante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JAHIR ALEJANDRO LUNA BADILLO</w:t>
      </w:r>
      <w:r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  <w:t xml:space="preserve">2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contra de la sentencia proferida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 29 de septiembre de 2023 y notificada por edicto del cinco (05) de octubre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la misma anualidad.</w:t>
      </w:r>
    </w:p>
    <w:p w14:paraId="3C7BBBE7" w14:textId="77777777" w:rsidR="009C116C" w:rsidRDefault="009C116C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3A968C10" w14:textId="77777777" w:rsidR="009C116C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 efectos de resolver lo pertinente se hacen las siguientes,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</w:p>
    <w:p w14:paraId="4B96F2FB" w14:textId="77777777" w:rsidR="009C116C" w:rsidRDefault="009C116C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65D6DBEA" w14:textId="3C8814E9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CONSIDERACIONES</w:t>
      </w:r>
    </w:p>
    <w:p w14:paraId="50410B9D" w14:textId="77777777" w:rsidR="009C116C" w:rsidRDefault="009C116C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02DC68CF" w14:textId="2349CA3B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Establece el artículo 86 del Código Procesal del Trabajo y la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Seguridad Social, en su parte pertinente que: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«…sólo serán susceptibles</w:t>
      </w:r>
      <w:r w:rsidR="009C116C"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del recurso de casación los procesos cuya cuantía exceda de ciento veinte</w:t>
      </w:r>
      <w:r w:rsidR="009C116C"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(120) veces el salario mínimo legal mensual vigente»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. Tal estimación debe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efectuarse, teniendo en cuenta el monto del salario mínimo aplicable al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tiempo en que se profiere la sentencia que se pretende acusar, en el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caso en concreto la cuantía corresponde a la suma de $139'200.000,00.</w:t>
      </w:r>
    </w:p>
    <w:p w14:paraId="0B4564AA" w14:textId="77777777" w:rsidR="009C116C" w:rsidRDefault="009C116C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032861B2" w14:textId="72089AD6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La Jurisprudencia de la Sala de Casación Laboral, de la Corte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Suprema de Justicia, establece que el interés económico para recurrir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casación se encuentra determinado por el agravio o perjuicio que la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sentencia recurrida les irroga a las partes</w:t>
      </w:r>
      <w:r>
        <w:rPr>
          <w:rFonts w:ascii="BookmanOldStyle" w:hAnsi="BookmanOldStyle" w:cs="BookmanOldStyle"/>
          <w:color w:val="000000"/>
          <w:kern w:val="0"/>
          <w:sz w:val="16"/>
          <w:szCs w:val="16"/>
          <w:lang w:val="es-CO"/>
        </w:rPr>
        <w:t>3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.</w:t>
      </w:r>
    </w:p>
    <w:p w14:paraId="710549A1" w14:textId="77777777" w:rsidR="009C116C" w:rsidRDefault="009C116C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</w:p>
    <w:p w14:paraId="3F3895A6" w14:textId="4F28F329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1. Recurso de casación Inversiones Sequoia Colombia S.A.S.</w:t>
      </w:r>
    </w:p>
    <w:p w14:paraId="11059BF3" w14:textId="77777777" w:rsidR="009C116C" w:rsidRDefault="009C116C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42E2F09F" w14:textId="17431A41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 interés jurídico de la demandada para recurrir en casación, se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encuentra determinado por el monto de las condenas que le fueron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impuestas por el fallo de segunda instancia, que modificó el ordinal 4º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y confirmó en lo demás la decisión condenatoria del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a quo.</w:t>
      </w:r>
    </w:p>
    <w:p w14:paraId="4F1A492C" w14:textId="77777777" w:rsidR="009C116C" w:rsidRDefault="009C116C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08A41D6E" w14:textId="66B07647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Algunas condenas impuestas al recurrente consisten en: el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reconocimiento y pago a favor de la demandante de las siguientes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sumas: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(i)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cesantías la suma de $63’270.357;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(</w:t>
      </w:r>
      <w:proofErr w:type="spellStart"/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ii</w:t>
      </w:r>
      <w:proofErr w:type="spellEnd"/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)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intereses sobre las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cesantías la suma de $218.320;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(</w:t>
      </w:r>
      <w:proofErr w:type="spellStart"/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iii</w:t>
      </w:r>
      <w:proofErr w:type="spellEnd"/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)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prima de servicios $11’552.637;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(</w:t>
      </w:r>
      <w:proofErr w:type="spellStart"/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iv</w:t>
      </w:r>
      <w:proofErr w:type="spellEnd"/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)</w:t>
      </w:r>
    </w:p>
    <w:p w14:paraId="7AEC4BB2" w14:textId="74808D3C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lastRenderedPageBreak/>
        <w:t xml:space="preserve">vacaciones $10’085.046, suma indexada;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(v)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indemnización por despido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injusto $48’347.787;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(vi)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sanción de que trata el artículo 99 de la Ley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50 de 1900 la suma de $34’266.494;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(</w:t>
      </w:r>
      <w:proofErr w:type="spellStart"/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vii</w:t>
      </w:r>
      <w:proofErr w:type="spellEnd"/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)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indemnización moratoria a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partir del 21 de junio de 2020, por una suma diaria de $278.031,49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hasta el mes 24 y, a partir del mes 25, intereses moratorios.</w:t>
      </w:r>
    </w:p>
    <w:p w14:paraId="47CBE382" w14:textId="77777777" w:rsidR="009C116C" w:rsidRDefault="009C116C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4E288EAE" w14:textId="6D98F5F1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Visto lo que antecede, se tiene que el perjuicio económico irrogado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al accionado, asciende a por lo menos $167’740.641,00 guarismo que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supera los 120 salarios mínimos exigidos para recurrir en casación. En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consecuencia, y al hallarse reunidos los requisitos establecidos en el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artículo 43 de la Ley 712 de 2001, se concederá el recurso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extraordinario de casación interpuesto por la parte demandada.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</w:p>
    <w:p w14:paraId="091AFCF4" w14:textId="77777777" w:rsidR="009C116C" w:rsidRDefault="009C116C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7E2B711E" w14:textId="4C104783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2. Recurso de casación parte demandante Jahir Alejandro Luna</w:t>
      </w:r>
      <w:r w:rsidR="009C116C"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Badillo</w:t>
      </w:r>
    </w:p>
    <w:p w14:paraId="43012D12" w14:textId="77777777" w:rsidR="009C116C" w:rsidRDefault="009C116C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1039A623" w14:textId="1994C659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Respecto al recurso de casación interpuesto por la parte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demandante se tendrá en cuenta el recurso de apelación interpuesto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contra de la decisión de primer grado consistente en las siguientes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aspectos: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(i)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reajuste de la indemnización por despido sin justa causa;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(i)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reconocimiento de la sanción moratoria de que trata el artículo 65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del CST consistente en un día de salario por cada día de retardo hasta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que se efectúe el pago </w:t>
      </w:r>
      <w:proofErr w:type="spell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ó</w:t>
      </w:r>
      <w:proofErr w:type="spell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subsidiariamente el reajuste de esta con un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salario $ 9’731.102,00;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(</w:t>
      </w:r>
      <w:proofErr w:type="spellStart"/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iii</w:t>
      </w:r>
      <w:proofErr w:type="spellEnd"/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)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reajuste de la sanción por no consignación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las cesantías por todo el tiempo laborado.</w:t>
      </w:r>
    </w:p>
    <w:p w14:paraId="793937BE" w14:textId="77777777" w:rsidR="009C116C" w:rsidRDefault="009C116C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542FE913" w14:textId="5F39C339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Ahora bien, la Sala de Casación Laboral ha determinado que el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interés jurídico para recurrir en casación cuando en esta instancia se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modifique la decisión condenatoria del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a quo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, estará definido por las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BoldItalic" w:hAnsi="BookmanOldStyle-BoldItalic" w:cs="BookmanOldStyle-BoldItalic"/>
          <w:b/>
          <w:bCs/>
          <w:i/>
          <w:iCs/>
          <w:color w:val="000000"/>
          <w:kern w:val="0"/>
          <w:sz w:val="24"/>
          <w:szCs w:val="24"/>
          <w:lang w:val="es-CO"/>
        </w:rPr>
        <w:t xml:space="preserve">diferencias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entre el valor otorgado en las instancias y la sustentación</w:t>
      </w:r>
    </w:p>
    <w:p w14:paraId="69C38508" w14:textId="1254E771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oportunidad del recurso de apelación contra la decisión de primer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grado, y que en todo caso se sustraerá lo concedido al actor, al respecto</w:t>
      </w:r>
      <w:r w:rsidR="009C116C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proofErr w:type="spellStart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</w:t>
      </w:r>
      <w:proofErr w:type="spellEnd"/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determinado la Sala de Casación Laboral los siguiente:</w:t>
      </w:r>
    </w:p>
    <w:p w14:paraId="4576191D" w14:textId="77777777" w:rsidR="009C116C" w:rsidRDefault="009C116C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6936892D" w14:textId="157D250D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0"/>
          <w:szCs w:val="20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[…]Desde allí se ha asentado por la jurisprudencia del trabajo que</w:t>
      </w:r>
      <w:r w:rsidR="00F77FF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tratándose de la parte demandante el interés jurídico económico para</w:t>
      </w:r>
      <w:r w:rsidR="00F77FF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recurrir en casación se establece por el agravio representado en la</w:t>
      </w:r>
      <w:r w:rsidR="00F77FF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diferencia entre el valor de las pretensiones que planteó en su demanda</w:t>
      </w:r>
      <w:r w:rsidR="00F77FF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inicial y el de las que le fueron concedidas, en otras palabras, por el</w:t>
      </w:r>
      <w:r w:rsidR="00F77FF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monto de las súplicas adversas; distinguiendo para ello que si el</w:t>
      </w:r>
      <w:r w:rsidR="00F77FF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demandante no apeló el fallo de primera instancia o lo hizo únicamente</w:t>
      </w:r>
      <w:r w:rsidR="00F77FF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en cuanto a unos aspectos y a otros no, de hecho lo consintió. Ahora,</w:t>
      </w:r>
      <w:r w:rsidR="00F77FF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si el Tribunal disminuyó las condenas que le fueron favorables, su</w:t>
      </w:r>
      <w:r w:rsidR="00F77FF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interés será el equivalente a la diferencia entre el valor de la condena</w:t>
      </w:r>
      <w:r w:rsidR="00F77FF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de primer grado y el de la segunda instancia.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0"/>
          <w:szCs w:val="20"/>
          <w:lang w:val="es-CO"/>
        </w:rPr>
        <w:t>Por eso, no es el valor</w:t>
      </w:r>
    </w:p>
    <w:p w14:paraId="7350A2B9" w14:textId="79C07B27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0"/>
          <w:szCs w:val="20"/>
          <w:lang w:val="es-CO"/>
        </w:rPr>
        <w:t xml:space="preserve">de la demanda inicial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el que determina el interés para recurrir en</w:t>
      </w:r>
      <w:r w:rsidR="00F77FF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casación, como desatinadamente lo afirma el recurrente. […]</w:t>
      </w:r>
    </w:p>
    <w:p w14:paraId="19ED08CE" w14:textId="77777777" w:rsidR="00F77FFE" w:rsidRDefault="00F77FFE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1301C0E3" w14:textId="40BC7D84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Definido lo anterior se procede a calcular las diferencias teniendo</w:t>
      </w:r>
      <w:r w:rsidR="00F77FF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cuenta que las decisiones tomadas en las instancias le fueron</w:t>
      </w:r>
      <w:r w:rsidR="00F77FF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favorables al recurrente:</w:t>
      </w:r>
    </w:p>
    <w:p w14:paraId="0F29E8CA" w14:textId="77777777" w:rsidR="00F77FFE" w:rsidRDefault="00F77FFE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</w:pPr>
    </w:p>
    <w:p w14:paraId="38C6D2B6" w14:textId="3E8E7293" w:rsidR="00A4479E" w:rsidRPr="00A4479E" w:rsidRDefault="003C4AB6" w:rsidP="00A4479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</w:pPr>
      <w:r w:rsidRPr="00A4479E"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Sanción moratoria de que trata el artículo 65 del CST</w:t>
      </w:r>
      <w:r w:rsidR="00F77FFE" w:rsidRPr="00A4479E"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</w:p>
    <w:p w14:paraId="2E9FC4FF" w14:textId="77777777" w:rsidR="00A4479E" w:rsidRDefault="00A4479E" w:rsidP="00A4479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5A080FC8" w14:textId="7651791A" w:rsidR="003C4AB6" w:rsidRPr="00A4479E" w:rsidRDefault="003C4AB6" w:rsidP="00A4479E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</w:pPr>
      <w:r w:rsidRP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Afirma el recurrente que debe calcularse la sanción moratoria de</w:t>
      </w:r>
      <w:r w:rsidR="00F77FFE" w:rsidRP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 w:rsidRP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que trata el artículo 65 del CST consistente en un día de salario por</w:t>
      </w:r>
      <w:r w:rsidR="00F77FFE" w:rsidRP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 w:rsidRP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cada día de retardo hasta que se efectúe el pago, </w:t>
      </w:r>
      <w:r w:rsidRP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lastRenderedPageBreak/>
        <w:t>al respecto, no podría</w:t>
      </w:r>
      <w:r w:rsidR="00F77FFE" w:rsidRP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 w:rsidRP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hacer parte del agravio lo que hace referencia el demandante dado que</w:t>
      </w:r>
      <w:r w:rsidR="00F77FFE" w:rsidRP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 w:rsidRP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sólo se cuantifica veinticuatro (24) meses en una suma equivalente al</w:t>
      </w:r>
      <w:r w:rsidR="00F77FFE" w:rsidRP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 w:rsidRP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último salario diario y, a partir de la iniciación del mes veinticinco (25)</w:t>
      </w:r>
      <w:r w:rsidR="00F77FFE" w:rsidRP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 w:rsidRP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intereses moratorios a la tasa máxima de créditos de libre asignación</w:t>
      </w:r>
      <w:r w:rsidR="00F77FFE" w:rsidRP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 w:rsidRP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certificada por la Superintendencia Financiera, intereses que se</w:t>
      </w:r>
      <w:r w:rsidR="00F77FFE" w:rsidRP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 w:rsidRP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calcularán sobre las sumas debidas por concepto de salarios y</w:t>
      </w:r>
      <w:r w:rsidR="00F77FFE" w:rsidRP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 w:rsidRP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prestaciones en dinero, así lo ha determinado la Sala de Casación de</w:t>
      </w:r>
      <w:r w:rsidR="00F77FFE" w:rsidRP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 w:rsidRP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Sala Laboral de la Corte Suprema de Justicia</w:t>
      </w:r>
      <w:r w:rsidRPr="00A4479E">
        <w:rPr>
          <w:rFonts w:ascii="BookmanOldStyle" w:hAnsi="BookmanOldStyle" w:cs="BookmanOldStyle"/>
          <w:color w:val="000000"/>
          <w:kern w:val="0"/>
          <w:sz w:val="28"/>
          <w:szCs w:val="28"/>
          <w:lang w:val="es-CO"/>
        </w:rPr>
        <w:t>:</w:t>
      </w:r>
    </w:p>
    <w:p w14:paraId="43018C16" w14:textId="77777777" w:rsidR="00F77FFE" w:rsidRDefault="00F77FFE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</w:pPr>
    </w:p>
    <w:p w14:paraId="56204C67" w14:textId="32B67800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[…]esta Sala de la Corte entiende que la intención del legislador fue la</w:t>
      </w:r>
      <w:r w:rsidR="00A4479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de establecer un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0"/>
          <w:szCs w:val="20"/>
          <w:lang w:val="es-CO"/>
        </w:rPr>
        <w:t xml:space="preserve">límite temporal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a la indemnización moratoria</w:t>
      </w:r>
      <w:r w:rsidR="00A4479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originalmente concebida por el artículo 65 del Código Sustantivo del</w:t>
      </w:r>
      <w:r w:rsidR="00A4479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Trabajo, de tal suerte que, como regla general, durante los veinticuatro</w:t>
      </w:r>
      <w:r w:rsidR="00A4479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(24) meses posteriores a la extinción del vínculo jurídico el empleador</w:t>
      </w:r>
      <w:r w:rsidR="00A4479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incumplido deberá pagar una suma igual al último salario diario por</w:t>
      </w:r>
      <w:r w:rsidR="00A4479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cada día de retardo, siempre y cuando el trabajador haya iniciado su</w:t>
      </w:r>
      <w:r w:rsidR="00A4479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reclamación ante la justicia ordinaria dentro de esos veinticuatro (24)</w:t>
      </w:r>
      <w:r w:rsidR="00A4479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meses, como aconteció en este caso.</w:t>
      </w:r>
    </w:p>
    <w:p w14:paraId="657FE712" w14:textId="77777777" w:rsidR="00A4479E" w:rsidRDefault="00A4479E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</w:pPr>
    </w:p>
    <w:p w14:paraId="6B749C53" w14:textId="50B1D414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13"/>
          <w:szCs w:val="13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Después de esos veinticuatro (24) meses, en caso de que la situación</w:t>
      </w:r>
      <w:r w:rsidR="00A4479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de mora persista, ya no deberá el empleador una suma equivalente al</w:t>
      </w:r>
      <w:r w:rsidR="00A4479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último salario diario, sino intereses moratorios a la tasa máxima de</w:t>
      </w:r>
      <w:r w:rsidR="00A4479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créditos de libre asignación certificada por la Superintendencia</w:t>
      </w:r>
      <w:r w:rsidR="00A4479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Bancaria, hoy Financiera, hasta cuando el pago de lo adeudado se</w:t>
      </w:r>
      <w:r w:rsidR="00A4479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verifique efectivamente; intereses que se calcularán sobre las sumas</w:t>
      </w:r>
      <w:r w:rsidR="00A4479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debidas por concepto de salarios y prestaciones en dinero. […]</w:t>
      </w:r>
      <w:r w:rsidR="00A4479E"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0"/>
          <w:szCs w:val="20"/>
          <w:lang w:val="es-CO"/>
        </w:rPr>
        <w:t>(SL2805-2020)</w:t>
      </w:r>
      <w:r>
        <w:rPr>
          <w:rFonts w:ascii="BookmanOldStyle" w:hAnsi="BookmanOldStyle" w:cs="BookmanOldStyle"/>
          <w:color w:val="000000"/>
          <w:kern w:val="0"/>
          <w:sz w:val="13"/>
          <w:szCs w:val="13"/>
          <w:lang w:val="es-CO"/>
        </w:rPr>
        <w:t>4</w:t>
      </w:r>
    </w:p>
    <w:p w14:paraId="5825FC8C" w14:textId="77777777" w:rsidR="00A4479E" w:rsidRDefault="00A4479E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7B3E577C" w14:textId="0A39D3C9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Determinado lo anterior y dado que en esta instancia le fue</w:t>
      </w:r>
      <w:r w:rsid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concedida la sanción moratoria de que trata el art. 65 del CST, procede</w:t>
      </w:r>
      <w:r w:rsid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únicamente la liquidación sobre un salario de $ 9’731.102,00, y de</w:t>
      </w:r>
      <w:r w:rsid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dicha cifra se procederá a sustraer lo concedido por esta Sala de</w:t>
      </w:r>
      <w:r w:rsidR="00A4479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Decisión, así:</w:t>
      </w:r>
    </w:p>
    <w:p w14:paraId="7CAB506A" w14:textId="77777777" w:rsidR="00A4479E" w:rsidRDefault="00A4479E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494B72BB" w14:textId="77777777" w:rsidR="00A4479E" w:rsidRDefault="00A4479E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57DD1E97" w14:textId="77777777" w:rsidR="00A4479E" w:rsidRDefault="00A4479E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6A0826AF" w14:textId="77777777" w:rsidR="008052E9" w:rsidRDefault="008052E9" w:rsidP="008052E9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Tabla Sanción Moratoria - Art. 65 C.S.T. salario $ 8.158.689</w:t>
      </w:r>
    </w:p>
    <w:p w14:paraId="3CB1B73A" w14:textId="77777777" w:rsidR="008052E9" w:rsidRDefault="008052E9" w:rsidP="008052E9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</w:p>
    <w:p w14:paraId="36537022" w14:textId="099A8DA7" w:rsidR="008052E9" w:rsidRDefault="008052E9" w:rsidP="008052E9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Fecha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Inicial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Fecha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Final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No.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Días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Sanción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Moratoria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Diaria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Total Sanción</w:t>
      </w:r>
    </w:p>
    <w:p w14:paraId="3A0199A6" w14:textId="6E39F7FF" w:rsidR="008052E9" w:rsidRDefault="008052E9" w:rsidP="008052E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21/06/2020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20/06/2022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720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 xml:space="preserve">$ 278.031,49 </w:t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kern w:val="0"/>
          <w:sz w:val="18"/>
          <w:szCs w:val="18"/>
          <w:lang w:val="es-CO"/>
        </w:rPr>
        <w:t>$ 200.182.672,80</w:t>
      </w:r>
    </w:p>
    <w:p w14:paraId="326B07BD" w14:textId="77777777" w:rsidR="008052E9" w:rsidRDefault="008052E9" w:rsidP="008052E9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</w:pPr>
    </w:p>
    <w:p w14:paraId="3DC85A04" w14:textId="43390CE6" w:rsidR="00A4479E" w:rsidRDefault="008052E9" w:rsidP="008052E9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proofErr w:type="gramStart"/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Total</w:t>
      </w:r>
      <w:proofErr w:type="gramEnd"/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 xml:space="preserve"> Sanción Moratoria </w:t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kern w:val="0"/>
          <w:sz w:val="18"/>
          <w:szCs w:val="18"/>
          <w:lang w:val="es-CO"/>
        </w:rPr>
        <w:t>$ 200.182.672,80</w:t>
      </w:r>
    </w:p>
    <w:p w14:paraId="01D03448" w14:textId="77777777" w:rsidR="00A4479E" w:rsidRDefault="00A4479E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5FEFC051" w14:textId="77777777" w:rsidR="00A4479E" w:rsidRDefault="00A4479E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3C8B8D51" w14:textId="77777777" w:rsidR="00A4479E" w:rsidRDefault="00A4479E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6A165AE2" w14:textId="77777777" w:rsidR="00A4479E" w:rsidRDefault="00A4479E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4B0993D8" w14:textId="77777777" w:rsidR="003C4AB6" w:rsidRDefault="003C4AB6" w:rsidP="00FA48DE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Tabla Sanción Moratoria - Art. 65 C.S.T. salario $ 9.731.102</w:t>
      </w:r>
    </w:p>
    <w:p w14:paraId="747B9E92" w14:textId="77777777" w:rsidR="00FA48DE" w:rsidRDefault="00FA48DE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79563E7B" w14:textId="5248E797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Fecha</w:t>
      </w:r>
      <w:r w:rsidR="00FA48DE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Inicial</w:t>
      </w:r>
      <w:r w:rsidR="00FA48DE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 w:rsidR="00FA48DE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Fecha</w:t>
      </w:r>
      <w:r w:rsidR="00FA48DE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Final</w:t>
      </w:r>
      <w:r w:rsidR="00FA48DE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 w:rsidR="00FA48DE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No.</w:t>
      </w:r>
      <w:r w:rsidR="00FA48DE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Días</w:t>
      </w:r>
      <w:r w:rsidR="00FA48DE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 w:rsidR="00FA48DE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Sanción</w:t>
      </w:r>
      <w:r w:rsidR="00FA48DE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Moratoria</w:t>
      </w:r>
      <w:r w:rsidR="00FA48DE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Diaria</w:t>
      </w:r>
      <w:r w:rsidR="00FA48DE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 w:rsidR="00FA48DE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Total Sanción</w:t>
      </w:r>
    </w:p>
    <w:p w14:paraId="7CA7E9A5" w14:textId="5A7883E2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21/06/2020 </w:t>
      </w:r>
      <w:r w:rsidR="00FA48DE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20/06/2022 </w:t>
      </w:r>
      <w:r w:rsidR="00FA48DE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720 </w:t>
      </w:r>
      <w:r w:rsidR="00FA48DE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FA48DE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$ 324.370,06 </w:t>
      </w:r>
      <w:r w:rsidR="00FA48DE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FA48DE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FA48DE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$ 233.546.443,20</w:t>
      </w:r>
    </w:p>
    <w:p w14:paraId="2AD6EC23" w14:textId="77777777" w:rsidR="00FA48DE" w:rsidRDefault="00FA48DE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</w:p>
    <w:p w14:paraId="50BB4D9C" w14:textId="34851428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proofErr w:type="gramStart"/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Total</w:t>
      </w:r>
      <w:proofErr w:type="gramEnd"/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Sanción Moratoria </w:t>
      </w:r>
      <w:r w:rsidR="00FA48DE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FA48DE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FA48DE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FA48DE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FA48DE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FA48DE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FA48DE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FA48DE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$ 233.546.443,20</w:t>
      </w:r>
    </w:p>
    <w:p w14:paraId="474AF5F9" w14:textId="77777777" w:rsidR="00FA48DE" w:rsidRDefault="00FA48DE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0A5A1EF9" w14:textId="77777777" w:rsidR="00FA48DE" w:rsidRDefault="00FA48DE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22296DF2" w14:textId="77777777" w:rsidR="00FA48DE" w:rsidRDefault="00FA48DE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3C9D3E73" w14:textId="77777777" w:rsidR="003C4AB6" w:rsidRDefault="003C4AB6" w:rsidP="0060791C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Tabla liquidación intereses Moratorios cifras idénticas en ambos casos</w:t>
      </w:r>
    </w:p>
    <w:p w14:paraId="4EE005C7" w14:textId="77777777" w:rsidR="0060791C" w:rsidRDefault="0060791C" w:rsidP="0060791C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5FEA5F08" w14:textId="77777777" w:rsidR="0060791C" w:rsidRPr="003F2804" w:rsidRDefault="0060791C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</w:pPr>
    </w:p>
    <w:p w14:paraId="2991FEBE" w14:textId="2CE5CDE7" w:rsidR="003C4AB6" w:rsidRPr="003F2804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</w:pPr>
      <w:r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>Fecha</w:t>
      </w:r>
      <w:r w:rsidR="0060791C"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 xml:space="preserve"> </w:t>
      </w:r>
      <w:r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>inicial</w:t>
      </w:r>
      <w:r w:rsidR="0060791C"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 xml:space="preserve"> </w:t>
      </w:r>
      <w:r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>Fecha</w:t>
      </w:r>
      <w:r w:rsidR="0060791C"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 xml:space="preserve"> </w:t>
      </w:r>
      <w:r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>final</w:t>
      </w:r>
      <w:r w:rsidR="0060791C"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 xml:space="preserve"> </w:t>
      </w:r>
      <w:r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>Número</w:t>
      </w:r>
      <w:r w:rsidR="0060791C"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 xml:space="preserve"> </w:t>
      </w:r>
      <w:r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>de días</w:t>
      </w:r>
      <w:r w:rsidR="0060791C"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 xml:space="preserve"> </w:t>
      </w:r>
      <w:r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>Interés</w:t>
      </w:r>
      <w:r w:rsidR="0060791C"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 xml:space="preserve"> </w:t>
      </w:r>
      <w:r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>Consumo</w:t>
      </w:r>
      <w:r w:rsidR="0060791C"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 xml:space="preserve"> </w:t>
      </w:r>
      <w:r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>Tasa de</w:t>
      </w:r>
      <w:r w:rsidR="0060791C"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 xml:space="preserve"> </w:t>
      </w:r>
      <w:r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>interés de</w:t>
      </w:r>
      <w:r w:rsidR="0060791C"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 xml:space="preserve"> </w:t>
      </w:r>
      <w:r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>mora</w:t>
      </w:r>
      <w:r w:rsidR="0060791C"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 xml:space="preserve"> </w:t>
      </w:r>
      <w:r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>diario</w:t>
      </w:r>
      <w:r w:rsidR="0060791C"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 xml:space="preserve"> </w:t>
      </w:r>
      <w:r w:rsidRPr="003F2804">
        <w:rPr>
          <w:rFonts w:ascii="Arial" w:hAnsi="Arial" w:cs="Arial"/>
          <w:b/>
          <w:bCs/>
          <w:i/>
          <w:iCs/>
          <w:color w:val="000000"/>
          <w:kern w:val="0"/>
          <w:sz w:val="16"/>
          <w:szCs w:val="16"/>
          <w:lang w:val="es-CO"/>
        </w:rPr>
        <w:t>Capital Subtotal</w:t>
      </w:r>
    </w:p>
    <w:p w14:paraId="49AA06E7" w14:textId="77777777" w:rsidR="0060791C" w:rsidRDefault="0060791C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</w:p>
    <w:p w14:paraId="60E6903E" w14:textId="13B8E51B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21/06/22 </w:t>
      </w:r>
      <w:r w:rsidR="003F2804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29/09/23 </w:t>
      </w:r>
      <w:r w:rsidR="003F2804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461 42,05% </w:t>
      </w:r>
      <w:r w:rsidR="003F2804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0,0976% </w:t>
      </w:r>
      <w:r w:rsidR="003F2804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$ 63.270.357,00</w:t>
      </w:r>
      <w:r w:rsidR="003F2804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$ 28.453.035,56</w:t>
      </w:r>
    </w:p>
    <w:p w14:paraId="083896D5" w14:textId="762C5442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21/06/22 </w:t>
      </w:r>
      <w:r w:rsidR="003F2804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29/09/23 </w:t>
      </w:r>
      <w:r w:rsidR="003F2804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459 42,05% </w:t>
      </w:r>
      <w:r w:rsidR="003F2804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0,0976% </w:t>
      </w:r>
      <w:r w:rsidR="003F2804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$ 218.320,00 </w:t>
      </w:r>
      <w:r w:rsidR="003F2804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  <w:t xml:space="preserve">       </w:t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$ 97.753,79</w:t>
      </w:r>
    </w:p>
    <w:p w14:paraId="7DFF29F7" w14:textId="5F572E84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21/06/22 </w:t>
      </w:r>
      <w:r w:rsidR="003F2804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29/09/23 </w:t>
      </w:r>
      <w:r w:rsidR="003F2804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459 42,05% </w:t>
      </w:r>
      <w:r w:rsidR="003F2804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0,0976% </w:t>
      </w:r>
      <w:r w:rsidR="003F2804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$ 11.552.637,00 </w:t>
      </w:r>
      <w:r w:rsidR="003F2804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  <w:t xml:space="preserve">       </w:t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$ 5.172.746,66</w:t>
      </w:r>
    </w:p>
    <w:p w14:paraId="40F9D899" w14:textId="047562FC" w:rsidR="003C4AB6" w:rsidRDefault="003C4AB6" w:rsidP="003F2804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proofErr w:type="gramStart"/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lastRenderedPageBreak/>
        <w:t>Total</w:t>
      </w:r>
      <w:proofErr w:type="gramEnd"/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Intereses </w:t>
      </w:r>
      <w:r w:rsidR="003F2804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3F2804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3F2804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3F2804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3F2804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3F2804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3F2804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3F2804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3F2804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$ 33.723.536,02</w:t>
      </w:r>
    </w:p>
    <w:p w14:paraId="581E3AE0" w14:textId="77777777" w:rsidR="003F2804" w:rsidRDefault="003F2804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4329127D" w14:textId="77777777" w:rsidR="003F2804" w:rsidRDefault="003F2804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4BF746C3" w14:textId="77777777" w:rsidR="003C4AB6" w:rsidRDefault="003C4AB6" w:rsidP="00A81891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Tabla Liquidación Sanción Moratoria - Art. 65 C.S.T.</w:t>
      </w:r>
    </w:p>
    <w:p w14:paraId="4879572B" w14:textId="77777777" w:rsidR="00025152" w:rsidRDefault="00025152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</w:p>
    <w:p w14:paraId="6862973B" w14:textId="63B98CCE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Sanción Moratoria - Art. 65 C.S.T. (1ª y 2ª instancia)</w:t>
      </w:r>
      <w:r w:rsidR="00A8189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 w:rsidR="00A8189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A8189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A8189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(-</w:t>
      </w:r>
      <w:proofErr w:type="gramStart"/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) </w:t>
      </w:r>
      <w:r w:rsidR="00A8189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 w:rsidR="00A8189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proofErr w:type="gramEnd"/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$ 200.182.672,80</w:t>
      </w:r>
    </w:p>
    <w:p w14:paraId="29509DF5" w14:textId="605B9C17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Intereses moratorios Art. 65 C.S.T. (1ª y 2ª instancia) </w:t>
      </w:r>
      <w:r w:rsidR="00A8189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A8189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A8189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(-</w:t>
      </w:r>
      <w:proofErr w:type="gramStart"/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)</w:t>
      </w:r>
      <w:r w:rsidR="00A8189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 w:rsidR="00A8189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proofErr w:type="gramEnd"/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$ 33.723.536,02</w:t>
      </w:r>
    </w:p>
    <w:p w14:paraId="14C88C95" w14:textId="358015B8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Sanción Moratoria - Art. 65 C.S.T. - Art. 64 C.S.T. (apelada) </w:t>
      </w:r>
      <w:r w:rsidR="00A8189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A8189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  <w:t xml:space="preserve">     </w:t>
      </w:r>
      <w:r w:rsidR="00A8189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$ 233.546.443,20</w:t>
      </w:r>
    </w:p>
    <w:p w14:paraId="6CC5FC07" w14:textId="15F1438F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Intereses moratorios Art. 65 C.S.T.</w:t>
      </w:r>
      <w:r w:rsidR="00A8189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(apelada) </w:t>
      </w:r>
      <w:r w:rsidR="00A8189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A8189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A8189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A8189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$ 33.723.536,02</w:t>
      </w:r>
    </w:p>
    <w:p w14:paraId="26A7EFA8" w14:textId="77777777" w:rsidR="00A81891" w:rsidRDefault="00A81891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026298D3" w14:textId="376E89C4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Subtotal diferencias</w:t>
      </w:r>
      <w:r w:rsidR="00A81891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A81891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A81891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A81891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A81891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A81891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A81891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$ 33.363.770,40</w:t>
      </w:r>
    </w:p>
    <w:p w14:paraId="6AE6E866" w14:textId="77777777" w:rsidR="00A81891" w:rsidRDefault="00A81891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</w:pPr>
    </w:p>
    <w:p w14:paraId="4DDB8CC4" w14:textId="77777777" w:rsidR="00C959DB" w:rsidRDefault="00C959DB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</w:pPr>
    </w:p>
    <w:p w14:paraId="1B8D88EF" w14:textId="3F88624E" w:rsidR="003C4AB6" w:rsidRPr="00C959DB" w:rsidRDefault="003C4AB6" w:rsidP="00C959D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</w:pPr>
      <w:r w:rsidRPr="00C959DB"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Indemnización por despido sin justa causa</w:t>
      </w:r>
    </w:p>
    <w:p w14:paraId="6D35AF06" w14:textId="77777777" w:rsidR="00C959DB" w:rsidRPr="00C959DB" w:rsidRDefault="00C959DB" w:rsidP="00C959D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</w:pPr>
    </w:p>
    <w:p w14:paraId="5278E12B" w14:textId="63273787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Indica el recurrente en la apelación que el salario base de</w:t>
      </w:r>
      <w:r w:rsidR="00C959D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liquidación de la indemnización por despido sin justa causa asciende a</w:t>
      </w:r>
      <w:r w:rsidR="00C959D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$9’731.102 y no como lo determinó el </w:t>
      </w:r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a quo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un salario promedio de</w:t>
      </w:r>
      <w:r w:rsidR="00C959D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$8’158.689, al respecto se procede a realizar el cálculo con el salario</w:t>
      </w:r>
    </w:p>
    <w:p w14:paraId="2D9B9948" w14:textId="36117CF4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apelado y a efectuar las diferencias, dado que está pretensión también</w:t>
      </w:r>
      <w:r w:rsidR="00C959DB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le fue favorable en las instancias.</w:t>
      </w:r>
    </w:p>
    <w:p w14:paraId="32FB1403" w14:textId="77777777" w:rsidR="00C959DB" w:rsidRDefault="00C959DB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45541E9F" w14:textId="77777777" w:rsidR="003C4AB6" w:rsidRDefault="003C4AB6" w:rsidP="00C959DB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Tabla Indemnización por Despido Sin Justa Causa - Art. 64 C.S.T. Salario $8.158.689</w:t>
      </w:r>
    </w:p>
    <w:p w14:paraId="35B8B43A" w14:textId="77777777" w:rsidR="00C959DB" w:rsidRDefault="00C959DB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407319F3" w14:textId="77777777" w:rsidR="00540B35" w:rsidRDefault="00540B35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48C8444B" w14:textId="540AE153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Periodo </w:t>
      </w:r>
      <w:r w:rsidR="00D71255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No. Años</w:t>
      </w:r>
      <w:r w:rsidR="00D71255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Laborados</w:t>
      </w:r>
      <w:r w:rsidR="00D71255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No. Días</w:t>
      </w:r>
      <w:r w:rsidR="00D71255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Sanción</w:t>
      </w:r>
      <w:r w:rsidR="00D71255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Salario Diario Sanción</w:t>
      </w:r>
    </w:p>
    <w:p w14:paraId="08440CE0" w14:textId="77777777" w:rsidR="00D71255" w:rsidRDefault="00D71255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45F0CF22" w14:textId="07D37792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Desde </w:t>
      </w:r>
      <w:r w:rsidR="00D71255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D71255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Hasta</w:t>
      </w:r>
    </w:p>
    <w:p w14:paraId="6FC54DFA" w14:textId="4140AB3D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15/06/2019 </w:t>
      </w:r>
      <w:r w:rsidR="00D71255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14/06/2020 </w:t>
      </w:r>
      <w:r w:rsidR="00D71255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1,00 </w:t>
      </w:r>
      <w:r w:rsidR="00D71255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30</w:t>
      </w:r>
      <w:r w:rsidR="00D71255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$ 271.956,30</w:t>
      </w:r>
      <w:r w:rsidR="00D71255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$ 8.158.689,00</w:t>
      </w:r>
    </w:p>
    <w:p w14:paraId="7F4D6395" w14:textId="25EF576D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15/06/2020 </w:t>
      </w:r>
      <w:r w:rsidR="00D71255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20/06/2020 </w:t>
      </w:r>
      <w:r w:rsidR="00D71255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0,02 </w:t>
      </w:r>
      <w:r w:rsidR="00D71255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20 </w:t>
      </w:r>
      <w:r w:rsidR="00D71255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D71255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D71255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$ 90.652,10</w:t>
      </w:r>
    </w:p>
    <w:p w14:paraId="56F23D65" w14:textId="29635B0D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proofErr w:type="gramStart"/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Total</w:t>
      </w:r>
      <w:proofErr w:type="gramEnd"/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indemnización </w:t>
      </w:r>
      <w:r w:rsidR="00D71255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D71255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D71255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D71255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D71255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D71255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$ 8.249.341,10</w:t>
      </w:r>
    </w:p>
    <w:p w14:paraId="2CBB94AD" w14:textId="77777777" w:rsidR="00D71255" w:rsidRDefault="00D71255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5EAE9AFD" w14:textId="77777777" w:rsidR="00D71255" w:rsidRDefault="00D71255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262A25AF" w14:textId="69F9BC59" w:rsidR="003C4AB6" w:rsidRDefault="003C4AB6" w:rsidP="00D71255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Tabla Indemnización por Despido Sin Justa Causa - Art. 64 C.S.T. Salario $9.731.102</w:t>
      </w:r>
    </w:p>
    <w:p w14:paraId="2B8EAA54" w14:textId="77777777" w:rsidR="00D71255" w:rsidRDefault="00D71255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4132D977" w14:textId="2C201B53" w:rsidR="003C4AB6" w:rsidRDefault="00540B35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Desde </w:t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  <w:t xml:space="preserve">Hasta </w:t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3C4AB6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No. Años</w:t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 w:rsidR="003C4AB6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Laborados</w:t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 w:rsidR="003C4AB6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No. Días</w:t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 w:rsidR="003C4AB6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Sanción</w:t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 w:rsidR="003C4AB6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Salario Diario Sanción</w:t>
      </w:r>
    </w:p>
    <w:p w14:paraId="56CD869E" w14:textId="79E79D36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2E6E8736" w14:textId="5C39B430" w:rsidR="00AF5E67" w:rsidRDefault="00AF5E67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        </w:t>
      </w:r>
      <w:proofErr w:type="spellStart"/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Perido</w:t>
      </w:r>
      <w:proofErr w:type="spellEnd"/>
    </w:p>
    <w:p w14:paraId="2066CEF3" w14:textId="2CC281C9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15/06/2019 </w:t>
      </w:r>
      <w:r w:rsidR="00540B35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14/06/2020 </w:t>
      </w:r>
      <w:r w:rsidR="00540B35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1,00 </w:t>
      </w:r>
      <w:r w:rsidR="00540B35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30</w:t>
      </w:r>
      <w:r w:rsidR="00540B35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 w:rsidR="00540B35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AF5E67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$ 324.370,07</w:t>
      </w:r>
      <w:r w:rsidR="00540B35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 w:rsidR="00540B35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$ 9.731.102,00</w:t>
      </w:r>
    </w:p>
    <w:p w14:paraId="231DFED8" w14:textId="3CF9C886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15/06/2020 </w:t>
      </w:r>
      <w:r w:rsidR="00540B35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20/06/2020 </w:t>
      </w:r>
      <w:r w:rsidR="00540B35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0,02 </w:t>
      </w:r>
      <w:r w:rsidR="00540B35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20 </w:t>
      </w:r>
      <w:r w:rsidR="00540B35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AF5E67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$ 108.123,36</w:t>
      </w:r>
    </w:p>
    <w:p w14:paraId="57CCC9AC" w14:textId="77777777" w:rsidR="00540B35" w:rsidRDefault="00540B35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50C671A5" w14:textId="558E819D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proofErr w:type="gramStart"/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Total</w:t>
      </w:r>
      <w:proofErr w:type="gramEnd"/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indemnización </w:t>
      </w:r>
      <w:r w:rsidR="00540B35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540B35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540B35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540B35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540B35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AF5E67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540B35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$ 9.839.225,36</w:t>
      </w:r>
    </w:p>
    <w:p w14:paraId="62DABAB8" w14:textId="77777777" w:rsidR="00540B35" w:rsidRDefault="00540B35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6802A43A" w14:textId="01F9AFD2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Tabla Liquidación Indemnización por Despido Sin Justa Causa - Art. 64 C.S.T.</w:t>
      </w:r>
    </w:p>
    <w:p w14:paraId="7481BCAC" w14:textId="77777777" w:rsidR="00540B35" w:rsidRDefault="00540B35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</w:p>
    <w:p w14:paraId="48632461" w14:textId="7459EBB6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Indemnización por Despido Sin Justa Causa - Art. 64 C.S.T. (1ª y 2ª instancia) </w:t>
      </w:r>
      <w:r w:rsidR="00CD23CC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(-) $ 8.249.341,10</w:t>
      </w:r>
    </w:p>
    <w:p w14:paraId="1E7778E1" w14:textId="0462561C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Indemnización por Despido Sin Justa Causa - Art. 64 C.S.T. (apelada) </w:t>
      </w:r>
      <w:r w:rsidR="00CD23CC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CD23CC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$ 9.839.225,36</w:t>
      </w:r>
    </w:p>
    <w:p w14:paraId="783388AA" w14:textId="77777777" w:rsidR="00CD23CC" w:rsidRDefault="00CD23CC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686508D5" w14:textId="40FE55EF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Subtotal diferencias </w:t>
      </w:r>
      <w:r w:rsidR="00CD23CC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CD23CC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CD23CC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CD23CC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CD23CC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CD23CC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CD23CC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$ 1.589.884,26</w:t>
      </w:r>
    </w:p>
    <w:p w14:paraId="1BA26B62" w14:textId="77777777" w:rsidR="00CD23CC" w:rsidRDefault="00CD23CC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</w:pPr>
    </w:p>
    <w:p w14:paraId="282DB3DC" w14:textId="2A0A475D" w:rsidR="003C4AB6" w:rsidRPr="00F70A3E" w:rsidRDefault="003C4AB6" w:rsidP="00F70A3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</w:pPr>
      <w:r w:rsidRPr="00F70A3E"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Sanción de que trata el artículo 99 de la Ley 50 de 1900 por</w:t>
      </w:r>
      <w:r w:rsidR="00F70A3E" w:rsidRPr="00F70A3E"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 w:rsidRPr="00F70A3E"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no consignación de las cesantías</w:t>
      </w:r>
      <w:r w:rsidR="00F70A3E" w:rsidRPr="00F70A3E"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</w:p>
    <w:p w14:paraId="7D89C9A9" w14:textId="77777777" w:rsidR="00F70A3E" w:rsidRPr="00F70A3E" w:rsidRDefault="00F70A3E" w:rsidP="00F70A3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</w:pPr>
    </w:p>
    <w:p w14:paraId="7BA004CB" w14:textId="706CA895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relación con la sanción de que trata el artículo 99 de la Ley 50</w:t>
      </w:r>
      <w:r w:rsidR="00F70A3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de 1900 por no consignación de las cesantías manifiesta el recurrente</w:t>
      </w:r>
      <w:r w:rsidR="00F70A3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que debe liquidarse durante toda la vigencia de la relación laboral y</w:t>
      </w:r>
      <w:r w:rsidR="00F70A3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teniendo como base un salario de $9’731.102, al respecto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lastRenderedPageBreak/>
        <w:t>se procede a</w:t>
      </w:r>
      <w:r w:rsidR="00F70A3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liquidar la sanción apelada, descontando la liquidada en las instancias</w:t>
      </w:r>
      <w:r w:rsidR="00F70A3E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dado su resultado favorable, así:</w:t>
      </w:r>
    </w:p>
    <w:p w14:paraId="079FDE95" w14:textId="77777777" w:rsidR="00F70A3E" w:rsidRDefault="00F70A3E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19BB52AF" w14:textId="32B1675C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Tabla Sanción por no Consignación de Cesantías Art. 99 Ley 50 de 1990</w:t>
      </w:r>
      <w:r w:rsidR="008061F2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Salario $8.158.969</w:t>
      </w:r>
    </w:p>
    <w:p w14:paraId="4B468BD1" w14:textId="77777777" w:rsidR="008061F2" w:rsidRDefault="008061F2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</w:p>
    <w:p w14:paraId="0D758269" w14:textId="191DCDEE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Año </w:t>
      </w:r>
      <w:r w:rsidR="008061F2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  <w:t xml:space="preserve">       </w:t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Periodo</w:t>
      </w:r>
      <w:r w:rsidR="008061F2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 w:rsidR="008061F2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8061F2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proofErr w:type="gramStart"/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No</w:t>
      </w:r>
      <w:r w:rsidR="008061F2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.Días</w:t>
      </w:r>
      <w:proofErr w:type="gramEnd"/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de</w:t>
      </w:r>
      <w:r w:rsidR="008061F2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Sanción</w:t>
      </w:r>
      <w:r w:rsidR="008061F2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Sanción</w:t>
      </w:r>
      <w:proofErr w:type="spellEnd"/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 w:rsidR="008061F2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 w:rsidR="008061F2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Total</w:t>
      </w:r>
    </w:p>
    <w:p w14:paraId="70189D2E" w14:textId="67E904F1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2019 15/02/2020 20/06/2020 </w:t>
      </w:r>
      <w:r w:rsidR="008061F2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126 </w:t>
      </w:r>
      <w:r w:rsidR="008061F2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8061F2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$ 271.965,63 </w:t>
      </w:r>
      <w:r w:rsidR="008061F2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$ 34.267.669,80</w:t>
      </w:r>
    </w:p>
    <w:p w14:paraId="5BC51DFF" w14:textId="77777777" w:rsidR="008061F2" w:rsidRDefault="008061F2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7B52DFE6" w14:textId="418A307F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proofErr w:type="gramStart"/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Total</w:t>
      </w:r>
      <w:proofErr w:type="gramEnd"/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Indemnización por no pago cesantías </w:t>
      </w:r>
      <w:r w:rsidR="008061F2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8061F2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8061F2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$ 34.267.669,80</w:t>
      </w:r>
    </w:p>
    <w:p w14:paraId="56BC966F" w14:textId="77777777" w:rsidR="008061F2" w:rsidRDefault="008061F2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7E8F594C" w14:textId="77777777" w:rsidR="008061F2" w:rsidRDefault="008061F2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69BDC21E" w14:textId="298371C3" w:rsidR="003C4AB6" w:rsidRDefault="003C4AB6" w:rsidP="008061F2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Tabla Sanción por no Consignación de Cesantías Art. 99 Ley 50 de 1990</w:t>
      </w:r>
      <w:r w:rsidR="008061F2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Salario $9.731.102 (toda la relación laboral)</w:t>
      </w:r>
    </w:p>
    <w:p w14:paraId="2899D4F2" w14:textId="77777777" w:rsidR="008061F2" w:rsidRDefault="008061F2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</w:p>
    <w:p w14:paraId="721BD9E2" w14:textId="29AD1C19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Año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Periodo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No.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Días de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Sanción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proofErr w:type="spellStart"/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Sanción</w:t>
      </w:r>
      <w:proofErr w:type="spellEnd"/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Total</w:t>
      </w:r>
    </w:p>
    <w:p w14:paraId="7C4B7F14" w14:textId="77777777" w:rsidR="00F96260" w:rsidRDefault="00F96260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</w:p>
    <w:p w14:paraId="3182B88D" w14:textId="711BB2C9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2012 15/02/2013 14/02/2014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360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$ 324.370,07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$ 116.773.224,00</w:t>
      </w:r>
    </w:p>
    <w:p w14:paraId="7EEEC007" w14:textId="7509BBAB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2013 15/02/2014 14/02/2015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360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$ 324.370,07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$ 116.773.224,00</w:t>
      </w:r>
    </w:p>
    <w:p w14:paraId="2849BF56" w14:textId="5E10A994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2014 15/02/2015 14/02/2016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360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$ 324.370,07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$ 116.773.224,00</w:t>
      </w:r>
    </w:p>
    <w:p w14:paraId="303E0436" w14:textId="397ADA26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2015 15/02/2016 14/02/2017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360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$ 324.370,07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$ 116.773.224,00</w:t>
      </w:r>
    </w:p>
    <w:p w14:paraId="56344769" w14:textId="64C28829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2016 15/02/2017 14/02/2018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360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$ 324.370,07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$ 116.773.224,00</w:t>
      </w:r>
    </w:p>
    <w:p w14:paraId="2EA45F09" w14:textId="401DD6B2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2017 15/02/2018 14/02/2019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360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$ 324.370,07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$ 116.773.224,00</w:t>
      </w:r>
    </w:p>
    <w:p w14:paraId="72DEB894" w14:textId="44233F56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2018 15/02/2019 14/02/2020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360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$ 324.370,07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$ 116.773.224,00</w:t>
      </w:r>
    </w:p>
    <w:p w14:paraId="655BFD93" w14:textId="3AA3FC33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2019 15/02/2020 20/06/2020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126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$ 324.370,07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$ 40.870.628,40</w:t>
      </w:r>
    </w:p>
    <w:p w14:paraId="1D4B2514" w14:textId="77777777" w:rsidR="00F96260" w:rsidRDefault="00F96260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151BDB54" w14:textId="5E69391D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proofErr w:type="gramStart"/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Total</w:t>
      </w:r>
      <w:proofErr w:type="gramEnd"/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Indemnización por no pago cesantías </w:t>
      </w:r>
      <w:r w:rsidR="00F96260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$ 858.283.196,40</w:t>
      </w:r>
    </w:p>
    <w:p w14:paraId="1A97DAA3" w14:textId="77777777" w:rsidR="00F96260" w:rsidRDefault="00F96260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54901E83" w14:textId="77777777" w:rsidR="00F96260" w:rsidRDefault="00F96260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68B9E0B5" w14:textId="05C0E7FA" w:rsidR="003C4AB6" w:rsidRDefault="003C4AB6" w:rsidP="00F96260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Tabla Liquidación Sanción por no Consignación de Cesantías Art. 99 Ley 50 de 1990</w:t>
      </w:r>
    </w:p>
    <w:p w14:paraId="76374218" w14:textId="77777777" w:rsidR="00F96260" w:rsidRDefault="00F96260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</w:p>
    <w:p w14:paraId="28632D73" w14:textId="30ED998F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Sanción por no Consignación de Cesantías Art. 99 Ley 50 de 1990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(1ª y 2ª instancia)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(-) $ 34.267.669,80</w:t>
      </w:r>
    </w:p>
    <w:p w14:paraId="7DDD52FF" w14:textId="65F3D5AF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Sanción por no Consignación de Cesantías Art. 99 Ley 50 de 1990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(apelada)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 w:rsidR="00F96260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  <w:t xml:space="preserve">           </w:t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$ 858.283.196,40</w:t>
      </w:r>
    </w:p>
    <w:p w14:paraId="42636634" w14:textId="77777777" w:rsidR="00F96260" w:rsidRDefault="00F96260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2EC5FF44" w14:textId="236CF36D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Subtotal diferencias </w:t>
      </w:r>
      <w:r w:rsidR="00F96260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F96260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$ 824.015.526,60</w:t>
      </w:r>
    </w:p>
    <w:p w14:paraId="1EACDDDB" w14:textId="77777777" w:rsidR="00F96260" w:rsidRDefault="00F96260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593FC701" w14:textId="77777777" w:rsidR="00F96260" w:rsidRDefault="00F96260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4D327779" w14:textId="19696D99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Con todo lo anterior, la </w:t>
      </w:r>
      <w:proofErr w:type="spellStart"/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summa</w:t>
      </w:r>
      <w:proofErr w:type="spellEnd"/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proofErr w:type="spellStart"/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>gravaminis</w:t>
      </w:r>
      <w:proofErr w:type="spellEnd"/>
      <w:r>
        <w:rPr>
          <w:rFonts w:ascii="BookmanOldStyle-Italic" w:hAnsi="BookmanOldStyle-Italic" w:cs="BookmanOldStyle-Italic"/>
          <w:i/>
          <w:i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estaría determinada en</w:t>
      </w:r>
      <w:r w:rsidR="00CB6E02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un guarismo de $ 858’969.181,26, de acuerdo al cuadro resumen que</w:t>
      </w:r>
      <w:r w:rsidR="00CB6E02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se relaciona a continuación:</w:t>
      </w:r>
    </w:p>
    <w:p w14:paraId="5EE96ED1" w14:textId="77777777" w:rsidR="00CB6E02" w:rsidRDefault="00CB6E02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76CD2598" w14:textId="77777777" w:rsidR="00CB6E02" w:rsidRDefault="00CB6E02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241E34A0" w14:textId="3C4D2690" w:rsidR="003C4AB6" w:rsidRDefault="003C4AB6" w:rsidP="00CB6E02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Tabla Liquidación Crédito</w:t>
      </w:r>
    </w:p>
    <w:p w14:paraId="1DB0117C" w14:textId="77777777" w:rsidR="00CB6E02" w:rsidRDefault="00CB6E02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</w:p>
    <w:p w14:paraId="001297B5" w14:textId="3EF5328E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Diferencias Sanción Moratoria - Art. 65 C.S.T. con sus respectivos</w:t>
      </w:r>
      <w:r w:rsidR="009E47D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intereses moratorios.</w:t>
      </w:r>
      <w:r w:rsidR="009E47D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$ 33.363.770,40</w:t>
      </w:r>
    </w:p>
    <w:p w14:paraId="55EE6B53" w14:textId="01C571F5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Diferencias Indemnización por Despido Sin Justa Causa - Art. 64</w:t>
      </w:r>
      <w:r w:rsidR="009E47D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C.S.T.</w:t>
      </w:r>
      <w:r w:rsidR="009E47D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 w:rsidR="009E47D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9E47D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$ 1.589.884,26</w:t>
      </w:r>
    </w:p>
    <w:p w14:paraId="69871166" w14:textId="45752F7A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</w:pP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Diferencias sanción por no Consignación de Cesantías Art. 99 Ley 50</w:t>
      </w:r>
      <w:r w:rsidR="009E47D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de 1990.</w:t>
      </w:r>
      <w:r w:rsidR="009E47D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 w:rsidR="009E47D1"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ItalicMT" w:hAnsi="Arial-ItalicMT" w:cs="Arial-ItalicMT"/>
          <w:i/>
          <w:iCs/>
          <w:color w:val="000000"/>
          <w:kern w:val="0"/>
          <w:sz w:val="18"/>
          <w:szCs w:val="18"/>
          <w:lang w:val="es-CO"/>
        </w:rPr>
        <w:t>$ 824.015.526,60</w:t>
      </w:r>
    </w:p>
    <w:p w14:paraId="310F43FC" w14:textId="77777777" w:rsidR="009E47D1" w:rsidRDefault="009E47D1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</w:p>
    <w:p w14:paraId="7DB3707C" w14:textId="4E5DF40E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</w:pPr>
      <w:proofErr w:type="gramStart"/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Total</w:t>
      </w:r>
      <w:proofErr w:type="gramEnd"/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 xml:space="preserve"> Liquidación </w:t>
      </w:r>
      <w:r w:rsidR="009E47D1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9E47D1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9E47D1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9E47D1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9E47D1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9E47D1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9E47D1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 w:rsidR="009E47D1"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ab/>
      </w:r>
      <w:r>
        <w:rPr>
          <w:rFonts w:ascii="Arial-BoldItalicMT" w:hAnsi="Arial-BoldItalicMT" w:cs="Arial-BoldItalicMT"/>
          <w:b/>
          <w:bCs/>
          <w:i/>
          <w:iCs/>
          <w:color w:val="000000"/>
          <w:kern w:val="0"/>
          <w:sz w:val="18"/>
          <w:szCs w:val="18"/>
          <w:lang w:val="es-CO"/>
        </w:rPr>
        <w:t>$ 858.969.181,26</w:t>
      </w:r>
    </w:p>
    <w:p w14:paraId="149F4B5D" w14:textId="77777777" w:rsidR="00CB6E02" w:rsidRDefault="00CB6E02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66BF1883" w14:textId="6572845E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Por lo demás, la Sala encuentra que la suma que antecede supera</w:t>
      </w:r>
      <w:r w:rsidR="00CB6E02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los 120 salarios mínimos exigidos para recurrir en casación. En</w:t>
      </w:r>
      <w:r w:rsidR="00CB6E02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consecuencia, y al hallarse reunidos los requisitos establecidos en el</w:t>
      </w:r>
      <w:r w:rsidR="00CB6E02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artículo 43 de la Ley 712 de 2001, se concederá también el recurso</w:t>
      </w:r>
      <w:r w:rsidR="00CB6E02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extraordinario de casación interpuesto por la parte demandante.</w:t>
      </w:r>
    </w:p>
    <w:p w14:paraId="32055BE9" w14:textId="77777777" w:rsidR="00822A57" w:rsidRDefault="00822A57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</w:p>
    <w:p w14:paraId="4C1C4051" w14:textId="0FD3237E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DECISIÓN</w:t>
      </w:r>
    </w:p>
    <w:p w14:paraId="24B5F159" w14:textId="77777777" w:rsidR="00CB6E02" w:rsidRDefault="00CB6E02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06524970" w14:textId="47F1BB86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lastRenderedPageBreak/>
        <w:t>En mérito de lo expuesto, la Sala Laboral del Tribunal Superior del</w:t>
      </w:r>
      <w:r w:rsidR="00CB6E02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Distrito Judicial de Bogotá,</w:t>
      </w:r>
    </w:p>
    <w:p w14:paraId="51EA0D20" w14:textId="77777777" w:rsidR="00CB6E02" w:rsidRDefault="00CB6E02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04DF20D8" w14:textId="77777777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RESUELVE:</w:t>
      </w:r>
    </w:p>
    <w:p w14:paraId="60D570B5" w14:textId="77777777" w:rsidR="00CB6E02" w:rsidRDefault="00CB6E02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</w:p>
    <w:p w14:paraId="16485DBA" w14:textId="229D8685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 xml:space="preserve">PRIMERO: CONCEDER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 recurso extraordinario de casación</w:t>
      </w:r>
      <w:r w:rsidR="00CB6E02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interpuesto por la parte demandada,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INVERSIONES SEQUOIA</w:t>
      </w:r>
      <w:r w:rsidR="00CB6E02"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COLOMBIA S.A.S.</w:t>
      </w:r>
    </w:p>
    <w:p w14:paraId="450E87CF" w14:textId="77777777" w:rsidR="00CB6E02" w:rsidRDefault="00CB6E02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</w:p>
    <w:p w14:paraId="2C7DE76A" w14:textId="636677E9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 xml:space="preserve">PRIMERO: CONCEDER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el recurso extraordinario de casación</w:t>
      </w:r>
      <w:r w:rsidR="00CB6E02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interpuesto por la parte demandante,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JAHIR ALEJANDRO LUNA</w:t>
      </w:r>
      <w:r w:rsidR="00CB6E02"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BADILLO.</w:t>
      </w:r>
    </w:p>
    <w:p w14:paraId="29A6C23C" w14:textId="77777777" w:rsidR="00CB6E02" w:rsidRDefault="00CB6E02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</w:p>
    <w:p w14:paraId="08A5E6D8" w14:textId="5855FA50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 xml:space="preserve">TERCERO: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En firme el presente proveído, por Secretaría de esta</w:t>
      </w:r>
      <w:r w:rsidR="00CB6E02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Sala remítase el expediente a la Sala de Casación Laboral de la Corte</w:t>
      </w:r>
      <w:r w:rsidR="00CB6E02"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Suprema de Justicia para lo pertinente.</w:t>
      </w:r>
    </w:p>
    <w:p w14:paraId="7E79B2AC" w14:textId="77777777" w:rsidR="00CB6E02" w:rsidRDefault="00CB6E02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</w:p>
    <w:p w14:paraId="5F95AD21" w14:textId="7570ABBF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Notifíquese y Cúmplase,</w:t>
      </w:r>
    </w:p>
    <w:p w14:paraId="2D0DE7E5" w14:textId="77777777" w:rsidR="00CB6E02" w:rsidRDefault="00CB6E02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</w:p>
    <w:p w14:paraId="0C1FC1D4" w14:textId="1DC86D18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GUSTAVO ALIRIO TUPAZ PARRA</w:t>
      </w:r>
    </w:p>
    <w:p w14:paraId="395B98A4" w14:textId="77777777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Magistrado</w:t>
      </w:r>
    </w:p>
    <w:p w14:paraId="74284F31" w14:textId="77777777" w:rsidR="00CB6E02" w:rsidRDefault="00CB6E02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</w:p>
    <w:p w14:paraId="09FB8F04" w14:textId="0985FC2F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LORENZO TORRES RUSSY</w:t>
      </w:r>
    </w:p>
    <w:p w14:paraId="12AA5237" w14:textId="77777777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Magistrado</w:t>
      </w:r>
    </w:p>
    <w:p w14:paraId="2B20BF94" w14:textId="77777777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BookmanOldStyle-Bold" w:hAnsi="BookmanOldStyle-Bold" w:cs="BookmanOldStyle-Bold"/>
          <w:b/>
          <w:bCs/>
          <w:color w:val="000000"/>
          <w:kern w:val="0"/>
          <w:sz w:val="24"/>
          <w:szCs w:val="24"/>
          <w:lang w:val="es-CO"/>
        </w:rPr>
        <w:t>ELCY JIMENA VALENCIA CASTRILLÓN</w:t>
      </w:r>
    </w:p>
    <w:p w14:paraId="22626211" w14:textId="77777777" w:rsidR="003C4AB6" w:rsidRDefault="003C4AB6" w:rsidP="009871E2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</w:pPr>
      <w:r>
        <w:rPr>
          <w:rFonts w:ascii="BookmanOldStyle" w:hAnsi="BookmanOldStyle" w:cs="BookmanOldStyle"/>
          <w:color w:val="000000"/>
          <w:kern w:val="0"/>
          <w:sz w:val="24"/>
          <w:szCs w:val="24"/>
          <w:lang w:val="es-CO"/>
        </w:rPr>
        <w:t>Magistrada</w:t>
      </w:r>
    </w:p>
    <w:p w14:paraId="0CC7144A" w14:textId="3358DCBA" w:rsidR="00B9243D" w:rsidRDefault="003C4AB6" w:rsidP="009871E2">
      <w:pPr>
        <w:jc w:val="both"/>
      </w:pPr>
      <w:r>
        <w:rPr>
          <w:rFonts w:ascii="BookmanOldStyle" w:hAnsi="BookmanOldStyle" w:cs="BookmanOldStyle"/>
          <w:color w:val="000000"/>
          <w:kern w:val="0"/>
          <w:sz w:val="18"/>
          <w:szCs w:val="18"/>
          <w:lang w:val="es-CO"/>
        </w:rPr>
        <w:t>Proyectó: DR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32A9A"/>
    <w:multiLevelType w:val="hybridMultilevel"/>
    <w:tmpl w:val="047ED5F2"/>
    <w:lvl w:ilvl="0" w:tplc="7DF6AE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97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B6"/>
    <w:rsid w:val="00025152"/>
    <w:rsid w:val="003C4AB6"/>
    <w:rsid w:val="003F2804"/>
    <w:rsid w:val="00540B35"/>
    <w:rsid w:val="0060791C"/>
    <w:rsid w:val="00737460"/>
    <w:rsid w:val="008052E9"/>
    <w:rsid w:val="008061F2"/>
    <w:rsid w:val="00822A57"/>
    <w:rsid w:val="009871E2"/>
    <w:rsid w:val="009C116C"/>
    <w:rsid w:val="009E47D1"/>
    <w:rsid w:val="00A4479E"/>
    <w:rsid w:val="00A81891"/>
    <w:rsid w:val="00AF5E67"/>
    <w:rsid w:val="00B9243D"/>
    <w:rsid w:val="00C959DB"/>
    <w:rsid w:val="00CB6E02"/>
    <w:rsid w:val="00CD23CC"/>
    <w:rsid w:val="00D155EC"/>
    <w:rsid w:val="00D71255"/>
    <w:rsid w:val="00DA03DC"/>
    <w:rsid w:val="00F70A3E"/>
    <w:rsid w:val="00F77FFE"/>
    <w:rsid w:val="00F96260"/>
    <w:rsid w:val="00FA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12EB"/>
  <w15:chartTrackingRefBased/>
  <w15:docId w15:val="{5A20AA90-5E14-488C-8FD2-822714CE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4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2043</Words>
  <Characters>11240</Characters>
  <Application>Microsoft Office Word</Application>
  <DocSecurity>0</DocSecurity>
  <Lines>93</Lines>
  <Paragraphs>26</Paragraphs>
  <ScaleCrop>false</ScaleCrop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25</cp:revision>
  <dcterms:created xsi:type="dcterms:W3CDTF">2024-02-23T21:18:00Z</dcterms:created>
  <dcterms:modified xsi:type="dcterms:W3CDTF">2024-02-23T22:07:00Z</dcterms:modified>
</cp:coreProperties>
</file>