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22C81" w14:textId="77777777" w:rsidR="00A727EA" w:rsidRPr="00EA1558" w:rsidRDefault="00A727EA" w:rsidP="00EA155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A1558">
        <w:rPr>
          <w:rFonts w:ascii="Tahoma" w:hAnsi="Tahoma" w:cs="Tahoma"/>
          <w:b/>
          <w:sz w:val="20"/>
          <w:szCs w:val="20"/>
        </w:rPr>
        <w:t>FORMATO PARA PROCESOS NUEVOS</w:t>
      </w:r>
      <w:r w:rsidRPr="00EA1558">
        <w:rPr>
          <w:rFonts w:ascii="Tahoma" w:hAnsi="Tahoma" w:cs="Tahoma"/>
          <w:b/>
          <w:sz w:val="20"/>
          <w:szCs w:val="20"/>
        </w:rPr>
        <w:br/>
      </w:r>
    </w:p>
    <w:p w14:paraId="6EC24AFE" w14:textId="77777777" w:rsidR="00A727EA" w:rsidRPr="00EA1558" w:rsidRDefault="00A727EA" w:rsidP="00EA1558">
      <w:pPr>
        <w:pStyle w:val="Prrafodelista"/>
        <w:numPr>
          <w:ilvl w:val="0"/>
          <w:numId w:val="1"/>
        </w:numPr>
        <w:spacing w:after="0" w:line="240" w:lineRule="auto"/>
        <w:jc w:val="right"/>
        <w:rPr>
          <w:rFonts w:ascii="Tahoma" w:hAnsi="Tahoma" w:cs="Tahoma"/>
          <w:sz w:val="20"/>
          <w:szCs w:val="20"/>
          <w:u w:val="single"/>
        </w:rPr>
      </w:pPr>
      <w:r w:rsidRPr="00EA1558">
        <w:rPr>
          <w:rFonts w:ascii="Tahoma" w:hAnsi="Tahoma" w:cs="Tahoma"/>
          <w:sz w:val="20"/>
          <w:szCs w:val="20"/>
          <w:u w:val="single"/>
        </w:rPr>
        <w:t>Por favor diligenciar los campos de manera completa</w:t>
      </w:r>
    </w:p>
    <w:p w14:paraId="2EC3F553" w14:textId="77777777" w:rsidR="00A727EA" w:rsidRPr="00EA1558" w:rsidRDefault="00A727EA" w:rsidP="00EA1558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9709" w:type="dxa"/>
        <w:tblInd w:w="-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6"/>
        <w:gridCol w:w="444"/>
        <w:gridCol w:w="1276"/>
        <w:gridCol w:w="1702"/>
        <w:gridCol w:w="547"/>
        <w:gridCol w:w="2660"/>
        <w:gridCol w:w="34"/>
      </w:tblGrid>
      <w:tr w:rsidR="00A727EA" w:rsidRPr="004565A1" w14:paraId="53989994" w14:textId="77777777" w:rsidTr="00C55E80">
        <w:trPr>
          <w:gridAfter w:val="1"/>
          <w:wAfter w:w="34" w:type="dxa"/>
          <w:trHeight w:val="340"/>
        </w:trPr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45" w:color="000000" w:fill="FFFFFF"/>
            <w:vAlign w:val="center"/>
            <w:hideMark/>
          </w:tcPr>
          <w:p w14:paraId="2EA73F27" w14:textId="77777777" w:rsidR="00A727EA" w:rsidRPr="004565A1" w:rsidRDefault="00A727EA" w:rsidP="00EA15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65A1">
              <w:rPr>
                <w:rFonts w:ascii="Tahoma" w:hAnsi="Tahoma" w:cs="Tahoma"/>
                <w:b/>
                <w:sz w:val="20"/>
                <w:szCs w:val="20"/>
              </w:rPr>
              <w:t>Tipo de Proceso</w:t>
            </w:r>
          </w:p>
        </w:tc>
        <w:tc>
          <w:tcPr>
            <w:tcW w:w="66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E9861" w14:textId="3A8865AF" w:rsidR="00A727EA" w:rsidRPr="004565A1" w:rsidRDefault="00663A54" w:rsidP="00EA1558">
            <w:pPr>
              <w:pStyle w:val="Ttulo4"/>
              <w:rPr>
                <w:sz w:val="20"/>
              </w:rPr>
            </w:pPr>
            <w:r>
              <w:rPr>
                <w:sz w:val="20"/>
              </w:rPr>
              <w:t>Proceso declarativo especial de venta de cosa común (divisorio)</w:t>
            </w:r>
          </w:p>
        </w:tc>
      </w:tr>
      <w:tr w:rsidR="00A727EA" w:rsidRPr="004565A1" w14:paraId="30D59EF0" w14:textId="77777777" w:rsidTr="00C55E80">
        <w:trPr>
          <w:gridAfter w:val="1"/>
          <w:wAfter w:w="34" w:type="dxa"/>
          <w:trHeight w:val="340"/>
        </w:trPr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45" w:color="000000" w:fill="FFFFFF"/>
            <w:vAlign w:val="center"/>
            <w:hideMark/>
          </w:tcPr>
          <w:p w14:paraId="2048A287" w14:textId="77777777" w:rsidR="00A727EA" w:rsidRPr="004565A1" w:rsidRDefault="00A727EA" w:rsidP="00EA15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65A1">
              <w:rPr>
                <w:rFonts w:ascii="Tahoma" w:hAnsi="Tahoma" w:cs="Tahoma"/>
                <w:b/>
                <w:sz w:val="20"/>
                <w:szCs w:val="20"/>
              </w:rPr>
              <w:t>Tipo de Vinculación</w:t>
            </w:r>
          </w:p>
        </w:tc>
        <w:tc>
          <w:tcPr>
            <w:tcW w:w="66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FCDC4" w14:textId="6157C1A2" w:rsidR="00A727EA" w:rsidRPr="004565A1" w:rsidRDefault="003B21B6" w:rsidP="00EA15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Demandado</w:t>
            </w:r>
          </w:p>
        </w:tc>
      </w:tr>
      <w:tr w:rsidR="00A727EA" w:rsidRPr="004565A1" w14:paraId="377F6A1C" w14:textId="77777777" w:rsidTr="00C55E80">
        <w:trPr>
          <w:gridAfter w:val="1"/>
          <w:wAfter w:w="34" w:type="dxa"/>
          <w:trHeight w:val="340"/>
        </w:trPr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45" w:color="000000" w:fill="FFFFFF"/>
            <w:vAlign w:val="center"/>
            <w:hideMark/>
          </w:tcPr>
          <w:p w14:paraId="0E3F22A6" w14:textId="77777777" w:rsidR="00A727EA" w:rsidRPr="004565A1" w:rsidRDefault="00A727EA" w:rsidP="00EA15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65A1">
              <w:rPr>
                <w:rFonts w:ascii="Tahoma" w:hAnsi="Tahoma" w:cs="Tahoma"/>
                <w:b/>
                <w:sz w:val="20"/>
                <w:szCs w:val="20"/>
              </w:rPr>
              <w:t>Instancia del Proceso</w:t>
            </w:r>
          </w:p>
        </w:tc>
        <w:tc>
          <w:tcPr>
            <w:tcW w:w="66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0FC65" w14:textId="77777777" w:rsidR="00A727EA" w:rsidRPr="004565A1" w:rsidRDefault="00833AAC" w:rsidP="00EA1558">
            <w:pPr>
              <w:pStyle w:val="Ttulo4"/>
              <w:rPr>
                <w:sz w:val="20"/>
              </w:rPr>
            </w:pPr>
            <w:r w:rsidRPr="004565A1">
              <w:rPr>
                <w:sz w:val="20"/>
              </w:rPr>
              <w:t>ETAPA PRELIMINAR</w:t>
            </w:r>
          </w:p>
        </w:tc>
      </w:tr>
      <w:tr w:rsidR="00A727EA" w:rsidRPr="004565A1" w14:paraId="3B65F3EF" w14:textId="77777777" w:rsidTr="00C55E80">
        <w:trPr>
          <w:gridAfter w:val="1"/>
          <w:wAfter w:w="34" w:type="dxa"/>
          <w:trHeight w:val="340"/>
        </w:trPr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45" w:color="000000" w:fill="FFFFFF"/>
            <w:vAlign w:val="center"/>
            <w:hideMark/>
          </w:tcPr>
          <w:p w14:paraId="2E168F96" w14:textId="77777777" w:rsidR="00A727EA" w:rsidRPr="004565A1" w:rsidRDefault="00A727EA" w:rsidP="00EA15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65A1">
              <w:rPr>
                <w:rFonts w:ascii="Tahoma" w:hAnsi="Tahoma" w:cs="Tahoma"/>
                <w:b/>
                <w:sz w:val="20"/>
                <w:szCs w:val="20"/>
              </w:rPr>
              <w:t>Fecha de Iniciación</w:t>
            </w:r>
          </w:p>
        </w:tc>
        <w:tc>
          <w:tcPr>
            <w:tcW w:w="66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F380C" w14:textId="267FA72B" w:rsidR="00A727EA" w:rsidRPr="004565A1" w:rsidRDefault="003B21B6" w:rsidP="00EA15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09/09/2020</w:t>
            </w:r>
          </w:p>
        </w:tc>
      </w:tr>
      <w:tr w:rsidR="00A727EA" w:rsidRPr="004565A1" w14:paraId="51F51ED1" w14:textId="77777777" w:rsidTr="00B516D0">
        <w:trPr>
          <w:gridAfter w:val="1"/>
          <w:wAfter w:w="34" w:type="dxa"/>
          <w:trHeight w:val="477"/>
        </w:trPr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45" w:color="000000" w:fill="FFFFFF"/>
            <w:vAlign w:val="center"/>
            <w:hideMark/>
          </w:tcPr>
          <w:p w14:paraId="514BEDEB" w14:textId="77777777" w:rsidR="00A727EA" w:rsidRPr="004565A1" w:rsidRDefault="00A727EA" w:rsidP="00EA155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565A1">
              <w:rPr>
                <w:rFonts w:ascii="Tahoma" w:hAnsi="Tahoma" w:cs="Tahoma"/>
                <w:b/>
                <w:sz w:val="20"/>
                <w:szCs w:val="20"/>
              </w:rPr>
              <w:t>Fecha de los Hechos</w:t>
            </w:r>
          </w:p>
        </w:tc>
        <w:tc>
          <w:tcPr>
            <w:tcW w:w="66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31EE5" w14:textId="12760682" w:rsidR="00A727EA" w:rsidRPr="004565A1" w:rsidRDefault="00663A54" w:rsidP="00EA15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03/04/2017</w:t>
            </w:r>
          </w:p>
        </w:tc>
      </w:tr>
      <w:tr w:rsidR="00A727EA" w:rsidRPr="004565A1" w14:paraId="7AAA4E72" w14:textId="77777777" w:rsidTr="00C55E80">
        <w:trPr>
          <w:trHeight w:val="292"/>
        </w:trPr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45" w:color="000000" w:fill="FFFFFF"/>
            <w:vAlign w:val="center"/>
            <w:hideMark/>
          </w:tcPr>
          <w:p w14:paraId="43AC19C8" w14:textId="77777777" w:rsidR="00A727EA" w:rsidRPr="004565A1" w:rsidRDefault="00A727EA" w:rsidP="00EA15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65A1">
              <w:rPr>
                <w:rFonts w:ascii="Tahoma" w:hAnsi="Tahoma" w:cs="Tahoma"/>
                <w:b/>
                <w:sz w:val="20"/>
                <w:szCs w:val="20"/>
              </w:rPr>
              <w:t>Afecta Póliza?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65F00A" w14:textId="1CC2C6D4" w:rsidR="00A727EA" w:rsidRPr="004565A1" w:rsidRDefault="00631E26" w:rsidP="00EA15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B67611" w14:textId="77777777" w:rsidR="00A727EA" w:rsidRPr="004565A1" w:rsidRDefault="00A727EA" w:rsidP="00EA1558">
            <w:pPr>
              <w:spacing w:after="0" w:line="240" w:lineRule="auto"/>
              <w:ind w:hanging="1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65A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Nro. Póliza:</w:t>
            </w:r>
            <w:r w:rsidRPr="004565A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DC3A20" w14:textId="668DAA8A" w:rsidR="0006278F" w:rsidRPr="004565A1" w:rsidRDefault="00631E26" w:rsidP="00EA1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AEB032" w14:textId="38AF347B" w:rsidR="00A727EA" w:rsidRPr="004565A1" w:rsidRDefault="00A727EA" w:rsidP="00C55E8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65A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Vigencia</w:t>
            </w:r>
            <w:r w:rsidRPr="004565A1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 w:rsidR="003A61B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631E26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A727EA" w:rsidRPr="004565A1" w14:paraId="44375D22" w14:textId="77777777" w:rsidTr="00C55E80">
        <w:trPr>
          <w:gridAfter w:val="1"/>
          <w:wAfter w:w="34" w:type="dxa"/>
          <w:cantSplit/>
          <w:trHeight w:val="340"/>
        </w:trPr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45" w:color="000000" w:fill="FFFFFF"/>
            <w:vAlign w:val="center"/>
            <w:hideMark/>
          </w:tcPr>
          <w:p w14:paraId="729054E9" w14:textId="77777777" w:rsidR="00A727EA" w:rsidRPr="004565A1" w:rsidRDefault="00A727EA" w:rsidP="00EA15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65A1">
              <w:rPr>
                <w:rFonts w:ascii="Tahoma" w:hAnsi="Tahoma" w:cs="Tahoma"/>
                <w:b/>
                <w:sz w:val="20"/>
                <w:szCs w:val="20"/>
              </w:rPr>
              <w:t>Ramo</w:t>
            </w:r>
          </w:p>
        </w:tc>
        <w:tc>
          <w:tcPr>
            <w:tcW w:w="66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66542" w14:textId="3F8F860C" w:rsidR="00A727EA" w:rsidRPr="004565A1" w:rsidRDefault="00663A54" w:rsidP="00EA15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</w:tr>
      <w:tr w:rsidR="00A727EA" w:rsidRPr="004565A1" w14:paraId="11BEBDD5" w14:textId="77777777" w:rsidTr="00C55E80">
        <w:trPr>
          <w:gridAfter w:val="1"/>
          <w:wAfter w:w="34" w:type="dxa"/>
          <w:cantSplit/>
          <w:trHeight w:val="340"/>
        </w:trPr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45" w:color="000000" w:fill="FFFFFF"/>
            <w:vAlign w:val="center"/>
            <w:hideMark/>
          </w:tcPr>
          <w:p w14:paraId="1AFCB81F" w14:textId="77777777" w:rsidR="00A727EA" w:rsidRPr="004565A1" w:rsidRDefault="00A727EA" w:rsidP="00EA15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65A1">
              <w:rPr>
                <w:rFonts w:ascii="Tahoma" w:hAnsi="Tahoma" w:cs="Tahoma"/>
                <w:b/>
                <w:sz w:val="20"/>
                <w:szCs w:val="20"/>
              </w:rPr>
              <w:t>Valor Asegurado</w:t>
            </w:r>
          </w:p>
        </w:tc>
        <w:tc>
          <w:tcPr>
            <w:tcW w:w="66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03DC6" w14:textId="49B600FA" w:rsidR="00A727EA" w:rsidRPr="004565A1" w:rsidRDefault="00777773" w:rsidP="00EA1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</w:tr>
      <w:tr w:rsidR="00A727EA" w:rsidRPr="004565A1" w14:paraId="06BA8635" w14:textId="77777777" w:rsidTr="00C55E80">
        <w:trPr>
          <w:gridAfter w:val="1"/>
          <w:wAfter w:w="34" w:type="dxa"/>
          <w:cantSplit/>
          <w:trHeight w:val="286"/>
        </w:trPr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45" w:color="000000" w:fill="FFFFFF"/>
            <w:vAlign w:val="center"/>
            <w:hideMark/>
          </w:tcPr>
          <w:p w14:paraId="5D85533E" w14:textId="77777777" w:rsidR="00A727EA" w:rsidRPr="004565A1" w:rsidRDefault="00A727EA" w:rsidP="00EA15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65A1">
              <w:rPr>
                <w:rFonts w:ascii="Tahoma" w:hAnsi="Tahoma" w:cs="Tahoma"/>
                <w:b/>
                <w:sz w:val="20"/>
                <w:szCs w:val="20"/>
              </w:rPr>
              <w:t>Siniestro Nro.</w:t>
            </w:r>
          </w:p>
        </w:tc>
        <w:tc>
          <w:tcPr>
            <w:tcW w:w="66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D75A92" w14:textId="78DADF1A" w:rsidR="00A727EA" w:rsidRPr="004565A1" w:rsidRDefault="00A727EA" w:rsidP="00EA1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27EA" w:rsidRPr="004565A1" w14:paraId="41160888" w14:textId="77777777" w:rsidTr="00C55E80">
        <w:trPr>
          <w:gridAfter w:val="1"/>
          <w:wAfter w:w="34" w:type="dxa"/>
          <w:trHeight w:val="340"/>
        </w:trPr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45" w:color="000000" w:fill="FFFFFF"/>
            <w:vAlign w:val="center"/>
            <w:hideMark/>
          </w:tcPr>
          <w:p w14:paraId="3CBB59B3" w14:textId="77777777" w:rsidR="00A727EA" w:rsidRPr="004565A1" w:rsidRDefault="00A727EA" w:rsidP="00EA15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65A1">
              <w:rPr>
                <w:rFonts w:ascii="Tahoma" w:hAnsi="Tahoma" w:cs="Tahoma"/>
                <w:b/>
                <w:sz w:val="20"/>
                <w:szCs w:val="20"/>
              </w:rPr>
              <w:t>Placa (Cuando se trate de autos)</w:t>
            </w:r>
          </w:p>
        </w:tc>
        <w:tc>
          <w:tcPr>
            <w:tcW w:w="66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CF593" w14:textId="6FBFDF9B" w:rsidR="00A727EA" w:rsidRPr="004565A1" w:rsidRDefault="00777773" w:rsidP="00EA15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sz w:val="20"/>
                <w:szCs w:val="20"/>
                <w:lang w:val="es-ES"/>
              </w:rPr>
              <w:t>NA</w:t>
            </w:r>
          </w:p>
        </w:tc>
      </w:tr>
      <w:tr w:rsidR="00A727EA" w:rsidRPr="004565A1" w14:paraId="07560236" w14:textId="77777777" w:rsidTr="00C55E80">
        <w:trPr>
          <w:gridAfter w:val="1"/>
          <w:wAfter w:w="34" w:type="dxa"/>
          <w:trHeight w:val="340"/>
        </w:trPr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45" w:color="000000" w:fill="FFFFFF"/>
            <w:vAlign w:val="center"/>
            <w:hideMark/>
          </w:tcPr>
          <w:p w14:paraId="05521443" w14:textId="77777777" w:rsidR="00A727EA" w:rsidRPr="004565A1" w:rsidRDefault="00A727EA" w:rsidP="00EA15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65A1">
              <w:rPr>
                <w:rFonts w:ascii="Tahoma" w:hAnsi="Tahoma" w:cs="Tahoma"/>
                <w:b/>
                <w:sz w:val="20"/>
                <w:szCs w:val="20"/>
              </w:rPr>
              <w:t>Abogado</w:t>
            </w:r>
          </w:p>
        </w:tc>
        <w:tc>
          <w:tcPr>
            <w:tcW w:w="66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0136D" w14:textId="77777777" w:rsidR="00A727EA" w:rsidRPr="004565A1" w:rsidRDefault="0054331B" w:rsidP="00EA15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4565A1">
              <w:rPr>
                <w:rFonts w:ascii="Tahoma" w:hAnsi="Tahoma" w:cs="Tahoma"/>
                <w:sz w:val="20"/>
                <w:szCs w:val="20"/>
                <w:lang w:val="es-ES"/>
              </w:rPr>
              <w:t>GUSTAVO ALBERTO HERRRERA Á</w:t>
            </w:r>
            <w:r w:rsidR="00CE3479" w:rsidRPr="004565A1">
              <w:rPr>
                <w:rFonts w:ascii="Tahoma" w:hAnsi="Tahoma" w:cs="Tahoma"/>
                <w:sz w:val="20"/>
                <w:szCs w:val="20"/>
                <w:lang w:val="es-ES"/>
              </w:rPr>
              <w:t>VILA</w:t>
            </w:r>
          </w:p>
        </w:tc>
      </w:tr>
      <w:tr w:rsidR="00A727EA" w:rsidRPr="004565A1" w14:paraId="0036950C" w14:textId="77777777" w:rsidTr="00C55E80">
        <w:trPr>
          <w:gridAfter w:val="1"/>
          <w:wAfter w:w="34" w:type="dxa"/>
          <w:trHeight w:val="340"/>
        </w:trPr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45" w:color="000000" w:fill="FFFFFF"/>
            <w:vAlign w:val="center"/>
            <w:hideMark/>
          </w:tcPr>
          <w:p w14:paraId="099F7B48" w14:textId="77777777" w:rsidR="00A727EA" w:rsidRPr="004565A1" w:rsidRDefault="00A727EA" w:rsidP="00EA15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65A1">
              <w:rPr>
                <w:rFonts w:ascii="Tahoma" w:hAnsi="Tahoma" w:cs="Tahoma"/>
                <w:b/>
                <w:sz w:val="20"/>
                <w:szCs w:val="20"/>
              </w:rPr>
              <w:t>Asegurado</w:t>
            </w:r>
          </w:p>
        </w:tc>
        <w:tc>
          <w:tcPr>
            <w:tcW w:w="66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92C55" w14:textId="3C7B37C8" w:rsidR="00A727EA" w:rsidRPr="004565A1" w:rsidRDefault="00777773" w:rsidP="00EA15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</w:tr>
      <w:tr w:rsidR="00A727EA" w:rsidRPr="004565A1" w14:paraId="6DC39DDD" w14:textId="77777777" w:rsidTr="00C55E80">
        <w:trPr>
          <w:gridAfter w:val="1"/>
          <w:wAfter w:w="34" w:type="dxa"/>
          <w:trHeight w:val="340"/>
        </w:trPr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45" w:color="000000" w:fill="FFFFFF"/>
            <w:vAlign w:val="center"/>
            <w:hideMark/>
          </w:tcPr>
          <w:p w14:paraId="49008A82" w14:textId="77777777" w:rsidR="00A727EA" w:rsidRPr="004565A1" w:rsidRDefault="00A727EA" w:rsidP="00EA15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65A1">
              <w:rPr>
                <w:rFonts w:ascii="Tahoma" w:hAnsi="Tahoma" w:cs="Tahoma"/>
                <w:b/>
                <w:sz w:val="20"/>
                <w:szCs w:val="20"/>
              </w:rPr>
              <w:t xml:space="preserve">Demandante(s) Nombre completo y Número de cédula o </w:t>
            </w:r>
            <w:r w:rsidR="003B3A17" w:rsidRPr="004565A1">
              <w:rPr>
                <w:rFonts w:ascii="Tahoma" w:hAnsi="Tahoma" w:cs="Tahoma"/>
                <w:b/>
                <w:sz w:val="20"/>
                <w:szCs w:val="20"/>
              </w:rPr>
              <w:t>Nit</w:t>
            </w:r>
          </w:p>
        </w:tc>
        <w:tc>
          <w:tcPr>
            <w:tcW w:w="66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E69F5" w14:textId="16F3016F" w:rsidR="007E50BE" w:rsidRPr="004565A1" w:rsidRDefault="00663A54" w:rsidP="00C55E8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BANCOLOMBIA </w:t>
            </w:r>
          </w:p>
        </w:tc>
      </w:tr>
      <w:tr w:rsidR="00A727EA" w:rsidRPr="004565A1" w14:paraId="42BA07AD" w14:textId="77777777" w:rsidTr="00C55E80">
        <w:trPr>
          <w:gridAfter w:val="1"/>
          <w:wAfter w:w="34" w:type="dxa"/>
          <w:trHeight w:val="340"/>
        </w:trPr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45" w:color="000000" w:fill="FFFFFF"/>
            <w:vAlign w:val="center"/>
            <w:hideMark/>
          </w:tcPr>
          <w:p w14:paraId="048C1A87" w14:textId="77777777" w:rsidR="00A727EA" w:rsidRPr="004565A1" w:rsidRDefault="00A727EA" w:rsidP="00EA15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65A1">
              <w:rPr>
                <w:rFonts w:ascii="Tahoma" w:hAnsi="Tahoma" w:cs="Tahoma"/>
                <w:b/>
                <w:sz w:val="20"/>
                <w:szCs w:val="20"/>
              </w:rPr>
              <w:t>Demandado(s) (Nombre completo y número de cédula o NIT)</w:t>
            </w:r>
          </w:p>
        </w:tc>
        <w:tc>
          <w:tcPr>
            <w:tcW w:w="66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26E9C" w14:textId="7BF1DBCA" w:rsidR="00C55E80" w:rsidRPr="004565A1" w:rsidRDefault="00663A54" w:rsidP="00EA15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SURAMERICANA DE SEGUROS NIT. 890.903.407 Y OTROS</w:t>
            </w:r>
          </w:p>
        </w:tc>
      </w:tr>
      <w:tr w:rsidR="00A727EA" w:rsidRPr="004565A1" w14:paraId="79B0A245" w14:textId="77777777" w:rsidTr="007E2A68">
        <w:trPr>
          <w:gridAfter w:val="1"/>
          <w:wAfter w:w="34" w:type="dxa"/>
          <w:cantSplit/>
          <w:trHeight w:val="292"/>
        </w:trPr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45" w:color="000000" w:fill="FFFFFF"/>
            <w:vAlign w:val="center"/>
            <w:hideMark/>
          </w:tcPr>
          <w:p w14:paraId="75C549BE" w14:textId="77777777" w:rsidR="00A727EA" w:rsidRPr="004565A1" w:rsidRDefault="00A727EA" w:rsidP="00EA15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65A1">
              <w:rPr>
                <w:rFonts w:ascii="Tahoma" w:hAnsi="Tahoma" w:cs="Tahoma"/>
                <w:b/>
                <w:sz w:val="20"/>
                <w:szCs w:val="20"/>
              </w:rPr>
              <w:t>Juzgado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AEC52" w14:textId="4C20A75C" w:rsidR="00A727EA" w:rsidRPr="004565A1" w:rsidRDefault="00EC1706" w:rsidP="004565A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Juzgado </w:t>
            </w:r>
            <w:r w:rsidR="00663A54">
              <w:rPr>
                <w:rFonts w:ascii="Tahoma" w:hAnsi="Tahoma" w:cs="Tahoma"/>
                <w:sz w:val="20"/>
                <w:szCs w:val="20"/>
              </w:rPr>
              <w:t>14 Civil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del Circuito de Cali</w:t>
            </w: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38C7A7" w14:textId="77777777" w:rsidR="00A727EA" w:rsidRPr="004565A1" w:rsidRDefault="00A727EA" w:rsidP="00BD104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65A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Radicado:</w:t>
            </w:r>
            <w:r w:rsidRPr="004565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3479" w:rsidRPr="004565A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1501E8C" w14:textId="110D8A4C" w:rsidR="00B21CB9" w:rsidRPr="004565A1" w:rsidRDefault="00663A54" w:rsidP="00BD104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63A54">
              <w:rPr>
                <w:rFonts w:ascii="Tahoma" w:hAnsi="Tahoma" w:cs="Tahoma"/>
                <w:sz w:val="20"/>
                <w:szCs w:val="20"/>
              </w:rPr>
              <w:t>76001310301420200009000</w:t>
            </w:r>
          </w:p>
        </w:tc>
      </w:tr>
      <w:tr w:rsidR="00A727EA" w:rsidRPr="004565A1" w14:paraId="5C924314" w14:textId="77777777" w:rsidTr="00E83308">
        <w:trPr>
          <w:gridAfter w:val="1"/>
          <w:wAfter w:w="34" w:type="dxa"/>
          <w:trHeight w:val="1280"/>
        </w:trPr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45" w:color="000000" w:fill="FFFFFF"/>
            <w:vAlign w:val="center"/>
            <w:hideMark/>
          </w:tcPr>
          <w:p w14:paraId="084E20DD" w14:textId="77777777" w:rsidR="00A727EA" w:rsidRPr="004565A1" w:rsidRDefault="00A727EA" w:rsidP="00EA1558">
            <w:pPr>
              <w:pStyle w:val="Ttulo7"/>
              <w:rPr>
                <w:rFonts w:ascii="Tahoma" w:hAnsi="Tahoma" w:cs="Tahoma"/>
                <w:sz w:val="20"/>
              </w:rPr>
            </w:pPr>
            <w:r w:rsidRPr="004565A1">
              <w:rPr>
                <w:rFonts w:ascii="Tahoma" w:hAnsi="Tahoma" w:cs="Tahoma"/>
                <w:sz w:val="20"/>
              </w:rPr>
              <w:lastRenderedPageBreak/>
              <w:t>Pretensiones solicitadas</w:t>
            </w:r>
          </w:p>
        </w:tc>
        <w:tc>
          <w:tcPr>
            <w:tcW w:w="66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F7D9A" w14:textId="4D6F7A47" w:rsidR="00BD1047" w:rsidRPr="004565A1" w:rsidRDefault="004565A1" w:rsidP="004565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65A1">
              <w:rPr>
                <w:rFonts w:ascii="Tahoma" w:hAnsi="Tahoma" w:cs="Tahoma"/>
                <w:sz w:val="20"/>
                <w:szCs w:val="20"/>
              </w:rPr>
              <w:t xml:space="preserve">Las pretensiones de la demanda </w:t>
            </w:r>
            <w:r w:rsidR="00663A54">
              <w:rPr>
                <w:rFonts w:ascii="Tahoma" w:hAnsi="Tahoma" w:cs="Tahoma"/>
                <w:sz w:val="20"/>
                <w:szCs w:val="20"/>
              </w:rPr>
              <w:t>van encaminadas a que se decrete la venta de cosa común del inmueble identificado con folio de matrícula inmobiliaria No. 370-746252 de la Oficina de Registro de Instrumentos Públicos de Cali.</w:t>
            </w:r>
          </w:p>
        </w:tc>
      </w:tr>
      <w:tr w:rsidR="00A727EA" w:rsidRPr="004565A1" w14:paraId="091A905A" w14:textId="77777777" w:rsidTr="00E83308">
        <w:trPr>
          <w:gridAfter w:val="1"/>
          <w:wAfter w:w="34" w:type="dxa"/>
          <w:trHeight w:val="804"/>
        </w:trPr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45" w:color="000000" w:fill="FFFFFF"/>
            <w:vAlign w:val="center"/>
            <w:hideMark/>
          </w:tcPr>
          <w:p w14:paraId="722430B4" w14:textId="77777777" w:rsidR="00A727EA" w:rsidRPr="004565A1" w:rsidRDefault="00A727EA" w:rsidP="00EA1558">
            <w:pPr>
              <w:pStyle w:val="Ttulo7"/>
              <w:rPr>
                <w:rFonts w:ascii="Tahoma" w:hAnsi="Tahoma" w:cs="Tahoma"/>
                <w:sz w:val="20"/>
              </w:rPr>
            </w:pPr>
            <w:r w:rsidRPr="004565A1">
              <w:rPr>
                <w:rFonts w:ascii="Tahoma" w:hAnsi="Tahoma" w:cs="Tahoma"/>
                <w:sz w:val="20"/>
              </w:rPr>
              <w:t>Sustento de las pretensiones solicitadas (diferenciar entre el valor de los perjuicios materiales e inmateriales)</w:t>
            </w:r>
          </w:p>
        </w:tc>
        <w:tc>
          <w:tcPr>
            <w:tcW w:w="66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D4C71" w14:textId="499C7587" w:rsidR="00A727EA" w:rsidRPr="004565A1" w:rsidRDefault="006542FC" w:rsidP="006536A5">
            <w:pPr>
              <w:spacing w:line="252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Las pretensiones van encaminadas a la división del inmueble.</w:t>
            </w:r>
          </w:p>
        </w:tc>
      </w:tr>
      <w:tr w:rsidR="00A727EA" w:rsidRPr="004565A1" w14:paraId="619B738C" w14:textId="77777777" w:rsidTr="00C55E80">
        <w:trPr>
          <w:gridAfter w:val="1"/>
          <w:wAfter w:w="34" w:type="dxa"/>
          <w:trHeight w:val="340"/>
        </w:trPr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45" w:color="000000" w:fill="FFFFFF"/>
            <w:vAlign w:val="center"/>
            <w:hideMark/>
          </w:tcPr>
          <w:p w14:paraId="5B208591" w14:textId="77777777" w:rsidR="00A727EA" w:rsidRPr="004565A1" w:rsidRDefault="00A727EA" w:rsidP="00EA1558">
            <w:pPr>
              <w:pStyle w:val="Ttulo7"/>
              <w:rPr>
                <w:rFonts w:ascii="Tahoma" w:hAnsi="Tahoma" w:cs="Tahoma"/>
                <w:sz w:val="20"/>
              </w:rPr>
            </w:pPr>
            <w:r w:rsidRPr="004565A1">
              <w:rPr>
                <w:rFonts w:ascii="Tahoma" w:hAnsi="Tahoma" w:cs="Tahoma"/>
                <w:sz w:val="20"/>
              </w:rPr>
              <w:t>Valoración (Indicar pretensiones objetivadas)</w:t>
            </w:r>
          </w:p>
        </w:tc>
        <w:tc>
          <w:tcPr>
            <w:tcW w:w="66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B0E059" w14:textId="06767614" w:rsidR="00EC1706" w:rsidRPr="004565A1" w:rsidRDefault="006542FC" w:rsidP="004565A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 pretensión va encaminada a la división del inmueble.</w:t>
            </w:r>
          </w:p>
        </w:tc>
      </w:tr>
      <w:tr w:rsidR="006542FC" w:rsidRPr="004565A1" w14:paraId="3F3DBF01" w14:textId="77777777" w:rsidTr="007E2A68">
        <w:trPr>
          <w:gridAfter w:val="1"/>
          <w:wAfter w:w="34" w:type="dxa"/>
          <w:trHeight w:val="1001"/>
        </w:trPr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45" w:color="000000" w:fill="FFFFFF"/>
            <w:vAlign w:val="center"/>
            <w:hideMark/>
          </w:tcPr>
          <w:p w14:paraId="23ACAB10" w14:textId="77777777" w:rsidR="006542FC" w:rsidRPr="004565A1" w:rsidRDefault="006542FC" w:rsidP="006542FC">
            <w:pPr>
              <w:pStyle w:val="Ttulo7"/>
              <w:rPr>
                <w:rFonts w:ascii="Tahoma" w:hAnsi="Tahoma" w:cs="Tahoma"/>
                <w:sz w:val="20"/>
              </w:rPr>
            </w:pPr>
            <w:r w:rsidRPr="004565A1">
              <w:rPr>
                <w:rFonts w:ascii="Tahoma" w:hAnsi="Tahoma" w:cs="Tahoma"/>
                <w:sz w:val="20"/>
              </w:rPr>
              <w:t>Descripción pretensiones objetivadas (indicar los motivos por los que se fija el valor de las pretensiones)</w:t>
            </w:r>
          </w:p>
        </w:tc>
        <w:tc>
          <w:tcPr>
            <w:tcW w:w="66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B3930" w14:textId="099C8535" w:rsidR="006542FC" w:rsidRPr="004565A1" w:rsidRDefault="006542FC" w:rsidP="006542FC">
            <w:pPr>
              <w:spacing w:line="252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 pretensión va encaminada a la división del inmueble.</w:t>
            </w:r>
          </w:p>
        </w:tc>
      </w:tr>
      <w:tr w:rsidR="006542FC" w:rsidRPr="004565A1" w14:paraId="5196BCA1" w14:textId="77777777" w:rsidTr="005C31EB">
        <w:trPr>
          <w:gridAfter w:val="1"/>
          <w:wAfter w:w="34" w:type="dxa"/>
          <w:trHeight w:val="3771"/>
        </w:trPr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45" w:color="000000" w:fill="FFFFFF"/>
            <w:vAlign w:val="center"/>
            <w:hideMark/>
          </w:tcPr>
          <w:p w14:paraId="3ED557AA" w14:textId="77777777" w:rsidR="006542FC" w:rsidRPr="004565A1" w:rsidRDefault="006542FC" w:rsidP="006542FC">
            <w:pPr>
              <w:pStyle w:val="Ttulo7"/>
              <w:rPr>
                <w:rFonts w:ascii="Tahoma" w:hAnsi="Tahoma" w:cs="Tahoma"/>
                <w:sz w:val="20"/>
              </w:rPr>
            </w:pPr>
            <w:r w:rsidRPr="004565A1">
              <w:rPr>
                <w:rFonts w:ascii="Tahoma" w:hAnsi="Tahoma" w:cs="Tahoma"/>
                <w:sz w:val="20"/>
              </w:rPr>
              <w:t>Resumen de la Contingencia</w:t>
            </w:r>
          </w:p>
        </w:tc>
        <w:tc>
          <w:tcPr>
            <w:tcW w:w="66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F6A79" w14:textId="77777777" w:rsidR="006542FC" w:rsidRDefault="00024160" w:rsidP="006542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Según los hechos de la demanda, el bien inmueble identificado con FMI 370-746252 de la Oficina de Registro de Instrumentos Públicos de Cali fue adjudicado a la demandante y a todos los demandados por auto No. 430-0000647 del 3 de abril de 20217 adicionado por auto No. 430-008960 del 19 de mayo de 2015 y el oficio No. 430-031273 del 27 de febrero de 2018 expedidos por la Superintendencia de Sociedades dentro de la liquidación por adjudicación de la sociedad C.I COMERGROUP</w:t>
            </w:r>
            <w:r w:rsidR="005C31EB">
              <w:rPr>
                <w:rFonts w:ascii="Tahoma" w:hAnsi="Tahoma" w:cs="Tahoma"/>
                <w:sz w:val="20"/>
                <w:szCs w:val="20"/>
              </w:rPr>
              <w:t>, la adjudicación se realizó como cuerpo cierto incluyendo todos los bienes muebles que se encontraban en el predio y los inmuebles por adhesión y destinación, tales como bodega de crudo, cuarto de máquinas, oficinas, tanques diferentes materiales.</w:t>
            </w:r>
          </w:p>
          <w:p w14:paraId="317254FD" w14:textId="77777777" w:rsidR="005C31EB" w:rsidRDefault="005C31EB" w:rsidP="006542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El inmueble fue adjudicado en porcentajes de cuotas de dominio conforme a los créditos reconocido en el proceso de liquidación. </w:t>
            </w:r>
          </w:p>
          <w:p w14:paraId="2B32A954" w14:textId="0C594356" w:rsidR="005C31EB" w:rsidRPr="00EC1706" w:rsidRDefault="005C31EB" w:rsidP="006542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Bancolombia no desea continuar con la comunidad.</w:t>
            </w:r>
          </w:p>
        </w:tc>
      </w:tr>
      <w:tr w:rsidR="006542FC" w:rsidRPr="004565A1" w14:paraId="22701B77" w14:textId="77777777" w:rsidTr="00C55E80">
        <w:trPr>
          <w:gridAfter w:val="1"/>
          <w:wAfter w:w="34" w:type="dxa"/>
          <w:trHeight w:val="340"/>
        </w:trPr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45" w:color="000000" w:fill="FFFFFF"/>
            <w:vAlign w:val="center"/>
            <w:hideMark/>
          </w:tcPr>
          <w:p w14:paraId="1ECF4069" w14:textId="77777777" w:rsidR="006542FC" w:rsidRPr="004565A1" w:rsidRDefault="006542FC" w:rsidP="006542F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65A1">
              <w:rPr>
                <w:rFonts w:ascii="Tahoma" w:hAnsi="Tahoma" w:cs="Tahoma"/>
                <w:b/>
                <w:sz w:val="20"/>
                <w:szCs w:val="20"/>
              </w:rPr>
              <w:t>Calificación de la Contingencia</w:t>
            </w:r>
          </w:p>
        </w:tc>
        <w:tc>
          <w:tcPr>
            <w:tcW w:w="66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6C068" w14:textId="6B6543F1" w:rsidR="006542FC" w:rsidRPr="004565A1" w:rsidRDefault="005C31EB" w:rsidP="006542F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Probable</w:t>
            </w:r>
          </w:p>
        </w:tc>
      </w:tr>
      <w:tr w:rsidR="006542FC" w:rsidRPr="004565A1" w14:paraId="646F1B29" w14:textId="77777777" w:rsidTr="005C31EB">
        <w:trPr>
          <w:gridAfter w:val="1"/>
          <w:wAfter w:w="34" w:type="dxa"/>
          <w:trHeight w:val="1139"/>
        </w:trPr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45" w:color="000000" w:fill="FFFFFF"/>
            <w:vAlign w:val="center"/>
            <w:hideMark/>
          </w:tcPr>
          <w:p w14:paraId="41DA7B39" w14:textId="77777777" w:rsidR="006542FC" w:rsidRPr="004565A1" w:rsidRDefault="006542FC" w:rsidP="006542FC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565A1">
              <w:rPr>
                <w:rFonts w:ascii="Tahoma" w:hAnsi="Tahoma" w:cs="Tahoma"/>
                <w:b/>
                <w:sz w:val="20"/>
                <w:szCs w:val="20"/>
              </w:rPr>
              <w:t>Calificación Motivos</w:t>
            </w:r>
          </w:p>
        </w:tc>
        <w:tc>
          <w:tcPr>
            <w:tcW w:w="66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60F1F" w14:textId="0FC3BC69" w:rsidR="00AC53B7" w:rsidRPr="00EC1706" w:rsidRDefault="005C31EB" w:rsidP="006542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 proceso pretende la división del bien inmueble y la terminación de la comunidad</w:t>
            </w:r>
            <w:r w:rsidR="00AC53B7">
              <w:rPr>
                <w:rFonts w:ascii="Tahoma" w:hAnsi="Tahoma" w:cs="Tahoma"/>
                <w:sz w:val="20"/>
                <w:szCs w:val="20"/>
              </w:rPr>
              <w:t>, por lo que nos allanamos a las pretensiones.</w:t>
            </w:r>
          </w:p>
        </w:tc>
      </w:tr>
      <w:tr w:rsidR="006542FC" w:rsidRPr="004565A1" w14:paraId="3A8C5F1E" w14:textId="77777777" w:rsidTr="00C55E80">
        <w:trPr>
          <w:gridAfter w:val="1"/>
          <w:wAfter w:w="34" w:type="dxa"/>
          <w:trHeight w:val="340"/>
        </w:trPr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45" w:color="000000" w:fill="FFFFFF"/>
            <w:vAlign w:val="center"/>
            <w:hideMark/>
          </w:tcPr>
          <w:p w14:paraId="1571DA53" w14:textId="4D6A33DE" w:rsidR="006542FC" w:rsidRPr="004565A1" w:rsidRDefault="006542FC" w:rsidP="006542F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65A1">
              <w:rPr>
                <w:rFonts w:ascii="Tahoma" w:hAnsi="Tahoma" w:cs="Tahoma"/>
                <w:b/>
                <w:sz w:val="20"/>
                <w:szCs w:val="20"/>
              </w:rPr>
              <w:t>Fallo Primera Instancia</w:t>
            </w:r>
          </w:p>
        </w:tc>
        <w:tc>
          <w:tcPr>
            <w:tcW w:w="66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D1613E" w14:textId="77777777" w:rsidR="006542FC" w:rsidRPr="004565A1" w:rsidRDefault="006542FC" w:rsidP="006542F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65A1"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  <w:tr w:rsidR="006542FC" w:rsidRPr="004565A1" w14:paraId="5FB16455" w14:textId="77777777" w:rsidTr="00C55E80">
        <w:trPr>
          <w:gridAfter w:val="1"/>
          <w:wAfter w:w="34" w:type="dxa"/>
          <w:trHeight w:val="340"/>
        </w:trPr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45" w:color="000000" w:fill="FFFFFF"/>
            <w:vAlign w:val="center"/>
            <w:hideMark/>
          </w:tcPr>
          <w:p w14:paraId="3629C256" w14:textId="77777777" w:rsidR="006542FC" w:rsidRPr="004565A1" w:rsidRDefault="006542FC" w:rsidP="006542F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65A1">
              <w:rPr>
                <w:rFonts w:ascii="Tahoma" w:hAnsi="Tahoma" w:cs="Tahoma"/>
                <w:b/>
                <w:sz w:val="20"/>
                <w:szCs w:val="20"/>
              </w:rPr>
              <w:t>Recursos</w:t>
            </w:r>
          </w:p>
        </w:tc>
        <w:tc>
          <w:tcPr>
            <w:tcW w:w="66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13F2C" w14:textId="77777777" w:rsidR="006542FC" w:rsidRPr="004565A1" w:rsidRDefault="006542FC" w:rsidP="006542F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65A1"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  <w:tr w:rsidR="006542FC" w:rsidRPr="004565A1" w14:paraId="1413697A" w14:textId="77777777" w:rsidTr="00C55E80">
        <w:trPr>
          <w:gridAfter w:val="1"/>
          <w:wAfter w:w="34" w:type="dxa"/>
          <w:trHeight w:val="478"/>
        </w:trPr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45" w:color="000000" w:fill="FFFFFF"/>
            <w:vAlign w:val="center"/>
            <w:hideMark/>
          </w:tcPr>
          <w:p w14:paraId="3362F9B4" w14:textId="77777777" w:rsidR="006542FC" w:rsidRPr="004565A1" w:rsidRDefault="006542FC" w:rsidP="006542F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65A1">
              <w:rPr>
                <w:rFonts w:ascii="Tahoma" w:hAnsi="Tahoma" w:cs="Tahoma"/>
                <w:b/>
                <w:sz w:val="20"/>
                <w:szCs w:val="20"/>
              </w:rPr>
              <w:t>Fallo Segunda Instancia</w:t>
            </w:r>
          </w:p>
        </w:tc>
        <w:tc>
          <w:tcPr>
            <w:tcW w:w="66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24CA6" w14:textId="77777777" w:rsidR="006542FC" w:rsidRPr="004565A1" w:rsidRDefault="006542FC" w:rsidP="006542F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565A1"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  <w:tr w:rsidR="006542FC" w:rsidRPr="004565A1" w14:paraId="53891087" w14:textId="77777777" w:rsidTr="00C55E80">
        <w:trPr>
          <w:gridAfter w:val="1"/>
          <w:wAfter w:w="34" w:type="dxa"/>
          <w:trHeight w:val="478"/>
        </w:trPr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45" w:color="000000" w:fill="FFFFFF"/>
            <w:vAlign w:val="center"/>
            <w:hideMark/>
          </w:tcPr>
          <w:p w14:paraId="47C239D2" w14:textId="77777777" w:rsidR="006542FC" w:rsidRPr="004565A1" w:rsidRDefault="006542FC" w:rsidP="006542F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65A1">
              <w:rPr>
                <w:rFonts w:ascii="Tahoma" w:hAnsi="Tahoma" w:cs="Tahoma"/>
                <w:b/>
                <w:sz w:val="20"/>
                <w:szCs w:val="20"/>
              </w:rPr>
              <w:t>Observaciones</w:t>
            </w:r>
          </w:p>
        </w:tc>
        <w:tc>
          <w:tcPr>
            <w:tcW w:w="66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11897" w14:textId="4D161AF9" w:rsidR="006542FC" w:rsidRPr="000616B4" w:rsidRDefault="00AC53B7" w:rsidP="006542F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 1 de diciembre de 2020, se contestó la demanda.</w:t>
            </w:r>
          </w:p>
        </w:tc>
      </w:tr>
    </w:tbl>
    <w:p w14:paraId="4C4BE34F" w14:textId="77777777" w:rsidR="0027416F" w:rsidRPr="00EA1558" w:rsidRDefault="0027416F" w:rsidP="00EA1558">
      <w:pPr>
        <w:tabs>
          <w:tab w:val="left" w:pos="151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27416F" w:rsidRPr="00EA15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29AB"/>
    <w:multiLevelType w:val="hybridMultilevel"/>
    <w:tmpl w:val="26FA94D8"/>
    <w:lvl w:ilvl="0" w:tplc="ECBED8FE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B5869"/>
    <w:multiLevelType w:val="hybridMultilevel"/>
    <w:tmpl w:val="B6EE7DC0"/>
    <w:lvl w:ilvl="0" w:tplc="DA8CDB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253931">
    <w:abstractNumId w:val="1"/>
  </w:num>
  <w:num w:numId="2" w16cid:durableId="136231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7EA"/>
    <w:rsid w:val="00024160"/>
    <w:rsid w:val="00030609"/>
    <w:rsid w:val="00043ED6"/>
    <w:rsid w:val="000538DF"/>
    <w:rsid w:val="0005570D"/>
    <w:rsid w:val="000616B4"/>
    <w:rsid w:val="0006278F"/>
    <w:rsid w:val="000810AD"/>
    <w:rsid w:val="000A7675"/>
    <w:rsid w:val="000B5131"/>
    <w:rsid w:val="00132B04"/>
    <w:rsid w:val="00144D62"/>
    <w:rsid w:val="00173545"/>
    <w:rsid w:val="00194E14"/>
    <w:rsid w:val="001A2471"/>
    <w:rsid w:val="001C7000"/>
    <w:rsid w:val="002439C2"/>
    <w:rsid w:val="00255EFE"/>
    <w:rsid w:val="00266A5E"/>
    <w:rsid w:val="0027416F"/>
    <w:rsid w:val="002A46C0"/>
    <w:rsid w:val="002B09DF"/>
    <w:rsid w:val="002B374F"/>
    <w:rsid w:val="002D39B8"/>
    <w:rsid w:val="00305469"/>
    <w:rsid w:val="00327255"/>
    <w:rsid w:val="00381AFC"/>
    <w:rsid w:val="00394872"/>
    <w:rsid w:val="003A61B8"/>
    <w:rsid w:val="003B21B6"/>
    <w:rsid w:val="003B3A17"/>
    <w:rsid w:val="00412AFC"/>
    <w:rsid w:val="004140E4"/>
    <w:rsid w:val="00444EFB"/>
    <w:rsid w:val="004466B6"/>
    <w:rsid w:val="004565A1"/>
    <w:rsid w:val="004F660D"/>
    <w:rsid w:val="004F6998"/>
    <w:rsid w:val="0052515D"/>
    <w:rsid w:val="0054331B"/>
    <w:rsid w:val="00570F0E"/>
    <w:rsid w:val="00582D37"/>
    <w:rsid w:val="005857D6"/>
    <w:rsid w:val="00597982"/>
    <w:rsid w:val="005A5DE0"/>
    <w:rsid w:val="005B24AF"/>
    <w:rsid w:val="005C2D86"/>
    <w:rsid w:val="005C31EB"/>
    <w:rsid w:val="005D6C59"/>
    <w:rsid w:val="005D703B"/>
    <w:rsid w:val="005E7BB2"/>
    <w:rsid w:val="00613653"/>
    <w:rsid w:val="006228CF"/>
    <w:rsid w:val="00631E26"/>
    <w:rsid w:val="006536A5"/>
    <w:rsid w:val="006542FC"/>
    <w:rsid w:val="00663A54"/>
    <w:rsid w:val="0068212F"/>
    <w:rsid w:val="006D5FAB"/>
    <w:rsid w:val="006E1613"/>
    <w:rsid w:val="0070683A"/>
    <w:rsid w:val="00710DEA"/>
    <w:rsid w:val="00727808"/>
    <w:rsid w:val="00755D00"/>
    <w:rsid w:val="00777773"/>
    <w:rsid w:val="007803A9"/>
    <w:rsid w:val="00780A49"/>
    <w:rsid w:val="00781C62"/>
    <w:rsid w:val="007E2A68"/>
    <w:rsid w:val="007E50BE"/>
    <w:rsid w:val="00800E75"/>
    <w:rsid w:val="00810E11"/>
    <w:rsid w:val="00833AAC"/>
    <w:rsid w:val="00835D49"/>
    <w:rsid w:val="00854EF7"/>
    <w:rsid w:val="00885CAF"/>
    <w:rsid w:val="008C4C15"/>
    <w:rsid w:val="009073F5"/>
    <w:rsid w:val="00914B63"/>
    <w:rsid w:val="009727CF"/>
    <w:rsid w:val="009B216A"/>
    <w:rsid w:val="009C27EF"/>
    <w:rsid w:val="00A113C3"/>
    <w:rsid w:val="00A26F8C"/>
    <w:rsid w:val="00A3168B"/>
    <w:rsid w:val="00A43704"/>
    <w:rsid w:val="00A5674B"/>
    <w:rsid w:val="00A727EA"/>
    <w:rsid w:val="00AB57D9"/>
    <w:rsid w:val="00AC53B7"/>
    <w:rsid w:val="00AD32CF"/>
    <w:rsid w:val="00AF5D88"/>
    <w:rsid w:val="00B21CB9"/>
    <w:rsid w:val="00B3745F"/>
    <w:rsid w:val="00B516D0"/>
    <w:rsid w:val="00B532CE"/>
    <w:rsid w:val="00B6178B"/>
    <w:rsid w:val="00B66B9B"/>
    <w:rsid w:val="00BB5CFF"/>
    <w:rsid w:val="00BD0DBC"/>
    <w:rsid w:val="00BD1047"/>
    <w:rsid w:val="00BE490C"/>
    <w:rsid w:val="00C10EAE"/>
    <w:rsid w:val="00C159AD"/>
    <w:rsid w:val="00C359F6"/>
    <w:rsid w:val="00C55E80"/>
    <w:rsid w:val="00C85E14"/>
    <w:rsid w:val="00CC01A6"/>
    <w:rsid w:val="00CD4D29"/>
    <w:rsid w:val="00CD6F95"/>
    <w:rsid w:val="00CE3479"/>
    <w:rsid w:val="00CF1AB0"/>
    <w:rsid w:val="00D06776"/>
    <w:rsid w:val="00D13E5C"/>
    <w:rsid w:val="00D37FD0"/>
    <w:rsid w:val="00D45945"/>
    <w:rsid w:val="00D47EC9"/>
    <w:rsid w:val="00D805F9"/>
    <w:rsid w:val="00E3379E"/>
    <w:rsid w:val="00E46760"/>
    <w:rsid w:val="00E50AD8"/>
    <w:rsid w:val="00E83308"/>
    <w:rsid w:val="00EA1558"/>
    <w:rsid w:val="00EC1706"/>
    <w:rsid w:val="00EF2272"/>
    <w:rsid w:val="00F026ED"/>
    <w:rsid w:val="00F12A57"/>
    <w:rsid w:val="00F37DF8"/>
    <w:rsid w:val="00FA57C5"/>
    <w:rsid w:val="00F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F538D3"/>
  <w15:docId w15:val="{CA3B2395-AFB2-4A59-84D7-9C58CC58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nhideWhenUsed/>
    <w:qFormat/>
    <w:rsid w:val="00A727EA"/>
    <w:pPr>
      <w:keepNext/>
      <w:spacing w:after="0" w:line="240" w:lineRule="auto"/>
      <w:jc w:val="both"/>
      <w:outlineLvl w:val="3"/>
    </w:pPr>
    <w:rPr>
      <w:rFonts w:ascii="Tahoma" w:eastAsia="Times New Roman" w:hAnsi="Tahoma" w:cs="Tahoma"/>
      <w:b/>
      <w:bCs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A727EA"/>
    <w:pPr>
      <w:keepNext/>
      <w:spacing w:after="0" w:line="240" w:lineRule="auto"/>
      <w:outlineLvl w:val="6"/>
    </w:pPr>
    <w:rPr>
      <w:rFonts w:ascii="Century" w:eastAsia="Times New Roman" w:hAnsi="Century" w:cs="Microsoft Sans Serif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27EA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A727EA"/>
    <w:rPr>
      <w:rFonts w:ascii="Tahoma" w:eastAsia="Times New Roman" w:hAnsi="Tahoma" w:cs="Tahoma"/>
      <w:b/>
      <w:bCs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A727EA"/>
    <w:rPr>
      <w:rFonts w:ascii="Century" w:eastAsia="Times New Roman" w:hAnsi="Century" w:cs="Microsoft Sans Serif"/>
      <w:b/>
      <w:szCs w:val="20"/>
      <w:lang w:eastAsia="es-ES"/>
    </w:rPr>
  </w:style>
  <w:style w:type="paragraph" w:customStyle="1" w:styleId="m2454382811261002431gmail-msolistparagraph">
    <w:name w:val="m_2454382811261002431gmail-msolistparagraph"/>
    <w:basedOn w:val="Normal"/>
    <w:rsid w:val="001A24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paragraph" w:customStyle="1" w:styleId="gmail-msolistparagraph">
    <w:name w:val="gmail-msolistparagraph"/>
    <w:basedOn w:val="Normal"/>
    <w:rsid w:val="006536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unhideWhenUsed/>
    <w:rsid w:val="0019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Suramericana de Seguros S.A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Diez Gonzalez</dc:creator>
  <cp:lastModifiedBy>Juan Pablo Medina Campiño</cp:lastModifiedBy>
  <cp:revision>2</cp:revision>
  <cp:lastPrinted>2018-11-30T20:49:00Z</cp:lastPrinted>
  <dcterms:created xsi:type="dcterms:W3CDTF">2025-01-16T22:17:00Z</dcterms:created>
  <dcterms:modified xsi:type="dcterms:W3CDTF">2025-01-16T22:17:00Z</dcterms:modified>
</cp:coreProperties>
</file>