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CFB1" w14:textId="77777777" w:rsidR="00861B47" w:rsidRDefault="00861B47" w:rsidP="00861B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  <w:lang w:val="es-CO"/>
        </w:rPr>
      </w:pPr>
      <w:r>
        <w:rPr>
          <w:rFonts w:ascii="ArialMT" w:hAnsi="ArialMT" w:cs="ArialMT"/>
          <w:kern w:val="0"/>
          <w:sz w:val="20"/>
          <w:szCs w:val="20"/>
          <w:lang w:val="es-CO"/>
        </w:rPr>
        <w:t>EXP. 46 2023 00163 01</w:t>
      </w:r>
    </w:p>
    <w:p w14:paraId="364A8F3F" w14:textId="77777777" w:rsidR="00861B47" w:rsidRDefault="00861B47" w:rsidP="00861B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  <w:lang w:val="es-CO"/>
        </w:rPr>
      </w:pPr>
      <w:r>
        <w:rPr>
          <w:rFonts w:ascii="ArialMT" w:hAnsi="ArialMT" w:cs="ArialMT"/>
          <w:kern w:val="0"/>
          <w:sz w:val="20"/>
          <w:szCs w:val="20"/>
          <w:lang w:val="es-CO"/>
        </w:rPr>
        <w:t>Marisol Laguna Cubillos vs Colpensiones y O.</w:t>
      </w:r>
    </w:p>
    <w:p w14:paraId="65662479" w14:textId="7F6EFF51" w:rsidR="00861B47" w:rsidRDefault="00861B47" w:rsidP="00861B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  <w:lang w:val="es-CO"/>
        </w:rPr>
      </w:pPr>
    </w:p>
    <w:p w14:paraId="7CD6154C" w14:textId="77777777" w:rsidR="00CD3BF2" w:rsidRDefault="00CD3BF2" w:rsidP="00861B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  <w:lang w:val="es-CO"/>
        </w:rPr>
      </w:pPr>
    </w:p>
    <w:p w14:paraId="3E9417C4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A9225D4" w14:textId="0987ECCD" w:rsidR="00861B47" w:rsidRDefault="00861B47" w:rsidP="00CD3B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TRIBUNAL SUPERIOR DEL DISTRITO JUDICIAL</w:t>
      </w:r>
    </w:p>
    <w:p w14:paraId="73C1F0C2" w14:textId="77777777" w:rsidR="00861B47" w:rsidRDefault="00861B47" w:rsidP="00CD3B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 BOGOTÁ D.C.</w:t>
      </w:r>
    </w:p>
    <w:p w14:paraId="723E2BE6" w14:textId="77777777" w:rsidR="00861B47" w:rsidRDefault="00861B47" w:rsidP="00CD3B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SALA LABORAL</w:t>
      </w:r>
    </w:p>
    <w:p w14:paraId="56270646" w14:textId="77777777" w:rsidR="00861B47" w:rsidRDefault="00861B47" w:rsidP="00CD3B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proofErr w:type="spellStart"/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</w:t>
      </w:r>
      <w:proofErr w:type="spellEnd"/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. Ponente: Dr. MANUEL EDUARDO SERRANO BAQUERO</w:t>
      </w:r>
    </w:p>
    <w:p w14:paraId="60F3F196" w14:textId="77777777" w:rsidR="00CD3BF2" w:rsidRDefault="00CD3BF2" w:rsidP="00861B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C8E25B0" w14:textId="77777777" w:rsidR="00CD3BF2" w:rsidRDefault="00CD3BF2" w:rsidP="00861B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B89F948" w14:textId="77777777" w:rsidR="00CD3BF2" w:rsidRDefault="00CD3BF2" w:rsidP="00861B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97EDA9A" w14:textId="351FCFFF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PROCESO ORDINARIO DE MARISOL LAGUNA CUBILLOS CONTRA LA</w:t>
      </w:r>
      <w:r w:rsidR="00CD3BF2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ADMINISTRADORA COLOMBIANA DE PENSIONES COLPENSIONES,</w:t>
      </w:r>
      <w:r w:rsidR="00CD3BF2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COLFONDOS SA PENSIONES Y CESANTÍAS, SOCIEDAD</w:t>
      </w:r>
      <w:r w:rsidR="00CD3BF2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ADMINISTRADORA DE FONDOS DE PENSIONES Y CESANTÍAS</w:t>
      </w:r>
      <w:r w:rsidR="00CD3BF2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PORVENIR SA, SKANDIA SOCIEDAD ADMINISTRADORA DE PENSIONES</w:t>
      </w:r>
      <w:r w:rsidR="00CD3BF2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Y CESANTÍAS SA y LA ADMINISTRADORA DE FONDOS DE PENSIONES</w:t>
      </w:r>
      <w:r w:rsidR="00CD3BF2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Y CESANTÍAS PROTECCIÓN SA.</w:t>
      </w:r>
    </w:p>
    <w:p w14:paraId="7B85F961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2953F1B" w14:textId="572D2F8C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Bogotá D.C., treinta (30) de abril de dos mil veinticuatro (2024)</w:t>
      </w:r>
    </w:p>
    <w:p w14:paraId="6E6C310B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72A2BDA1" w14:textId="6045BCE3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AUTO</w:t>
      </w:r>
    </w:p>
    <w:p w14:paraId="3EF09447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0D183A5" w14:textId="08C34A19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Llega el expediente al Tribunal procedente del Juzgado Cuarenta y Seis (46)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Laboral del Circuito de Bogotá, para decidir el recurso de apelación interpuesto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por SKANDIA PENSIONES Y CESANTÍAS S.A., contra el auto dictado el día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19 de enero de 2024, mediante el cual se rechazó el llamamiento en garantía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la aseguradora MAPFRE COLOMBIA VIDA SEGUROS S.A.</w:t>
      </w:r>
    </w:p>
    <w:p w14:paraId="30A815B9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0B40120" w14:textId="207B2E33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ANTECEDENTES</w:t>
      </w:r>
    </w:p>
    <w:p w14:paraId="7231E365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65B77EB4" w14:textId="7B40F416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Por medio de apoderada, MARISOL LAGUNA CUBILLOS presentó demanda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contra la ADMINISTRADORA COLOMBIANA DE PENSIONES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COLPENSIONES, COLFONDOS SA PENSIONES Y CESANTÍAS, la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SOCIEDAD ADMINISTRADORA DE FONDOS DE PENSIONES Y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CESANTÍAS PORVENIR SA, SKANDIA SOCIEDAD ADMINISTRADORA DE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PENSIONES Y CESANTÍAS SA y la ADMINISTRADORA DE FONDOS DE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PENSIONES Y CESANTÍAS PROTECCIÓN SA, para que, mediante los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trámites de un proceso ordinario laboral, se declare que nunca se trasladó del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régimen de prima media con prestación definida al régimen de ahorro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individual con solidaridad. En consecuencia, piden que se ordene a SKANDIA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S.A. trasladar a COLPENSIONES todos los valores que hubiere recibido y 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esta última recibirla en el RPM (ver demanda archivo 02 y 07 a 10, primera</w:t>
      </w:r>
    </w:p>
    <w:p w14:paraId="4B84B507" w14:textId="77777777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instancia).</w:t>
      </w:r>
    </w:p>
    <w:p w14:paraId="1DA88B2A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5021E0A2" w14:textId="2F9208A7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Notificadas de la demanda, las demandadas comparecieron a través de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apoderado para la litis.</w:t>
      </w:r>
    </w:p>
    <w:p w14:paraId="19904296" w14:textId="2873F31E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En lo que interesa a la controversia, SKANDIA PENSIONES Y CESANTÍAS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S.A., allegó junto a la contestación de demanda llamamiento en garantía 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MAPFRE COLOMBIA VIDA SEGUROS S.A., en virtud de los contratos de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seguro provisional que contrató con esa compañía. Como fundamento de su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solicitud indicó que esa entidad dio cumplimiento al artículo 20 de la Ley 100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1993 y pagó con los dineros de las cotizaciones cada póliza; por ello la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administradora de pensiones no tiene los recursos reclamados. Estima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necesaria su vinculación en caso de que se ordene la devolución de tales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valores (ver llamamiento folios 76 a 83 archivo 17, primera instancia).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</w:p>
    <w:p w14:paraId="2B47E63E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4B0AC09" w14:textId="069B82EE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Mediante el auto apelado del 19 de enero de 2024 se negó el llamamiento en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garantía, por considerar que los beneficiarios del seguro previsional son los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afiliados al fondo de pensiones obligatorias y no la AFP, sumado a que el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objeto de las pólizas es amparar los riesgos por invalidez, muerte 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sobrevivientes sin que allí se incluya un seguro eventual por la devolución de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los aportes que hubiere recibido de la demandante (archivo 23 del expediente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digital, trámite de primera instancia).</w:t>
      </w:r>
    </w:p>
    <w:p w14:paraId="251135F8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8C4909E" w14:textId="16FA8D73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RECURSO DE APELACIÓN</w:t>
      </w:r>
    </w:p>
    <w:p w14:paraId="3CD9D6E7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7760398" w14:textId="003D71EB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el recurso, la apoderada de SKANDIA PENSIONES Y CESANTÍAS S.A.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asegura que en caso de que se condene a devolver la prima pagada como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contraprestación legal por el seguro previsional, la entidad llamada a realizar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 devolución es la aseguradora llamada en garantía quien recibió el dinero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correspondiente a las cotizaciones de sus afiliados (archivo 24 del expediente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digital, trámite de primera instancia).</w:t>
      </w:r>
    </w:p>
    <w:p w14:paraId="755AC1BA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574D19D" w14:textId="77777777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CONSIDERACIONES DEL TRIBUNAL</w:t>
      </w:r>
    </w:p>
    <w:p w14:paraId="2997BAD2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57FC0F0" w14:textId="4D9771EC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Para resolver lo pertinente, el artículo 64 del C.G.P., aplicable al asunto por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remisión del artículo 145 del CPTSS, establece que quien tenga derecho legal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o contractual de exigir a un tercero la indemnización del perjuicio que llegare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 sufrir, o el reembolso total o parcial del pago que tuviere que hacer como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resultado de una sentencia, puede pedir en la demanda o en el término para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contestarla la citación de aquel, para que en el mismo proceso se resuelva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sobre tal relación mediante la figura del llamamiento en garantía.</w:t>
      </w:r>
    </w:p>
    <w:p w14:paraId="2EFFD7BD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77CA92A" w14:textId="42FC1BEE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esta forma de litisconsorcio el Juez irremediablemente se debe pronunciar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sobre el vínculo que media entre la parte demandada y el citado en garantía.</w:t>
      </w:r>
    </w:p>
    <w:p w14:paraId="093C84A9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AF32C4C" w14:textId="47EBDBF5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Por ello, para que proceda el llamamiento, quien lo hace debe demostrar que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existe una relación sustancial con el convocado que le impone a éste el deber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legal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o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convencional </w:t>
      </w:r>
      <w:r>
        <w:rPr>
          <w:rFonts w:ascii="ArialMT" w:hAnsi="ArialMT" w:cs="ArialMT"/>
          <w:kern w:val="0"/>
          <w:sz w:val="24"/>
          <w:szCs w:val="24"/>
          <w:lang w:val="es-CO"/>
        </w:rPr>
        <w:t>de asumir el pago -en el caso presente- de las sumas de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dinero a las cuales pueda resultar condenado.</w:t>
      </w:r>
    </w:p>
    <w:p w14:paraId="567D86DB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67972532" w14:textId="30133011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Con este fundamento normativo se confirmará la decisión apelada, pues la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demandada no demostró la existencia de una relación sustancial con </w:t>
      </w:r>
      <w:proofErr w:type="gramStart"/>
      <w:r>
        <w:rPr>
          <w:rFonts w:ascii="ArialMT" w:hAnsi="ArialMT" w:cs="ArialMT"/>
          <w:kern w:val="0"/>
          <w:sz w:val="24"/>
          <w:szCs w:val="24"/>
          <w:lang w:val="es-CO"/>
        </w:rPr>
        <w:t>la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 </w:t>
      </w:r>
      <w:r>
        <w:rPr>
          <w:rFonts w:ascii="ArialMT" w:hAnsi="ArialMT" w:cs="ArialMT"/>
          <w:kern w:val="0"/>
          <w:sz w:val="24"/>
          <w:szCs w:val="24"/>
          <w:lang w:val="es-CO"/>
        </w:rPr>
        <w:t>aseguradora</w:t>
      </w:r>
      <w:proofErr w:type="gram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llamada en garantía que imponga a ésta (MAPFRE COLOMBIA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VIDA </w:t>
      </w: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 xml:space="preserve">SEGUROS S.A.) el deber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legal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o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contractual </w:t>
      </w:r>
      <w:r>
        <w:rPr>
          <w:rFonts w:ascii="ArialMT" w:hAnsi="ArialMT" w:cs="ArialMT"/>
          <w:kern w:val="0"/>
          <w:sz w:val="24"/>
          <w:szCs w:val="24"/>
          <w:lang w:val="es-CO"/>
        </w:rPr>
        <w:t>de pagar el valor de las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primas de seguro que recibió del Fondo para cubrir los riesgos de invalidez o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muerte del afiliado.</w:t>
      </w:r>
    </w:p>
    <w:p w14:paraId="713355AB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57F0AF69" w14:textId="70AC2797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Ello no se deduce del texto de las pólizas traídas al proceso (folios 84 a 88 del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archivo 17) cuyos beneficiarios son los afiliados al Fondo de pensiones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obligatorias y no la demandada y cuyo objeto es diferente al pretendido por la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sociedad recurrente, ni se advierte la existencia de una norma legal que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imponga a la llamada dicha obligación.</w:t>
      </w:r>
    </w:p>
    <w:p w14:paraId="66CB7093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0F8FC0F" w14:textId="6A85382B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Por lo expuesto, el Tribunal Superior del Distrito Judicial de Bogotá D. C., Sala</w:t>
      </w:r>
      <w:r w:rsidR="00CD3BF2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Laboral,</w:t>
      </w:r>
    </w:p>
    <w:p w14:paraId="1F783C52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AEA7FBF" w14:textId="25AAAB3E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RESUELVE</w:t>
      </w:r>
    </w:p>
    <w:p w14:paraId="17AEA3F1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133BA59" w14:textId="13C8C15C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1. CONFIRMAR </w:t>
      </w:r>
      <w:r>
        <w:rPr>
          <w:rFonts w:ascii="ArialMT" w:hAnsi="ArialMT" w:cs="ArialMT"/>
          <w:kern w:val="0"/>
          <w:sz w:val="24"/>
          <w:szCs w:val="24"/>
          <w:lang w:val="es-CO"/>
        </w:rPr>
        <w:t>la providencia apelada</w:t>
      </w:r>
    </w:p>
    <w:p w14:paraId="5EFF9DCF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7880C65D" w14:textId="21D40CE6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2. SIN COSTAS </w:t>
      </w:r>
      <w:r>
        <w:rPr>
          <w:rFonts w:ascii="ArialMT" w:hAnsi="ArialMT" w:cs="ArialMT"/>
          <w:kern w:val="0"/>
          <w:sz w:val="24"/>
          <w:szCs w:val="24"/>
          <w:lang w:val="es-CO"/>
        </w:rPr>
        <w:t>en la apelación.</w:t>
      </w:r>
    </w:p>
    <w:p w14:paraId="6DBC38EA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7F46DC69" w14:textId="0F55E844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NOTIFÍQUESE Y CÚMPLASE.</w:t>
      </w:r>
    </w:p>
    <w:p w14:paraId="02458468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5C82A772" w14:textId="68E05C65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MANUEL EDUARDO SERRANO BAQUERO</w:t>
      </w:r>
    </w:p>
    <w:p w14:paraId="1B5EB1A2" w14:textId="77777777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Magistrado</w:t>
      </w:r>
    </w:p>
    <w:p w14:paraId="4049E6FC" w14:textId="77777777" w:rsidR="00CD3BF2" w:rsidRDefault="00CD3BF2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1AD158F0" w14:textId="3FF54AF8" w:rsidR="00861B47" w:rsidRDefault="00861B47" w:rsidP="00CD3B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HUGO ALEXANDER RÍOS GARAY MARLENY RUEDA OLARTE</w:t>
      </w:r>
    </w:p>
    <w:p w14:paraId="3BCF9C79" w14:textId="6C4DB4CB" w:rsidR="00B9243D" w:rsidRDefault="00861B47" w:rsidP="00CD3BF2">
      <w:pPr>
        <w:jc w:val="both"/>
      </w:pPr>
      <w:r>
        <w:rPr>
          <w:rFonts w:ascii="ArialMT" w:hAnsi="ArialMT" w:cs="ArialMT"/>
          <w:kern w:val="0"/>
          <w:sz w:val="24"/>
          <w:szCs w:val="24"/>
          <w:lang w:val="es-CO"/>
        </w:rPr>
        <w:t>Magistrado 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7"/>
    <w:rsid w:val="00737460"/>
    <w:rsid w:val="00861B47"/>
    <w:rsid w:val="00B9243D"/>
    <w:rsid w:val="00CD3BF2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3BDB"/>
  <w15:chartTrackingRefBased/>
  <w15:docId w15:val="{2748EF8F-204C-4F28-AD4D-A6BCE3C2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2024-05-06T23:46:00Z</dcterms:created>
  <dcterms:modified xsi:type="dcterms:W3CDTF">2024-05-06T23:50:00Z</dcterms:modified>
</cp:coreProperties>
</file>