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B53" w14:textId="5C57CC55" w:rsidR="00F63D1F" w:rsidRPr="00864DDD" w:rsidRDefault="00C409F0" w:rsidP="00D513AB">
      <w:pPr>
        <w:spacing w:after="0" w:line="288" w:lineRule="auto"/>
        <w:jc w:val="both"/>
        <w:rPr>
          <w:rFonts w:ascii="Arial" w:hAnsi="Arial" w:cs="Arial"/>
        </w:rPr>
      </w:pPr>
      <w:r w:rsidRPr="00864DDD">
        <w:rPr>
          <w:rFonts w:ascii="Arial" w:hAnsi="Arial" w:cs="Arial"/>
        </w:rPr>
        <w:t xml:space="preserve">La contingencia se califica como </w:t>
      </w:r>
      <w:r w:rsidR="00301A93" w:rsidRPr="00864DDD">
        <w:rPr>
          <w:rFonts w:ascii="Arial" w:hAnsi="Arial" w:cs="Arial"/>
          <w:b/>
          <w:bCs/>
        </w:rPr>
        <w:t>EVENTUAL</w:t>
      </w:r>
      <w:r w:rsidRPr="00864DDD">
        <w:rPr>
          <w:rFonts w:ascii="Arial" w:hAnsi="Arial" w:cs="Arial"/>
        </w:rPr>
        <w:t xml:space="preserve">, </w:t>
      </w:r>
      <w:r w:rsidR="00863A11" w:rsidRPr="00864DDD">
        <w:rPr>
          <w:rFonts w:ascii="Arial" w:hAnsi="Arial" w:cs="Arial"/>
        </w:rPr>
        <w:t>toda vez que, la póliza N°</w:t>
      </w:r>
      <w:bookmarkStart w:id="0" w:name="_Hlk141691275"/>
      <w:r w:rsidR="00362955" w:rsidRPr="00864DDD">
        <w:rPr>
          <w:rFonts w:ascii="Arial" w:hAnsi="Arial" w:cs="Arial"/>
        </w:rPr>
        <w:t>420</w:t>
      </w:r>
      <w:r w:rsidR="00585BDB">
        <w:rPr>
          <w:rFonts w:ascii="Arial" w:hAnsi="Arial" w:cs="Arial"/>
        </w:rPr>
        <w:t>-</w:t>
      </w:r>
      <w:r w:rsidR="00362955" w:rsidRPr="00864DDD">
        <w:rPr>
          <w:rFonts w:ascii="Arial" w:hAnsi="Arial" w:cs="Arial"/>
        </w:rPr>
        <w:t>80</w:t>
      </w:r>
      <w:r w:rsidR="00585BDB">
        <w:rPr>
          <w:rFonts w:ascii="Arial" w:hAnsi="Arial" w:cs="Arial"/>
        </w:rPr>
        <w:t>-</w:t>
      </w:r>
      <w:r w:rsidR="00362955" w:rsidRPr="00864DDD">
        <w:rPr>
          <w:rFonts w:ascii="Arial" w:hAnsi="Arial" w:cs="Arial"/>
        </w:rPr>
        <w:t>994000000181</w:t>
      </w:r>
      <w:bookmarkEnd w:id="0"/>
      <w:r w:rsidR="00362955" w:rsidRPr="00864DDD">
        <w:rPr>
          <w:rFonts w:ascii="Arial" w:hAnsi="Arial" w:cs="Arial"/>
        </w:rPr>
        <w:t xml:space="preserve">, </w:t>
      </w:r>
      <w:r w:rsidR="00301A93" w:rsidRPr="00864DDD">
        <w:rPr>
          <w:rFonts w:ascii="Arial" w:hAnsi="Arial" w:cs="Arial"/>
        </w:rPr>
        <w:t>si presta cobertura temporal</w:t>
      </w:r>
      <w:r w:rsidR="0005091C" w:rsidRPr="00864DDD">
        <w:rPr>
          <w:rFonts w:ascii="Arial" w:hAnsi="Arial" w:cs="Arial"/>
        </w:rPr>
        <w:t xml:space="preserve"> y</w:t>
      </w:r>
      <w:r w:rsidR="00362955" w:rsidRPr="00864DDD">
        <w:rPr>
          <w:rFonts w:ascii="Arial" w:hAnsi="Arial" w:cs="Arial"/>
        </w:rPr>
        <w:t xml:space="preserve"> material para los hechos objeto de litigio, además,</w:t>
      </w:r>
      <w:r w:rsidR="0005091C" w:rsidRPr="00864DDD">
        <w:rPr>
          <w:rFonts w:ascii="Arial" w:hAnsi="Arial" w:cs="Arial"/>
        </w:rPr>
        <w:t xml:space="preserve"> aunque se pactó</w:t>
      </w:r>
      <w:r w:rsidR="00F35D79">
        <w:rPr>
          <w:rFonts w:ascii="Arial" w:hAnsi="Arial" w:cs="Arial"/>
        </w:rPr>
        <w:t xml:space="preserve"> explícitamente</w:t>
      </w:r>
      <w:r w:rsidR="00362955" w:rsidRPr="00864DDD">
        <w:rPr>
          <w:rFonts w:ascii="Arial" w:hAnsi="Arial" w:cs="Arial"/>
        </w:rPr>
        <w:t xml:space="preserve"> la exclusión octava</w:t>
      </w:r>
      <w:r w:rsidR="0005091C" w:rsidRPr="00864DDD">
        <w:rPr>
          <w:rFonts w:ascii="Arial" w:hAnsi="Arial" w:cs="Arial"/>
        </w:rPr>
        <w:t xml:space="preserve"> </w:t>
      </w:r>
      <w:r w:rsidR="00F35D79">
        <w:rPr>
          <w:rFonts w:ascii="Arial" w:hAnsi="Arial" w:cs="Arial"/>
        </w:rPr>
        <w:t>por la que se alegó la</w:t>
      </w:r>
      <w:r w:rsidR="00362955" w:rsidRPr="00864DDD">
        <w:rPr>
          <w:rFonts w:ascii="Arial" w:hAnsi="Arial" w:cs="Arial"/>
        </w:rPr>
        <w:t xml:space="preserve"> no cobertura </w:t>
      </w:r>
      <w:r w:rsidR="006C5B41">
        <w:rPr>
          <w:rFonts w:ascii="Arial" w:hAnsi="Arial" w:cs="Arial"/>
        </w:rPr>
        <w:t>al ser los hechos derivados de</w:t>
      </w:r>
      <w:r w:rsidR="00362955" w:rsidRPr="00864DDD">
        <w:rPr>
          <w:rFonts w:ascii="Arial" w:hAnsi="Arial" w:cs="Arial"/>
        </w:rPr>
        <w:t xml:space="preserve"> </w:t>
      </w:r>
      <w:r w:rsidR="00362955" w:rsidRPr="00F35D79">
        <w:rPr>
          <w:rFonts w:ascii="Arial" w:hAnsi="Arial" w:cs="Arial"/>
          <w:i/>
          <w:iCs/>
        </w:rPr>
        <w:t>“actos mal intencionados de terceros”</w:t>
      </w:r>
      <w:r w:rsidR="00C965C8">
        <w:rPr>
          <w:rFonts w:ascii="Arial" w:hAnsi="Arial" w:cs="Arial"/>
          <w:i/>
          <w:iCs/>
        </w:rPr>
        <w:t xml:space="preserve"> </w:t>
      </w:r>
      <w:r w:rsidR="00362955" w:rsidRPr="00864DDD">
        <w:rPr>
          <w:rFonts w:ascii="Arial" w:hAnsi="Arial" w:cs="Arial"/>
        </w:rPr>
        <w:t xml:space="preserve"> lo cual, es el eje central de la controversia, en el sentido que fue un homicidio a un menor de edad</w:t>
      </w:r>
      <w:r w:rsidR="00C5059F" w:rsidRPr="00864DDD">
        <w:rPr>
          <w:rFonts w:ascii="Arial" w:hAnsi="Arial" w:cs="Arial"/>
        </w:rPr>
        <w:t xml:space="preserve"> </w:t>
      </w:r>
      <w:r w:rsidR="00362955" w:rsidRPr="00864DDD">
        <w:rPr>
          <w:rFonts w:ascii="Arial" w:hAnsi="Arial" w:cs="Arial"/>
        </w:rPr>
        <w:t>el juicio de reproche contra el Estado</w:t>
      </w:r>
      <w:r w:rsidR="0005091C" w:rsidRPr="00864DDD">
        <w:rPr>
          <w:rFonts w:ascii="Arial" w:hAnsi="Arial" w:cs="Arial"/>
        </w:rPr>
        <w:t xml:space="preserve">, </w:t>
      </w:r>
      <w:r w:rsidR="00F35D79">
        <w:rPr>
          <w:rFonts w:ascii="Arial" w:hAnsi="Arial" w:cs="Arial"/>
        </w:rPr>
        <w:t>debe advertirse que</w:t>
      </w:r>
      <w:r w:rsidR="009E3225" w:rsidRPr="00864DDD">
        <w:rPr>
          <w:rFonts w:ascii="Arial" w:hAnsi="Arial" w:cs="Arial"/>
        </w:rPr>
        <w:t xml:space="preserve"> </w:t>
      </w:r>
      <w:r w:rsidR="0005091C" w:rsidRPr="00864DDD">
        <w:rPr>
          <w:rFonts w:ascii="Arial" w:hAnsi="Arial" w:cs="Arial"/>
        </w:rPr>
        <w:t>dicha exclusión no se pactó en la página 1 o 2 de la póliza</w:t>
      </w:r>
      <w:r w:rsidR="009E3225" w:rsidRPr="00864DDD">
        <w:rPr>
          <w:rFonts w:ascii="Arial" w:hAnsi="Arial" w:cs="Arial"/>
        </w:rPr>
        <w:t>.</w:t>
      </w:r>
    </w:p>
    <w:p w14:paraId="36C01E00" w14:textId="77777777" w:rsidR="00C5059F" w:rsidRPr="00864DDD" w:rsidRDefault="00C5059F" w:rsidP="00D513AB">
      <w:pPr>
        <w:spacing w:after="0" w:line="288" w:lineRule="auto"/>
        <w:jc w:val="both"/>
        <w:rPr>
          <w:rFonts w:ascii="Arial" w:hAnsi="Arial" w:cs="Arial"/>
        </w:rPr>
      </w:pPr>
    </w:p>
    <w:p w14:paraId="1378DE20" w14:textId="2C330D61" w:rsidR="00666A7E" w:rsidRDefault="00C409F0" w:rsidP="00D513AB">
      <w:pPr>
        <w:spacing w:after="0" w:line="288" w:lineRule="auto"/>
        <w:jc w:val="both"/>
        <w:rPr>
          <w:rFonts w:ascii="Arial" w:hAnsi="Arial" w:cs="Arial"/>
        </w:rPr>
      </w:pPr>
      <w:r w:rsidRPr="00864DDD">
        <w:rPr>
          <w:rFonts w:ascii="Arial" w:hAnsi="Arial" w:cs="Arial"/>
        </w:rPr>
        <w:t xml:space="preserve">La Póliza de </w:t>
      </w:r>
      <w:r w:rsidR="00863A11" w:rsidRPr="00864DDD">
        <w:rPr>
          <w:rFonts w:ascii="Arial" w:hAnsi="Arial" w:cs="Arial"/>
        </w:rPr>
        <w:t>Responsabilidad Civil Extracontractual</w:t>
      </w:r>
      <w:r w:rsidRPr="00864DDD">
        <w:rPr>
          <w:rFonts w:ascii="Arial" w:hAnsi="Arial" w:cs="Arial"/>
        </w:rPr>
        <w:t xml:space="preserve"> No.</w:t>
      </w:r>
      <w:r w:rsidR="0048602E" w:rsidRPr="00864DDD">
        <w:rPr>
          <w:rFonts w:ascii="Arial" w:hAnsi="Arial" w:cs="Arial"/>
        </w:rPr>
        <w:t xml:space="preserve"> </w:t>
      </w:r>
      <w:r w:rsidR="00C5059F" w:rsidRPr="00864DDD">
        <w:rPr>
          <w:rFonts w:ascii="Arial" w:hAnsi="Arial" w:cs="Arial"/>
        </w:rPr>
        <w:t>420</w:t>
      </w:r>
      <w:r w:rsidR="00E76C16" w:rsidRPr="00864DDD">
        <w:rPr>
          <w:rFonts w:ascii="Arial" w:hAnsi="Arial" w:cs="Arial"/>
        </w:rPr>
        <w:t>-</w:t>
      </w:r>
      <w:r w:rsidR="00C5059F" w:rsidRPr="00864DDD">
        <w:rPr>
          <w:rFonts w:ascii="Arial" w:hAnsi="Arial" w:cs="Arial"/>
        </w:rPr>
        <w:t>80</w:t>
      </w:r>
      <w:r w:rsidR="00E76C16" w:rsidRPr="00864DDD">
        <w:rPr>
          <w:rFonts w:ascii="Arial" w:hAnsi="Arial" w:cs="Arial"/>
        </w:rPr>
        <w:t>-</w:t>
      </w:r>
      <w:r w:rsidR="00C5059F" w:rsidRPr="00864DDD">
        <w:rPr>
          <w:rFonts w:ascii="Arial" w:hAnsi="Arial" w:cs="Arial"/>
        </w:rPr>
        <w:t>994000000181</w:t>
      </w:r>
      <w:r w:rsidR="00362955" w:rsidRPr="00864DDD">
        <w:rPr>
          <w:rFonts w:ascii="Arial" w:hAnsi="Arial" w:cs="Arial"/>
        </w:rPr>
        <w:t>,</w:t>
      </w:r>
      <w:r w:rsidR="00CE7E42">
        <w:rPr>
          <w:rFonts w:ascii="Arial" w:hAnsi="Arial" w:cs="Arial"/>
        </w:rPr>
        <w:t xml:space="preserve"> pactada en la modalidad de ocurrencia,</w:t>
      </w:r>
      <w:r w:rsidR="00362955" w:rsidRPr="00864DDD">
        <w:rPr>
          <w:rFonts w:ascii="Arial" w:hAnsi="Arial" w:cs="Arial"/>
        </w:rPr>
        <w:t xml:space="preserve"> </w:t>
      </w:r>
      <w:r w:rsidR="00863A11" w:rsidRPr="00864DDD">
        <w:rPr>
          <w:rFonts w:ascii="Arial" w:hAnsi="Arial" w:cs="Arial"/>
        </w:rPr>
        <w:t xml:space="preserve">presta </w:t>
      </w:r>
      <w:r w:rsidRPr="00864DDD">
        <w:rPr>
          <w:rFonts w:ascii="Arial" w:hAnsi="Arial" w:cs="Arial"/>
        </w:rPr>
        <w:t xml:space="preserve">cobertura temporal, dado que los hechos ocurrieron el </w:t>
      </w:r>
      <w:r w:rsidR="00362955" w:rsidRPr="00864DDD">
        <w:rPr>
          <w:rFonts w:ascii="Arial" w:hAnsi="Arial" w:cs="Arial"/>
        </w:rPr>
        <w:t>11 de agosto de 2020</w:t>
      </w:r>
      <w:r w:rsidR="0048602E" w:rsidRPr="00864DDD">
        <w:rPr>
          <w:rFonts w:ascii="Arial" w:hAnsi="Arial" w:cs="Arial"/>
        </w:rPr>
        <w:t xml:space="preserve"> (fecha </w:t>
      </w:r>
      <w:r w:rsidR="00362955" w:rsidRPr="00864DDD">
        <w:rPr>
          <w:rFonts w:ascii="Arial" w:hAnsi="Arial" w:cs="Arial"/>
        </w:rPr>
        <w:t>del homicidio al menor de edad</w:t>
      </w:r>
      <w:r w:rsidR="00C5059F" w:rsidRPr="00864DDD">
        <w:rPr>
          <w:rFonts w:ascii="Arial" w:hAnsi="Arial" w:cs="Arial"/>
        </w:rPr>
        <w:t xml:space="preserve"> </w:t>
      </w:r>
      <w:r w:rsidR="00CD4832" w:rsidRPr="00864DDD">
        <w:rPr>
          <w:rFonts w:ascii="Arial" w:hAnsi="Arial" w:cs="Arial"/>
        </w:rPr>
        <w:t>Luis Fernando Montaño Quiñones</w:t>
      </w:r>
      <w:r w:rsidR="00417737">
        <w:rPr>
          <w:rFonts w:ascii="Arial" w:hAnsi="Arial" w:cs="Arial"/>
        </w:rPr>
        <w:t xml:space="preserve">) </w:t>
      </w:r>
      <w:r w:rsidR="0048602E" w:rsidRPr="00864DDD">
        <w:rPr>
          <w:rFonts w:ascii="Arial" w:hAnsi="Arial" w:cs="Arial"/>
        </w:rPr>
        <w:t>es decir</w:t>
      </w:r>
      <w:r w:rsidR="00666A7E" w:rsidRPr="00864DDD">
        <w:rPr>
          <w:rFonts w:ascii="Arial" w:hAnsi="Arial" w:cs="Arial"/>
        </w:rPr>
        <w:t>,</w:t>
      </w:r>
      <w:r w:rsidR="0048602E" w:rsidRPr="00864DDD">
        <w:rPr>
          <w:rFonts w:ascii="Arial" w:hAnsi="Arial" w:cs="Arial"/>
        </w:rPr>
        <w:t xml:space="preserve"> dentro de la </w:t>
      </w:r>
      <w:r w:rsidRPr="00864DDD">
        <w:rPr>
          <w:rFonts w:ascii="Arial" w:hAnsi="Arial" w:cs="Arial"/>
        </w:rPr>
        <w:t xml:space="preserve">vigencia </w:t>
      </w:r>
      <w:r w:rsidR="0048602E" w:rsidRPr="00864DDD">
        <w:rPr>
          <w:rFonts w:ascii="Arial" w:hAnsi="Arial" w:cs="Arial"/>
        </w:rPr>
        <w:t>pactada, la cual fue</w:t>
      </w:r>
      <w:r w:rsidRPr="00864DDD">
        <w:rPr>
          <w:rFonts w:ascii="Arial" w:hAnsi="Arial" w:cs="Arial"/>
        </w:rPr>
        <w:t xml:space="preserve"> desde el </w:t>
      </w:r>
      <w:r w:rsidR="00C5059F" w:rsidRPr="00864DDD">
        <w:rPr>
          <w:rFonts w:ascii="Arial" w:hAnsi="Arial" w:cs="Arial"/>
        </w:rPr>
        <w:t>23 de junio de 2020 al 19 de mayo de 2021</w:t>
      </w:r>
      <w:r w:rsidR="00417737">
        <w:rPr>
          <w:rFonts w:ascii="Arial" w:hAnsi="Arial" w:cs="Arial"/>
        </w:rPr>
        <w:t xml:space="preserve">. </w:t>
      </w:r>
      <w:r w:rsidR="0005091C" w:rsidRPr="00864DDD">
        <w:rPr>
          <w:rFonts w:ascii="Arial" w:hAnsi="Arial" w:cs="Arial"/>
        </w:rPr>
        <w:t>En cuanto a la cobertura material</w:t>
      </w:r>
      <w:r w:rsidRPr="00864DDD">
        <w:rPr>
          <w:rFonts w:ascii="Arial" w:hAnsi="Arial" w:cs="Arial"/>
        </w:rPr>
        <w:t>,</w:t>
      </w:r>
      <w:r w:rsidR="0005091C" w:rsidRPr="00864DDD">
        <w:rPr>
          <w:rFonts w:ascii="Arial" w:hAnsi="Arial" w:cs="Arial"/>
        </w:rPr>
        <w:t xml:space="preserve"> presta cobertura</w:t>
      </w:r>
      <w:r w:rsidRPr="00864DDD">
        <w:rPr>
          <w:rFonts w:ascii="Arial" w:hAnsi="Arial" w:cs="Arial"/>
        </w:rPr>
        <w:t xml:space="preserve"> </w:t>
      </w:r>
      <w:r w:rsidR="0048602E" w:rsidRPr="00864DDD">
        <w:rPr>
          <w:rFonts w:ascii="Arial" w:hAnsi="Arial" w:cs="Arial"/>
        </w:rPr>
        <w:t>debido a que el amparo fue</w:t>
      </w:r>
      <w:r w:rsidR="00C5059F" w:rsidRPr="00864DDD">
        <w:rPr>
          <w:rFonts w:ascii="Arial" w:hAnsi="Arial" w:cs="Arial"/>
        </w:rPr>
        <w:t xml:space="preserve"> “</w:t>
      </w:r>
      <w:r w:rsidR="00C5059F" w:rsidRPr="00864DDD">
        <w:rPr>
          <w:rFonts w:ascii="Arial" w:hAnsi="Arial" w:cs="Arial"/>
          <w:i/>
          <w:iCs/>
        </w:rPr>
        <w:t>los perjuicios patrimoniales y extrapatrimoniales incluyendo los perjuicios morales y de vida en relación y el lucro cesante, que cause a terceros el asegurado, con motivo de la responsabilidad civil en que incurra o le sea imputable de acuerdo con la Ley colombiana, durante el giro normal de sus actividades</w:t>
      </w:r>
      <w:r w:rsidR="00C5059F" w:rsidRPr="00864DDD">
        <w:rPr>
          <w:rFonts w:ascii="Arial" w:hAnsi="Arial" w:cs="Arial"/>
        </w:rPr>
        <w:t>”</w:t>
      </w:r>
      <w:r w:rsidR="002F1C8E" w:rsidRPr="00864DDD">
        <w:rPr>
          <w:rFonts w:ascii="Arial" w:hAnsi="Arial" w:cs="Arial"/>
        </w:rPr>
        <w:t>. Si bien es cierto,</w:t>
      </w:r>
      <w:r w:rsidR="00A61207" w:rsidRPr="00864DDD">
        <w:rPr>
          <w:rFonts w:ascii="Arial" w:hAnsi="Arial" w:cs="Arial"/>
        </w:rPr>
        <w:t xml:space="preserve"> en la demanda se imputa responsabilidad al Estado, </w:t>
      </w:r>
      <w:r w:rsidR="00F63D1F" w:rsidRPr="00864DDD">
        <w:rPr>
          <w:rFonts w:ascii="Arial" w:hAnsi="Arial" w:cs="Arial"/>
        </w:rPr>
        <w:t xml:space="preserve">lo ocurrido en el caso en concreto fue responsabilidad </w:t>
      </w:r>
      <w:r w:rsidR="00824CF7">
        <w:rPr>
          <w:rFonts w:ascii="Arial" w:hAnsi="Arial" w:cs="Arial"/>
        </w:rPr>
        <w:t>terceros</w:t>
      </w:r>
      <w:r w:rsidR="00F63D1F" w:rsidRPr="00864DDD">
        <w:rPr>
          <w:rFonts w:ascii="Arial" w:hAnsi="Arial" w:cs="Arial"/>
        </w:rPr>
        <w:t xml:space="preserve">, </w:t>
      </w:r>
      <w:r w:rsidR="00824CF7">
        <w:rPr>
          <w:rFonts w:ascii="Arial" w:hAnsi="Arial" w:cs="Arial"/>
        </w:rPr>
        <w:t>que</w:t>
      </w:r>
      <w:r w:rsidR="0066217C" w:rsidRPr="00864DDD">
        <w:rPr>
          <w:rFonts w:ascii="Arial" w:hAnsi="Arial" w:cs="Arial"/>
        </w:rPr>
        <w:t xml:space="preserve"> prestaba</w:t>
      </w:r>
      <w:r w:rsidR="00824CF7">
        <w:rPr>
          <w:rFonts w:ascii="Arial" w:hAnsi="Arial" w:cs="Arial"/>
        </w:rPr>
        <w:t>n</w:t>
      </w:r>
      <w:r w:rsidR="0066217C" w:rsidRPr="00864DDD">
        <w:rPr>
          <w:rFonts w:ascii="Arial" w:hAnsi="Arial" w:cs="Arial"/>
        </w:rPr>
        <w:t xml:space="preserve"> el servicio de seguridad para un predio que es propiedad privada</w:t>
      </w:r>
      <w:r w:rsidR="00DF27BD">
        <w:rPr>
          <w:rFonts w:ascii="Arial" w:hAnsi="Arial" w:cs="Arial"/>
        </w:rPr>
        <w:t>, sujetos</w:t>
      </w:r>
      <w:r w:rsidR="00CF5E21">
        <w:rPr>
          <w:rFonts w:ascii="Arial" w:hAnsi="Arial" w:cs="Arial"/>
        </w:rPr>
        <w:t xml:space="preserve"> que</w:t>
      </w:r>
      <w:r w:rsidR="00DF27BD">
        <w:rPr>
          <w:rFonts w:ascii="Arial" w:hAnsi="Arial" w:cs="Arial"/>
        </w:rPr>
        <w:t xml:space="preserve"> ya fueron condenados por esos hechos </w:t>
      </w:r>
      <w:r w:rsidR="0066217C" w:rsidRPr="00864DDD">
        <w:rPr>
          <w:rFonts w:ascii="Arial" w:hAnsi="Arial" w:cs="Arial"/>
        </w:rPr>
        <w:t xml:space="preserve">y que en tal sentido, </w:t>
      </w:r>
      <w:r w:rsidR="0005091C" w:rsidRPr="00864DDD">
        <w:rPr>
          <w:rFonts w:ascii="Arial" w:hAnsi="Arial" w:cs="Arial"/>
        </w:rPr>
        <w:t>podría eximir</w:t>
      </w:r>
      <w:r w:rsidR="0066217C" w:rsidRPr="00864DDD">
        <w:rPr>
          <w:rFonts w:ascii="Arial" w:hAnsi="Arial" w:cs="Arial"/>
        </w:rPr>
        <w:t xml:space="preserve"> la ausencia de responsabilidad del Estado</w:t>
      </w:r>
      <w:r w:rsidR="005A47BE" w:rsidRPr="00864DDD">
        <w:rPr>
          <w:rFonts w:ascii="Arial" w:hAnsi="Arial" w:cs="Arial"/>
        </w:rPr>
        <w:t>, no obstante,</w:t>
      </w:r>
      <w:r w:rsidR="0005091C" w:rsidRPr="00864DDD">
        <w:rPr>
          <w:rFonts w:ascii="Arial" w:hAnsi="Arial" w:cs="Arial"/>
        </w:rPr>
        <w:t xml:space="preserve"> no debe perderse de vista, que el alcalde debe ejercer funciones de policía, lo cual, podría llegar a acreditarse por la parte actora fue omitido</w:t>
      </w:r>
      <w:r w:rsidR="00F63D1F" w:rsidRPr="00864DDD">
        <w:rPr>
          <w:rFonts w:ascii="Arial" w:hAnsi="Arial" w:cs="Arial"/>
        </w:rPr>
        <w:t xml:space="preserve">. </w:t>
      </w:r>
      <w:r w:rsidR="0005091C" w:rsidRPr="00864DDD">
        <w:rPr>
          <w:rFonts w:ascii="Arial" w:hAnsi="Arial" w:cs="Arial"/>
        </w:rPr>
        <w:t>Sin embargo</w:t>
      </w:r>
      <w:r w:rsidR="00F63D1F" w:rsidRPr="00864DDD">
        <w:rPr>
          <w:rFonts w:ascii="Arial" w:hAnsi="Arial" w:cs="Arial"/>
        </w:rPr>
        <w:t xml:space="preserve">, </w:t>
      </w:r>
      <w:r w:rsidR="00CF5E21">
        <w:rPr>
          <w:rFonts w:ascii="Arial" w:hAnsi="Arial" w:cs="Arial"/>
        </w:rPr>
        <w:t xml:space="preserve">también debe tenerse en cuenta, </w:t>
      </w:r>
      <w:r w:rsidR="00F63D1F" w:rsidRPr="00864DDD">
        <w:rPr>
          <w:rFonts w:ascii="Arial" w:hAnsi="Arial" w:cs="Arial"/>
        </w:rPr>
        <w:t xml:space="preserve">como se indicó con anterioridad, </w:t>
      </w:r>
      <w:r w:rsidR="00BF27EF">
        <w:rPr>
          <w:rFonts w:ascii="Arial" w:hAnsi="Arial" w:cs="Arial"/>
        </w:rPr>
        <w:t>que se</w:t>
      </w:r>
      <w:r w:rsidR="00F63D1F" w:rsidRPr="00864DDD">
        <w:rPr>
          <w:rFonts w:ascii="Arial" w:hAnsi="Arial" w:cs="Arial"/>
        </w:rPr>
        <w:t xml:space="preserve"> </w:t>
      </w:r>
      <w:r w:rsidR="00BF27EF" w:rsidRPr="00864DDD">
        <w:rPr>
          <w:rFonts w:ascii="Arial" w:hAnsi="Arial" w:cs="Arial"/>
        </w:rPr>
        <w:t>pactó</w:t>
      </w:r>
      <w:r w:rsidR="00F63D1F" w:rsidRPr="00864DDD">
        <w:rPr>
          <w:rFonts w:ascii="Arial" w:hAnsi="Arial" w:cs="Arial"/>
        </w:rPr>
        <w:t xml:space="preserve"> la exclusión N</w:t>
      </w:r>
      <w:r w:rsidR="00BF27EF">
        <w:rPr>
          <w:rFonts w:ascii="Arial" w:hAnsi="Arial" w:cs="Arial"/>
        </w:rPr>
        <w:t xml:space="preserve">o. </w:t>
      </w:r>
      <w:r w:rsidR="0066217C" w:rsidRPr="00864DDD">
        <w:rPr>
          <w:rFonts w:ascii="Arial" w:hAnsi="Arial" w:cs="Arial"/>
        </w:rPr>
        <w:t>8</w:t>
      </w:r>
      <w:r w:rsidR="00F63D1F" w:rsidRPr="00864DDD">
        <w:rPr>
          <w:rFonts w:ascii="Arial" w:hAnsi="Arial" w:cs="Arial"/>
        </w:rPr>
        <w:t xml:space="preserve"> “</w:t>
      </w:r>
      <w:r w:rsidR="0066217C" w:rsidRPr="00BF27EF">
        <w:rPr>
          <w:rFonts w:ascii="Arial" w:hAnsi="Arial" w:cs="Arial"/>
          <w:i/>
          <w:iCs/>
        </w:rPr>
        <w:t xml:space="preserve">Muerte, lesiones personales o daños materiales causados directa o indirectamente por guerras, invasión, huelga, motines, conmoción civil, perturbación del orden público, coacción, manifestaciones públicas, tumultos, decomiso o destrucción de bienes por parte de las autoridades, disturbios políticos y sabotajes con explosivos o actividades guerrilleras, </w:t>
      </w:r>
      <w:r w:rsidR="0066217C" w:rsidRPr="00BF27EF">
        <w:rPr>
          <w:rFonts w:ascii="Arial" w:hAnsi="Arial" w:cs="Arial"/>
          <w:b/>
          <w:bCs/>
          <w:i/>
          <w:iCs/>
        </w:rPr>
        <w:t>actos mal intencionados de terceros</w:t>
      </w:r>
      <w:r w:rsidR="0066217C" w:rsidRPr="00BF27EF">
        <w:rPr>
          <w:rFonts w:ascii="Arial" w:hAnsi="Arial" w:cs="Arial"/>
          <w:i/>
          <w:iCs/>
        </w:rPr>
        <w:t xml:space="preserve"> (AMIT) y terrorismo</w:t>
      </w:r>
      <w:r w:rsidR="00F63D1F" w:rsidRPr="00BF27EF">
        <w:rPr>
          <w:rFonts w:ascii="Arial" w:hAnsi="Arial" w:cs="Arial"/>
          <w:i/>
          <w:iCs/>
        </w:rPr>
        <w:t>”</w:t>
      </w:r>
      <w:r w:rsidR="00BF27EF">
        <w:rPr>
          <w:rFonts w:ascii="Arial" w:hAnsi="Arial" w:cs="Arial"/>
        </w:rPr>
        <w:t>.</w:t>
      </w:r>
      <w:r w:rsidR="00F63D1F" w:rsidRPr="00864DDD">
        <w:rPr>
          <w:rFonts w:ascii="Arial" w:hAnsi="Arial" w:cs="Arial"/>
        </w:rPr>
        <w:t xml:space="preserve"> </w:t>
      </w:r>
      <w:r w:rsidR="00666A7E" w:rsidRPr="00864DDD">
        <w:rPr>
          <w:rFonts w:ascii="Arial" w:hAnsi="Arial" w:cs="Arial"/>
        </w:rPr>
        <w:t xml:space="preserve">Lo que </w:t>
      </w:r>
      <w:r w:rsidR="0005091C" w:rsidRPr="00864DDD">
        <w:rPr>
          <w:rFonts w:ascii="Arial" w:hAnsi="Arial" w:cs="Arial"/>
        </w:rPr>
        <w:t xml:space="preserve">podría llegar a evitar la afectación de la póliza, pero, se aclara que como dicha exclusión fue pactada en páginas distintas a la 1 o 2 de la póliza, dependerá del criterio del juez </w:t>
      </w:r>
      <w:r w:rsidR="00D669E5">
        <w:rPr>
          <w:rFonts w:ascii="Arial" w:hAnsi="Arial" w:cs="Arial"/>
        </w:rPr>
        <w:t>declarar su prosperidad o ineficacia.</w:t>
      </w:r>
    </w:p>
    <w:p w14:paraId="2B06E871" w14:textId="77777777" w:rsidR="00AE3037" w:rsidRDefault="00AE3037" w:rsidP="00D513AB">
      <w:pPr>
        <w:spacing w:after="0" w:line="288" w:lineRule="auto"/>
        <w:jc w:val="both"/>
        <w:rPr>
          <w:rFonts w:ascii="Arial" w:hAnsi="Arial" w:cs="Arial"/>
        </w:rPr>
      </w:pPr>
    </w:p>
    <w:p w14:paraId="5A988A2C" w14:textId="165F1C88" w:rsidR="00AE3037" w:rsidRPr="00864DDD" w:rsidRDefault="008C64D3" w:rsidP="00D513A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relación a las exclusiones, debe indicarse que, e</w:t>
      </w:r>
      <w:r w:rsidRPr="008C64D3">
        <w:rPr>
          <w:rFonts w:ascii="Arial" w:hAnsi="Arial" w:cs="Arial"/>
        </w:rPr>
        <w:t xml:space="preserve">n diversos pronunciamientos, la CSJ ha </w:t>
      </w:r>
      <w:r w:rsidR="0044770A">
        <w:rPr>
          <w:rFonts w:ascii="Arial" w:hAnsi="Arial" w:cs="Arial"/>
        </w:rPr>
        <w:t>interpretado</w:t>
      </w:r>
      <w:r w:rsidR="009459C7">
        <w:rPr>
          <w:rFonts w:ascii="Arial" w:hAnsi="Arial" w:cs="Arial"/>
        </w:rPr>
        <w:t xml:space="preserve">, con base en lo reglado en el </w:t>
      </w:r>
      <w:r w:rsidR="009459C7" w:rsidRPr="009459C7">
        <w:rPr>
          <w:rFonts w:ascii="Arial" w:hAnsi="Arial" w:cs="Arial"/>
        </w:rPr>
        <w:t>artículo 184 del Estatuto Orgánico del Sistema Financiero</w:t>
      </w:r>
      <w:r w:rsidRPr="008C64D3">
        <w:rPr>
          <w:rFonts w:ascii="Arial" w:hAnsi="Arial" w:cs="Arial"/>
        </w:rPr>
        <w:t xml:space="preserve"> que, </w:t>
      </w:r>
      <w:r w:rsidR="00E86CFF" w:rsidRPr="00E86CFF">
        <w:rPr>
          <w:rFonts w:ascii="Arial" w:hAnsi="Arial" w:cs="Arial"/>
        </w:rPr>
        <w:t>respecto a la ubicación de los amparos y exclusiones a partir de la primera página de la póliza</w:t>
      </w:r>
      <w:r w:rsidR="00E86CFF">
        <w:rPr>
          <w:rFonts w:ascii="Arial" w:hAnsi="Arial" w:cs="Arial"/>
        </w:rPr>
        <w:t xml:space="preserve"> o</w:t>
      </w:r>
      <w:r w:rsidRPr="008C64D3">
        <w:rPr>
          <w:rFonts w:ascii="Arial" w:hAnsi="Arial" w:cs="Arial"/>
        </w:rPr>
        <w:t xml:space="preserve"> a partir de aquella, aunque sin decantarse expresamente por ninguna de las dos posturas. Así mismo,</w:t>
      </w:r>
      <w:r w:rsidR="00F549F7">
        <w:rPr>
          <w:rFonts w:ascii="Arial" w:hAnsi="Arial" w:cs="Arial"/>
        </w:rPr>
        <w:t xml:space="preserve"> </w:t>
      </w:r>
      <w:r w:rsidR="00EC5F93">
        <w:rPr>
          <w:rFonts w:ascii="Arial" w:hAnsi="Arial" w:cs="Arial"/>
        </w:rPr>
        <w:t>esta tesis</w:t>
      </w:r>
      <w:r w:rsidRPr="008C64D3">
        <w:rPr>
          <w:rFonts w:ascii="Arial" w:hAnsi="Arial" w:cs="Arial"/>
        </w:rPr>
        <w:t xml:space="preserve"> ha</w:t>
      </w:r>
      <w:r w:rsidR="00EC5F93">
        <w:rPr>
          <w:rFonts w:ascii="Arial" w:hAnsi="Arial" w:cs="Arial"/>
        </w:rPr>
        <w:t xml:space="preserve"> sido</w:t>
      </w:r>
      <w:r w:rsidRPr="008C64D3">
        <w:rPr>
          <w:rFonts w:ascii="Arial" w:hAnsi="Arial" w:cs="Arial"/>
        </w:rPr>
        <w:t xml:space="preserve"> respaldad</w:t>
      </w:r>
      <w:r w:rsidR="00EC5F93">
        <w:rPr>
          <w:rFonts w:ascii="Arial" w:hAnsi="Arial" w:cs="Arial"/>
        </w:rPr>
        <w:t>a</w:t>
      </w:r>
      <w:r w:rsidR="00F549F7">
        <w:rPr>
          <w:rFonts w:ascii="Arial" w:hAnsi="Arial" w:cs="Arial"/>
        </w:rPr>
        <w:t>,</w:t>
      </w:r>
      <w:r w:rsidRPr="008C64D3">
        <w:rPr>
          <w:rFonts w:ascii="Arial" w:hAnsi="Arial" w:cs="Arial"/>
        </w:rPr>
        <w:t xml:space="preserve"> por vía de tutela </w:t>
      </w:r>
      <w:r w:rsidR="00EC5F93">
        <w:rPr>
          <w:rFonts w:ascii="Arial" w:hAnsi="Arial" w:cs="Arial"/>
        </w:rPr>
        <w:t xml:space="preserve">en la que se ha declarado </w:t>
      </w:r>
      <w:r w:rsidRPr="008C64D3">
        <w:rPr>
          <w:rFonts w:ascii="Arial" w:hAnsi="Arial" w:cs="Arial"/>
        </w:rPr>
        <w:t>la ineficacia de exclusiones ubicadas en anexos de la póliza.</w:t>
      </w:r>
      <w:r w:rsidR="006C198F">
        <w:rPr>
          <w:rFonts w:ascii="Arial" w:hAnsi="Arial" w:cs="Arial"/>
        </w:rPr>
        <w:t xml:space="preserve"> En el caso concreto</w:t>
      </w:r>
      <w:r w:rsidR="00971DDD">
        <w:rPr>
          <w:rFonts w:ascii="Arial" w:hAnsi="Arial" w:cs="Arial"/>
        </w:rPr>
        <w:t>,</w:t>
      </w:r>
      <w:r w:rsidR="006C198F">
        <w:rPr>
          <w:rFonts w:ascii="Arial" w:hAnsi="Arial" w:cs="Arial"/>
        </w:rPr>
        <w:t xml:space="preserve"> la exclusió</w:t>
      </w:r>
      <w:r w:rsidR="007327B5">
        <w:rPr>
          <w:rFonts w:ascii="Arial" w:hAnsi="Arial" w:cs="Arial"/>
        </w:rPr>
        <w:t xml:space="preserve">n No. 8, </w:t>
      </w:r>
      <w:r w:rsidR="00152573">
        <w:rPr>
          <w:rFonts w:ascii="Arial" w:hAnsi="Arial" w:cs="Arial"/>
        </w:rPr>
        <w:t xml:space="preserve">se encuentra </w:t>
      </w:r>
      <w:r w:rsidR="00643810">
        <w:rPr>
          <w:rFonts w:ascii="Arial" w:hAnsi="Arial" w:cs="Arial"/>
        </w:rPr>
        <w:t>contenida</w:t>
      </w:r>
      <w:r w:rsidR="00152573">
        <w:rPr>
          <w:rFonts w:ascii="Arial" w:hAnsi="Arial" w:cs="Arial"/>
        </w:rPr>
        <w:t xml:space="preserve"> en la </w:t>
      </w:r>
      <w:r w:rsidR="00971DDD">
        <w:rPr>
          <w:rFonts w:ascii="Arial" w:hAnsi="Arial" w:cs="Arial"/>
        </w:rPr>
        <w:t>página</w:t>
      </w:r>
      <w:r w:rsidR="00152573">
        <w:rPr>
          <w:rFonts w:ascii="Arial" w:hAnsi="Arial" w:cs="Arial"/>
        </w:rPr>
        <w:t xml:space="preserve"> 8 de</w:t>
      </w:r>
      <w:r w:rsidR="00097C3D">
        <w:rPr>
          <w:rFonts w:ascii="Arial" w:hAnsi="Arial" w:cs="Arial"/>
        </w:rPr>
        <w:t xml:space="preserve">l clausulado general aplicable para la </w:t>
      </w:r>
      <w:r w:rsidR="00097C3D" w:rsidRPr="00864DDD">
        <w:rPr>
          <w:rFonts w:ascii="Arial" w:hAnsi="Arial" w:cs="Arial"/>
        </w:rPr>
        <w:t>Póliza de Responsabilidad Civil Extracontractual No. 420-80-994000000181</w:t>
      </w:r>
      <w:r w:rsidR="00B175A4">
        <w:rPr>
          <w:rFonts w:ascii="Arial" w:hAnsi="Arial" w:cs="Arial"/>
        </w:rPr>
        <w:t>. R</w:t>
      </w:r>
      <w:r w:rsidR="00097C3D">
        <w:rPr>
          <w:rFonts w:ascii="Arial" w:hAnsi="Arial" w:cs="Arial"/>
        </w:rPr>
        <w:t xml:space="preserve">azón </w:t>
      </w:r>
      <w:r w:rsidR="005975AA">
        <w:rPr>
          <w:rFonts w:ascii="Arial" w:hAnsi="Arial" w:cs="Arial"/>
        </w:rPr>
        <w:t>la cual la cobertura material</w:t>
      </w:r>
      <w:r w:rsidR="00D669E5">
        <w:rPr>
          <w:rFonts w:ascii="Arial" w:hAnsi="Arial" w:cs="Arial"/>
        </w:rPr>
        <w:t xml:space="preserve"> </w:t>
      </w:r>
      <w:r w:rsidR="00B175A4">
        <w:rPr>
          <w:rFonts w:ascii="Arial" w:hAnsi="Arial" w:cs="Arial"/>
        </w:rPr>
        <w:t xml:space="preserve">del contrato de seguros esta </w:t>
      </w:r>
      <w:r w:rsidR="005975AA">
        <w:rPr>
          <w:rFonts w:ascii="Arial" w:hAnsi="Arial" w:cs="Arial"/>
        </w:rPr>
        <w:t xml:space="preserve">dependerá </w:t>
      </w:r>
      <w:r w:rsidR="009F61F4">
        <w:rPr>
          <w:rFonts w:ascii="Arial" w:hAnsi="Arial" w:cs="Arial"/>
        </w:rPr>
        <w:t>de la prosperidad de dicha exclusión y de la valoración que realice el despacho</w:t>
      </w:r>
      <w:r w:rsidR="009853A5">
        <w:rPr>
          <w:rFonts w:ascii="Arial" w:hAnsi="Arial" w:cs="Arial"/>
        </w:rPr>
        <w:t xml:space="preserve"> en ese sentido.</w:t>
      </w:r>
    </w:p>
    <w:p w14:paraId="79AB17C2" w14:textId="77777777" w:rsidR="00666A7E" w:rsidRPr="00864DDD" w:rsidRDefault="00666A7E" w:rsidP="00D513AB">
      <w:pPr>
        <w:spacing w:after="0" w:line="288" w:lineRule="auto"/>
        <w:jc w:val="both"/>
        <w:rPr>
          <w:rFonts w:ascii="Arial" w:hAnsi="Arial" w:cs="Arial"/>
        </w:rPr>
      </w:pPr>
    </w:p>
    <w:p w14:paraId="6E39D317" w14:textId="385D7D93" w:rsidR="000A11E0" w:rsidRPr="00864DDD" w:rsidRDefault="00C409F0" w:rsidP="00D513AB">
      <w:pPr>
        <w:spacing w:after="0" w:line="288" w:lineRule="auto"/>
        <w:jc w:val="both"/>
        <w:rPr>
          <w:rFonts w:ascii="Arial" w:hAnsi="Arial" w:cs="Arial"/>
        </w:rPr>
      </w:pPr>
      <w:r w:rsidRPr="00864DDD">
        <w:rPr>
          <w:rFonts w:ascii="Arial" w:hAnsi="Arial" w:cs="Arial"/>
        </w:rPr>
        <w:t>Frente a la responsabilidad de</w:t>
      </w:r>
      <w:r w:rsidR="00F6698B" w:rsidRPr="00864DDD">
        <w:rPr>
          <w:rFonts w:ascii="Arial" w:hAnsi="Arial" w:cs="Arial"/>
        </w:rPr>
        <w:t>l Distrito Especial de Santiago de Cali</w:t>
      </w:r>
      <w:r w:rsidRPr="00864DDD">
        <w:rPr>
          <w:rFonts w:ascii="Arial" w:hAnsi="Arial" w:cs="Arial"/>
        </w:rPr>
        <w:t xml:space="preserve">,  se exalta que </w:t>
      </w:r>
      <w:r w:rsidR="00C858CA" w:rsidRPr="00864DDD">
        <w:rPr>
          <w:rFonts w:ascii="Arial" w:hAnsi="Arial" w:cs="Arial"/>
        </w:rPr>
        <w:t>dependerá de la valoración que realice el juez de los elementos materiales probatorios,</w:t>
      </w:r>
      <w:r w:rsidR="00935129" w:rsidRPr="00864DDD">
        <w:rPr>
          <w:rFonts w:ascii="Arial" w:hAnsi="Arial" w:cs="Arial"/>
        </w:rPr>
        <w:t xml:space="preserve"> </w:t>
      </w:r>
      <w:r w:rsidRPr="00864DDD">
        <w:rPr>
          <w:rFonts w:ascii="Arial" w:hAnsi="Arial" w:cs="Arial"/>
        </w:rPr>
        <w:t xml:space="preserve">la configuración de responsabilidad </w:t>
      </w:r>
      <w:r w:rsidR="00666A7E" w:rsidRPr="00864DDD">
        <w:rPr>
          <w:rFonts w:ascii="Arial" w:hAnsi="Arial" w:cs="Arial"/>
        </w:rPr>
        <w:t>civil extracontractual</w:t>
      </w:r>
      <w:r w:rsidRPr="00864DDD">
        <w:rPr>
          <w:rFonts w:ascii="Arial" w:hAnsi="Arial" w:cs="Arial"/>
        </w:rPr>
        <w:t>, debido a que</w:t>
      </w:r>
      <w:r w:rsidR="00C858CA" w:rsidRPr="00864DDD">
        <w:rPr>
          <w:rFonts w:ascii="Arial" w:hAnsi="Arial" w:cs="Arial"/>
        </w:rPr>
        <w:t>, si bien</w:t>
      </w:r>
      <w:r w:rsidRPr="00864DDD">
        <w:rPr>
          <w:rFonts w:ascii="Arial" w:hAnsi="Arial" w:cs="Arial"/>
        </w:rPr>
        <w:t xml:space="preserve"> </w:t>
      </w:r>
      <w:r w:rsidR="008C7947">
        <w:rPr>
          <w:rFonts w:ascii="Arial" w:hAnsi="Arial" w:cs="Arial"/>
        </w:rPr>
        <w:t>los hechos ocurridos</w:t>
      </w:r>
      <w:r w:rsidR="00666A7E" w:rsidRPr="00864DDD">
        <w:rPr>
          <w:rFonts w:ascii="Arial" w:hAnsi="Arial" w:cs="Arial"/>
        </w:rPr>
        <w:t xml:space="preserve"> el </w:t>
      </w:r>
      <w:r w:rsidR="00F6698B" w:rsidRPr="00864DDD">
        <w:rPr>
          <w:rFonts w:ascii="Arial" w:hAnsi="Arial" w:cs="Arial"/>
        </w:rPr>
        <w:t>11 de agosto de 2020</w:t>
      </w:r>
      <w:r w:rsidR="00666A7E" w:rsidRPr="00864DDD">
        <w:rPr>
          <w:rFonts w:ascii="Arial" w:hAnsi="Arial" w:cs="Arial"/>
        </w:rPr>
        <w:t>,</w:t>
      </w:r>
      <w:r w:rsidR="007D3CBB">
        <w:rPr>
          <w:rFonts w:ascii="Arial" w:hAnsi="Arial" w:cs="Arial"/>
        </w:rPr>
        <w:t xml:space="preserve"> fueron perpetrados por terceros</w:t>
      </w:r>
      <w:r w:rsidR="00666A7E" w:rsidRPr="00864DDD">
        <w:rPr>
          <w:rFonts w:ascii="Arial" w:hAnsi="Arial" w:cs="Arial"/>
        </w:rPr>
        <w:t>, quien</w:t>
      </w:r>
      <w:r w:rsidR="007D3CBB">
        <w:rPr>
          <w:rFonts w:ascii="Arial" w:hAnsi="Arial" w:cs="Arial"/>
        </w:rPr>
        <w:t>es</w:t>
      </w:r>
      <w:r w:rsidR="00666A7E" w:rsidRPr="00864DDD">
        <w:rPr>
          <w:rFonts w:ascii="Arial" w:hAnsi="Arial" w:cs="Arial"/>
        </w:rPr>
        <w:t xml:space="preserve"> </w:t>
      </w:r>
      <w:r w:rsidR="00F6698B" w:rsidRPr="00864DDD">
        <w:rPr>
          <w:rFonts w:ascii="Arial" w:hAnsi="Arial" w:cs="Arial"/>
        </w:rPr>
        <w:t>cometi</w:t>
      </w:r>
      <w:r w:rsidR="007D3CBB">
        <w:rPr>
          <w:rFonts w:ascii="Arial" w:hAnsi="Arial" w:cs="Arial"/>
        </w:rPr>
        <w:t>eron</w:t>
      </w:r>
      <w:r w:rsidR="00F6698B" w:rsidRPr="00864DDD">
        <w:rPr>
          <w:rFonts w:ascii="Arial" w:hAnsi="Arial" w:cs="Arial"/>
        </w:rPr>
        <w:t xml:space="preserve"> el crimen, </w:t>
      </w:r>
      <w:r w:rsidR="00585BDB">
        <w:rPr>
          <w:rFonts w:ascii="Arial" w:hAnsi="Arial" w:cs="Arial"/>
        </w:rPr>
        <w:t xml:space="preserve">de los cuales uno de ellos </w:t>
      </w:r>
      <w:r w:rsidR="00F6698B" w:rsidRPr="00864DDD">
        <w:rPr>
          <w:rFonts w:ascii="Arial" w:hAnsi="Arial" w:cs="Arial"/>
        </w:rPr>
        <w:t>pese a ser una persona privada de la libertad lo hizo ejerciendo su labor de vigilante de un predio privado</w:t>
      </w:r>
      <w:r w:rsidR="00612E60" w:rsidRPr="00864DDD">
        <w:rPr>
          <w:rFonts w:ascii="Arial" w:hAnsi="Arial" w:cs="Arial"/>
        </w:rPr>
        <w:t xml:space="preserve"> junto con dos de sus compañeros</w:t>
      </w:r>
      <w:r w:rsidR="00C858CA" w:rsidRPr="00864DDD">
        <w:rPr>
          <w:rFonts w:ascii="Arial" w:hAnsi="Arial" w:cs="Arial"/>
        </w:rPr>
        <w:t xml:space="preserve">, las </w:t>
      </w:r>
      <w:r w:rsidR="0005091C" w:rsidRPr="00864DDD">
        <w:rPr>
          <w:rFonts w:ascii="Arial" w:hAnsi="Arial" w:cs="Arial"/>
        </w:rPr>
        <w:t xml:space="preserve">funciones de policía que ejerce el alcalde, y que es juicio de reproche por la parte actora del proceso objeto de estudio, </w:t>
      </w:r>
      <w:r w:rsidR="00C858CA" w:rsidRPr="00864DDD">
        <w:rPr>
          <w:rFonts w:ascii="Arial" w:hAnsi="Arial" w:cs="Arial"/>
        </w:rPr>
        <w:t>podría</w:t>
      </w:r>
      <w:r w:rsidR="0005091C" w:rsidRPr="00864DDD">
        <w:rPr>
          <w:rFonts w:ascii="Arial" w:hAnsi="Arial" w:cs="Arial"/>
        </w:rPr>
        <w:t xml:space="preserve"> acreditarse, </w:t>
      </w:r>
      <w:r w:rsidR="00C858CA" w:rsidRPr="00864DDD">
        <w:rPr>
          <w:rFonts w:ascii="Arial" w:hAnsi="Arial" w:cs="Arial"/>
        </w:rPr>
        <w:t xml:space="preserve">y en tal sentido, </w:t>
      </w:r>
      <w:r w:rsidR="0005091C" w:rsidRPr="00864DDD">
        <w:rPr>
          <w:rFonts w:ascii="Arial" w:hAnsi="Arial" w:cs="Arial"/>
        </w:rPr>
        <w:t xml:space="preserve">causaría responsabilidad en cabeza del asegurado. </w:t>
      </w:r>
      <w:r w:rsidR="00612E60" w:rsidRPr="00864DDD">
        <w:rPr>
          <w:rFonts w:ascii="Arial" w:hAnsi="Arial" w:cs="Arial"/>
        </w:rPr>
        <w:t>Además, aunque amerita señalar que también existía el deber de cuidado y la posición de garante de los padres respecto a sus hijos</w:t>
      </w:r>
      <w:r w:rsidR="00B36776" w:rsidRPr="00864DDD">
        <w:rPr>
          <w:rFonts w:ascii="Arial" w:hAnsi="Arial" w:cs="Arial"/>
        </w:rPr>
        <w:t>, la cual fue omitida en este caso.</w:t>
      </w:r>
      <w:r w:rsidR="00C857A0" w:rsidRPr="00864DDD">
        <w:rPr>
          <w:rFonts w:ascii="Arial" w:hAnsi="Arial" w:cs="Arial"/>
        </w:rPr>
        <w:t xml:space="preserve"> </w:t>
      </w:r>
      <w:r w:rsidRPr="00864DDD">
        <w:rPr>
          <w:rFonts w:ascii="Arial" w:hAnsi="Arial" w:cs="Arial"/>
        </w:rPr>
        <w:t>Todo lo anterior, sin perjuicio del carácter contingente del proceso.</w:t>
      </w:r>
    </w:p>
    <w:p w14:paraId="16453D95" w14:textId="77777777" w:rsidR="000C0327" w:rsidRPr="00864DDD" w:rsidRDefault="000C0327" w:rsidP="00D513AB">
      <w:pPr>
        <w:spacing w:after="0" w:line="288" w:lineRule="auto"/>
        <w:jc w:val="both"/>
        <w:rPr>
          <w:rFonts w:ascii="Arial" w:hAnsi="Arial" w:cs="Arial"/>
        </w:rPr>
      </w:pPr>
    </w:p>
    <w:p w14:paraId="5CE2BE0B" w14:textId="63E5B7D1" w:rsidR="000C0327" w:rsidRPr="00864DDD" w:rsidRDefault="001A3C75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864DDD">
        <w:rPr>
          <w:rFonts w:ascii="Arial" w:hAnsi="Arial" w:cs="Arial"/>
          <w:b/>
          <w:bCs/>
        </w:rPr>
        <w:t>EXCEPCIONES PLANTEADAS.</w:t>
      </w:r>
    </w:p>
    <w:p w14:paraId="01A19726" w14:textId="77777777" w:rsidR="000C0327" w:rsidRPr="00864DDD" w:rsidRDefault="000C0327" w:rsidP="00D513AB">
      <w:pPr>
        <w:spacing w:after="0" w:line="288" w:lineRule="auto"/>
        <w:jc w:val="both"/>
        <w:rPr>
          <w:rFonts w:ascii="Arial" w:hAnsi="Arial" w:cs="Arial"/>
        </w:rPr>
      </w:pPr>
    </w:p>
    <w:p w14:paraId="2F30368B" w14:textId="1C70B7F3" w:rsidR="000C0327" w:rsidRPr="00BB7ECC" w:rsidRDefault="001A3C75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BB7ECC">
        <w:rPr>
          <w:rFonts w:ascii="Arial" w:hAnsi="Arial" w:cs="Arial"/>
          <w:b/>
          <w:bCs/>
        </w:rPr>
        <w:t>EXCEPCIÓN PREVIA FRENTE A LA DEMANDA:</w:t>
      </w:r>
    </w:p>
    <w:p w14:paraId="67A92CA4" w14:textId="77777777" w:rsidR="000C0327" w:rsidRPr="00BB7ECC" w:rsidRDefault="000C0327" w:rsidP="00D513AB">
      <w:pPr>
        <w:spacing w:after="0" w:line="288" w:lineRule="auto"/>
        <w:jc w:val="both"/>
        <w:rPr>
          <w:rFonts w:ascii="Arial" w:hAnsi="Arial" w:cs="Arial"/>
        </w:rPr>
      </w:pPr>
    </w:p>
    <w:p w14:paraId="6022731E" w14:textId="5EAFCA55" w:rsidR="000C0327" w:rsidRPr="00BB7ECC" w:rsidRDefault="001A3C75" w:rsidP="00D513AB">
      <w:pPr>
        <w:pStyle w:val="Prrafodelista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</w:rPr>
      </w:pPr>
      <w:r w:rsidRPr="00BB7ECC">
        <w:rPr>
          <w:rFonts w:ascii="Arial" w:hAnsi="Arial" w:cs="Arial"/>
        </w:rPr>
        <w:t>FALTA DE LEGITIMACIÓN EN LA CAUSA POR PASIVA DEL DISTRITO ESPECIAL DE SANTIAGO DE CALI.</w:t>
      </w:r>
    </w:p>
    <w:p w14:paraId="24A73ED6" w14:textId="77777777" w:rsidR="000C0327" w:rsidRPr="00BB7ECC" w:rsidRDefault="000C0327" w:rsidP="00D513AB">
      <w:pPr>
        <w:pStyle w:val="Prrafodelista"/>
        <w:spacing w:after="0" w:line="288" w:lineRule="auto"/>
        <w:ind w:left="1065"/>
        <w:jc w:val="both"/>
        <w:rPr>
          <w:rFonts w:ascii="Arial" w:hAnsi="Arial" w:cs="Arial"/>
        </w:rPr>
      </w:pPr>
    </w:p>
    <w:p w14:paraId="3F2251AA" w14:textId="15444381" w:rsidR="000C0327" w:rsidRPr="00BB7ECC" w:rsidRDefault="001A3C75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BB7ECC">
        <w:rPr>
          <w:rFonts w:ascii="Arial" w:hAnsi="Arial" w:cs="Arial"/>
          <w:b/>
          <w:bCs/>
        </w:rPr>
        <w:t>EXCEPCIONES DE FONDO O DE MÉRITO FRENTE A LA DEMANDA:</w:t>
      </w:r>
    </w:p>
    <w:p w14:paraId="22A3A9E5" w14:textId="77777777" w:rsidR="000C0327" w:rsidRPr="00BB7ECC" w:rsidRDefault="000C0327" w:rsidP="00D513AB">
      <w:pPr>
        <w:spacing w:after="0" w:line="288" w:lineRule="auto"/>
        <w:jc w:val="both"/>
        <w:rPr>
          <w:rFonts w:ascii="Arial" w:hAnsi="Arial" w:cs="Arial"/>
        </w:rPr>
      </w:pPr>
    </w:p>
    <w:p w14:paraId="7BB98670" w14:textId="4AC5EC3F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BB7ECC">
        <w:rPr>
          <w:rFonts w:ascii="Arial" w:hAnsi="Arial" w:cs="Arial"/>
        </w:rPr>
        <w:t>INEXISTENCIA DE RESPONSABILIDAD POR ENCONTRARSE CONFIGURADA LA CAUSAL EXIMENTE DENOMINADA HECHO EXCLUSIVO Y DETERMINANTE DE UN TERCERO.</w:t>
      </w:r>
    </w:p>
    <w:p w14:paraId="17676522" w14:textId="77777777" w:rsidR="000C0327" w:rsidRPr="00BB7ECC" w:rsidRDefault="000C0327" w:rsidP="00D513AB">
      <w:pPr>
        <w:pStyle w:val="Prrafodelista"/>
        <w:spacing w:after="0" w:line="288" w:lineRule="auto"/>
        <w:ind w:left="1065"/>
        <w:jc w:val="both"/>
        <w:rPr>
          <w:rFonts w:ascii="Arial" w:hAnsi="Arial" w:cs="Arial"/>
        </w:rPr>
      </w:pPr>
    </w:p>
    <w:p w14:paraId="749F994C" w14:textId="2789FA25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BB7ECC">
        <w:rPr>
          <w:rFonts w:ascii="Arial" w:hAnsi="Arial" w:cs="Arial"/>
        </w:rPr>
        <w:t>FALTA DE ACREDITACIÓN DE LOS ELEMENTOS EXIGIDOS POR LA JURISPRUDENCIA PARA IMPUTAR RESPONSABILIDAD POR FALLA EN LA PRESTACIÓN DEL SERVICIO DE SEGURIDAD.</w:t>
      </w:r>
    </w:p>
    <w:p w14:paraId="29C8F18C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046C76ED" w14:textId="16D4830F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BB7ECC">
        <w:rPr>
          <w:rFonts w:ascii="Arial" w:hAnsi="Arial" w:cs="Arial"/>
        </w:rPr>
        <w:t>FALTA AL DEBER OBJETIVO DE CUIDADO DE LOS PADRES DEL MENOR - OMISIÓN DE LA RESPONSABILIDAD PATERNAL.</w:t>
      </w:r>
    </w:p>
    <w:p w14:paraId="501B0A09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6ED91888" w14:textId="3A496AA9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BB7ECC">
        <w:rPr>
          <w:rFonts w:ascii="Arial" w:hAnsi="Arial" w:cs="Arial"/>
        </w:rPr>
        <w:t>DISTINCIÓN ENTRE EL PODER DE POLICÍA, LA FUNCIÓN DE POLICÍA Y LA ACTIVIDAD DE POLICÍA EN RELACIÓN CON LAS LABORES EJERCIDAS POR EL ALCALDE DEL DISTRITO-INEXISTENTE RELACIÓN DE CAUSALIDAD.</w:t>
      </w:r>
    </w:p>
    <w:p w14:paraId="198F07C7" w14:textId="77777777" w:rsidR="000C0327" w:rsidRPr="00BB7ECC" w:rsidRDefault="000C0327" w:rsidP="00D513AB">
      <w:pPr>
        <w:pStyle w:val="Prrafodelista"/>
        <w:spacing w:after="0" w:line="288" w:lineRule="auto"/>
        <w:ind w:left="1065"/>
        <w:rPr>
          <w:rFonts w:ascii="Arial" w:hAnsi="Arial" w:cs="Arial"/>
        </w:rPr>
      </w:pPr>
    </w:p>
    <w:p w14:paraId="1F2A2633" w14:textId="2FB66067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BB7ECC">
        <w:rPr>
          <w:rFonts w:ascii="Arial" w:hAnsi="Arial" w:cs="Arial"/>
        </w:rPr>
        <w:t>EN EL EXPEDIENTE NO SE HA ACREDITADO FALLA EN EL SERVICIO ENDILGADA AL DISTRITO ESPECIAL DE SANTIAGO DE CALI.</w:t>
      </w:r>
    </w:p>
    <w:p w14:paraId="2F084241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6AE27547" w14:textId="5E118B04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BB7ECC">
        <w:rPr>
          <w:rFonts w:ascii="Arial" w:hAnsi="Arial" w:cs="Arial"/>
        </w:rPr>
        <w:t>LOS PERJUICIOS MORALES SOLICITADOS DESCONOCEN LOS LÍMITES JURISPRUDENCIALES ESTABLECIDOS POR EL MÁXIMO ÓRGANO DE LA JURISDICCIÓN CONTENCIOSO ADMINISTRATIVA.</w:t>
      </w:r>
    </w:p>
    <w:p w14:paraId="0CBA1171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593BDE36" w14:textId="7363850E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BB7ECC">
        <w:rPr>
          <w:rFonts w:ascii="Arial" w:hAnsi="Arial" w:cs="Arial"/>
        </w:rPr>
        <w:t>IMPROCEDENCIA DE LA SOLICITUD DE RECONOCIMIENTO POR CONCEPTO DE DAÑO A LA SALUD.</w:t>
      </w:r>
    </w:p>
    <w:p w14:paraId="68C8A65D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74A33B70" w14:textId="790EDC87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BB7ECC">
        <w:rPr>
          <w:rFonts w:ascii="Arial" w:hAnsi="Arial" w:cs="Arial"/>
        </w:rPr>
        <w:t xml:space="preserve">IMPROCEDENCIA DE LA SOLICITUD DE RECONOCIMIENTO POR CONCEPTO DE AFECTACIÓN A BIENES Y DERECHOS CONSTITUCIONALMENTE PROTEGIDOS. </w:t>
      </w:r>
    </w:p>
    <w:p w14:paraId="352C28FB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7A2CF13C" w14:textId="0D8B9304" w:rsidR="000C0327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BB7ECC">
        <w:rPr>
          <w:rFonts w:ascii="Arial" w:hAnsi="Arial" w:cs="Arial"/>
        </w:rPr>
        <w:t xml:space="preserve">EXCEPCIONES PLANTEADAS POR QUIEN FORMULÓ EL LLAMAMIENTO EN GARANTÍA A MÍ REPRESENTADA. </w:t>
      </w:r>
    </w:p>
    <w:p w14:paraId="292F72A6" w14:textId="77777777" w:rsidR="000C0327" w:rsidRPr="00BB7ECC" w:rsidRDefault="000C0327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265457B1" w14:textId="4203334C" w:rsidR="00864DDD" w:rsidRPr="00BB7ECC" w:rsidRDefault="001A3C75" w:rsidP="00D513AB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BB7ECC">
        <w:rPr>
          <w:rFonts w:ascii="Arial" w:hAnsi="Arial" w:cs="Arial"/>
        </w:rPr>
        <w:t xml:space="preserve">GENÉRICA O INNOMINADA. </w:t>
      </w:r>
    </w:p>
    <w:p w14:paraId="071B7A47" w14:textId="77777777" w:rsidR="00DB67FF" w:rsidRPr="00DB67FF" w:rsidRDefault="00DB67FF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7434BDD4" w14:textId="60EC76E1" w:rsidR="00FD5B03" w:rsidRDefault="001033E5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864DDD">
        <w:rPr>
          <w:rFonts w:ascii="Arial" w:hAnsi="Arial" w:cs="Arial"/>
          <w:b/>
          <w:bCs/>
        </w:rPr>
        <w:t>EXCEPCIONES FRENTE AL LLAMAMIENTO EN GARANTÍA:</w:t>
      </w:r>
    </w:p>
    <w:p w14:paraId="0524F692" w14:textId="77777777" w:rsidR="00864DDD" w:rsidRDefault="00864DDD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</w:p>
    <w:p w14:paraId="776DD68F" w14:textId="738B5F94" w:rsidR="00864DDD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DB67FF">
        <w:rPr>
          <w:rFonts w:ascii="Arial" w:hAnsi="Arial" w:cs="Arial"/>
        </w:rPr>
        <w:t xml:space="preserve">EL HOMICIDIO DEL MENOR LUIS FERNANDO MONTAÑO </w:t>
      </w:r>
      <w:r>
        <w:rPr>
          <w:rFonts w:ascii="Arial" w:hAnsi="Arial" w:cs="Arial"/>
        </w:rPr>
        <w:t>Q</w:t>
      </w:r>
      <w:r w:rsidRPr="00DB67FF">
        <w:rPr>
          <w:rFonts w:ascii="Arial" w:hAnsi="Arial" w:cs="Arial"/>
        </w:rPr>
        <w:t>UIÑONES SE CONSTITUYE EN UN RIESGO EXPRESAMENTE EXCLUIDO EN LA PÓLIZA DE RESPONSABILIDAD CIVIL EXTRACONTRACTUAL NO. 420-80-994000000181 ANEXO 1.</w:t>
      </w:r>
    </w:p>
    <w:p w14:paraId="1A648A1E" w14:textId="77777777" w:rsidR="00626B26" w:rsidRDefault="00626B26" w:rsidP="00D513AB">
      <w:pPr>
        <w:pStyle w:val="Prrafodelista"/>
        <w:spacing w:after="0" w:line="288" w:lineRule="auto"/>
        <w:ind w:left="1065"/>
        <w:jc w:val="both"/>
        <w:rPr>
          <w:rFonts w:ascii="Arial" w:hAnsi="Arial" w:cs="Arial"/>
        </w:rPr>
      </w:pPr>
    </w:p>
    <w:p w14:paraId="20866ECB" w14:textId="5AC54EFA" w:rsidR="00124F2D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626B26">
        <w:rPr>
          <w:rFonts w:ascii="Arial" w:hAnsi="Arial" w:cs="Arial"/>
        </w:rPr>
        <w:t>INEXISTENCIA DE COBERTURA MATERIAL DE LA PÓLIZA DE RESPONSABILIDAD CIVIL NO. 420-80-994000000181 ANEXO 1, POR CUANTO NO EXISTE NINGUNA ACCIÓN U OMISIÓN POR PARTE DEL ENTE TERRITORIAL ASEGURADO.</w:t>
      </w:r>
    </w:p>
    <w:p w14:paraId="226A2C8A" w14:textId="77777777" w:rsidR="00626B26" w:rsidRPr="00626B26" w:rsidRDefault="00626B26" w:rsidP="00D513AB">
      <w:pPr>
        <w:pStyle w:val="Prrafodelista"/>
        <w:spacing w:after="0" w:line="288" w:lineRule="auto"/>
        <w:jc w:val="both"/>
        <w:rPr>
          <w:rFonts w:ascii="Arial" w:hAnsi="Arial" w:cs="Arial"/>
        </w:rPr>
      </w:pPr>
    </w:p>
    <w:p w14:paraId="45A9E95B" w14:textId="1A4E1F36" w:rsidR="00626B26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626B26">
        <w:rPr>
          <w:rFonts w:ascii="Arial" w:hAnsi="Arial" w:cs="Arial"/>
        </w:rPr>
        <w:t>INEXISTENCIA DE OBLIGACIÓN INDEMNIZATORIA A CARGO DE MI PROCURADA POR NO HABERSE REALIZADO EL RIESGO ASEGURADO EN LA PÓLIZA DE RESPONSABILIDAD CIVIL NO. 420-80-994000000181 ANEXO 1.</w:t>
      </w:r>
    </w:p>
    <w:p w14:paraId="104261A6" w14:textId="77777777" w:rsidR="0041325E" w:rsidRPr="0041325E" w:rsidRDefault="0041325E" w:rsidP="00D513AB">
      <w:pPr>
        <w:pStyle w:val="Prrafodelista"/>
        <w:spacing w:after="0" w:line="288" w:lineRule="auto"/>
        <w:jc w:val="both"/>
        <w:rPr>
          <w:rFonts w:ascii="Arial" w:hAnsi="Arial" w:cs="Arial"/>
        </w:rPr>
      </w:pPr>
    </w:p>
    <w:p w14:paraId="462B900F" w14:textId="7C782635" w:rsidR="0041325E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DC7881">
        <w:rPr>
          <w:rFonts w:ascii="Arial" w:hAnsi="Arial" w:cs="Arial"/>
        </w:rPr>
        <w:t>FALTA DE LEGITIMACIÓN MATERIAL EN LA CAUSA POR PASIVA DE MI REPRESENTADA POR LA INEXISTENCIA DE COBERTURA MATERIAL DE LA PÓLIZA DE RESPONSABILIDAD CIVIL NO. 420-80-994000000181 ANEXO 1.</w:t>
      </w:r>
    </w:p>
    <w:p w14:paraId="78382BFB" w14:textId="77777777" w:rsidR="000445D7" w:rsidRPr="000445D7" w:rsidRDefault="000445D7" w:rsidP="00D513AB">
      <w:pPr>
        <w:pStyle w:val="Prrafodelista"/>
        <w:spacing w:after="0" w:line="288" w:lineRule="auto"/>
        <w:jc w:val="both"/>
        <w:rPr>
          <w:rFonts w:ascii="Arial" w:hAnsi="Arial" w:cs="Arial"/>
        </w:rPr>
      </w:pPr>
    </w:p>
    <w:p w14:paraId="570BBC00" w14:textId="54DE28F2" w:rsidR="000445D7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0445D7">
        <w:rPr>
          <w:rFonts w:ascii="Arial" w:hAnsi="Arial" w:cs="Arial"/>
        </w:rPr>
        <w:t>LA EVENTUAL OBLIGACIÓN DE MI PROHIJADA NO PUEDE EXCEDER EL LÍMITE DEL VALOR ASEGURADO EN LA PÓLIZA NO. 420-80-994000000181 ANEXO 1 -DISMINUCIÓN DE LA SUMA ASEGURADA POR PAGO DE INDEMNIZACIONES.</w:t>
      </w:r>
    </w:p>
    <w:p w14:paraId="334388E8" w14:textId="77777777" w:rsidR="00FF7DF3" w:rsidRPr="00FF7DF3" w:rsidRDefault="00FF7DF3" w:rsidP="00D513AB">
      <w:pPr>
        <w:pStyle w:val="Prrafodelista"/>
        <w:spacing w:after="0" w:line="288" w:lineRule="auto"/>
        <w:jc w:val="both"/>
        <w:rPr>
          <w:rFonts w:ascii="Arial" w:hAnsi="Arial" w:cs="Arial"/>
        </w:rPr>
      </w:pPr>
    </w:p>
    <w:p w14:paraId="72632B10" w14:textId="42E8DE6F" w:rsidR="001A6535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1A6535">
        <w:rPr>
          <w:rFonts w:ascii="Arial" w:hAnsi="Arial" w:cs="Arial"/>
        </w:rPr>
        <w:lastRenderedPageBreak/>
        <w:t xml:space="preserve">LA OBLIGACIÓN DE MI PROCURADA SOLO SE CIRCUNSCRIBE AL PORCENTAJE QUE LE CORRESPONDE </w:t>
      </w:r>
      <w:proofErr w:type="gramStart"/>
      <w:r w:rsidRPr="001A6535">
        <w:rPr>
          <w:rFonts w:ascii="Arial" w:hAnsi="Arial" w:cs="Arial"/>
        </w:rPr>
        <w:t>DE ACUERDO AL</w:t>
      </w:r>
      <w:proofErr w:type="gramEnd"/>
      <w:r w:rsidRPr="001A6535">
        <w:rPr>
          <w:rFonts w:ascii="Arial" w:hAnsi="Arial" w:cs="Arial"/>
        </w:rPr>
        <w:t xml:space="preserve"> COASEGURO PACTADO - ENTRE LAS COASEGURADORAS NO EXISTE SOLIDARIDAD.</w:t>
      </w:r>
    </w:p>
    <w:p w14:paraId="6177FDD2" w14:textId="77777777" w:rsidR="001A6535" w:rsidRPr="001A6535" w:rsidRDefault="001A6535" w:rsidP="00D513AB">
      <w:pPr>
        <w:pStyle w:val="Prrafodelista"/>
        <w:spacing w:after="0" w:line="288" w:lineRule="auto"/>
        <w:jc w:val="both"/>
        <w:rPr>
          <w:rFonts w:ascii="Arial" w:hAnsi="Arial" w:cs="Arial"/>
        </w:rPr>
      </w:pPr>
    </w:p>
    <w:p w14:paraId="1F26EC4A" w14:textId="6BD957D5" w:rsidR="00FF7DF3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1A6535">
        <w:rPr>
          <w:rFonts w:ascii="Arial" w:hAnsi="Arial" w:cs="Arial"/>
        </w:rPr>
        <w:t>INEXISTENCIA DE SOLIDARIDAD ENTRE MI MANDANTE Y LOS DEMÁS DEMANDADOS.</w:t>
      </w:r>
    </w:p>
    <w:p w14:paraId="50EED1E6" w14:textId="77777777" w:rsidR="001A6535" w:rsidRPr="001A6535" w:rsidRDefault="001A6535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44537651" w14:textId="374753A3" w:rsidR="001A6535" w:rsidRDefault="001033E5" w:rsidP="00D513AB">
      <w:pPr>
        <w:pStyle w:val="Prrafodelista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4B0E52">
        <w:rPr>
          <w:rFonts w:ascii="Arial" w:hAnsi="Arial" w:cs="Arial"/>
        </w:rPr>
        <w:t>CARÁCTER MERAMENTE INDEMNIZATORIO QUE REVISTEN LOS CONTRATOS DE SEGURO.</w:t>
      </w:r>
    </w:p>
    <w:p w14:paraId="0A51119A" w14:textId="77777777" w:rsidR="00030D58" w:rsidRPr="00030D58" w:rsidRDefault="00030D58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002CF913" w14:textId="7B0950A9" w:rsidR="00D513AB" w:rsidRDefault="001033E5" w:rsidP="00D513AB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</w:rPr>
      </w:pPr>
      <w:r w:rsidRPr="002566C1">
        <w:rPr>
          <w:rFonts w:ascii="Arial" w:hAnsi="Arial" w:cs="Arial"/>
        </w:rPr>
        <w:t>DISPONIBILIDAD DEL VALOR ASEGURADO</w:t>
      </w:r>
    </w:p>
    <w:p w14:paraId="585BF277" w14:textId="77777777" w:rsidR="00D513AB" w:rsidRPr="00D513AB" w:rsidRDefault="00D513AB" w:rsidP="00D513AB">
      <w:pPr>
        <w:pStyle w:val="Prrafodelista"/>
        <w:spacing w:after="0" w:line="288" w:lineRule="auto"/>
        <w:rPr>
          <w:b/>
          <w:bCs/>
          <w:color w:val="0D0D0D"/>
        </w:rPr>
      </w:pPr>
    </w:p>
    <w:p w14:paraId="4CBB7F96" w14:textId="53E9C915" w:rsidR="00D513AB" w:rsidRPr="00D513AB" w:rsidRDefault="001033E5" w:rsidP="00D513AB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</w:rPr>
      </w:pPr>
      <w:r w:rsidRPr="00D513AB">
        <w:rPr>
          <w:rFonts w:ascii="Arial" w:hAnsi="Arial" w:cs="Arial"/>
          <w:color w:val="0D0D0D"/>
        </w:rPr>
        <w:t xml:space="preserve">PAGO POR REEMBOLSO </w:t>
      </w:r>
    </w:p>
    <w:p w14:paraId="501A79F4" w14:textId="77777777" w:rsidR="00D513AB" w:rsidRPr="00D513AB" w:rsidRDefault="00D513AB" w:rsidP="00D513AB">
      <w:pPr>
        <w:pStyle w:val="Prrafodelista"/>
        <w:spacing w:after="0" w:line="288" w:lineRule="auto"/>
        <w:rPr>
          <w:rFonts w:ascii="Arial" w:hAnsi="Arial" w:cs="Arial"/>
        </w:rPr>
      </w:pPr>
    </w:p>
    <w:p w14:paraId="4E483977" w14:textId="4462CE41" w:rsidR="00D513AB" w:rsidRPr="00D513AB" w:rsidRDefault="001033E5" w:rsidP="00D513AB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</w:rPr>
      </w:pPr>
      <w:r w:rsidRPr="00D513AB">
        <w:rPr>
          <w:rFonts w:ascii="Arial" w:hAnsi="Arial" w:cs="Arial"/>
        </w:rPr>
        <w:t xml:space="preserve">GENÉRICA Y OTRAS </w:t>
      </w:r>
    </w:p>
    <w:p w14:paraId="4A4A1835" w14:textId="77777777" w:rsidR="00864DDD" w:rsidRPr="00864DDD" w:rsidRDefault="00864DDD" w:rsidP="00D513AB">
      <w:pPr>
        <w:spacing w:after="0" w:line="288" w:lineRule="auto"/>
        <w:jc w:val="both"/>
        <w:rPr>
          <w:rFonts w:ascii="Arial" w:hAnsi="Arial" w:cs="Arial"/>
        </w:rPr>
      </w:pPr>
    </w:p>
    <w:p w14:paraId="6D44A5A6" w14:textId="5ACA28A8" w:rsidR="00434D9E" w:rsidRPr="00864DDD" w:rsidRDefault="00434D9E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864DDD">
        <w:rPr>
          <w:rFonts w:ascii="Arial" w:hAnsi="Arial" w:cs="Arial"/>
          <w:b/>
          <w:bCs/>
        </w:rPr>
        <w:t>LIQUIDACIÓN OBJETIVA</w:t>
      </w:r>
      <w:r w:rsidR="00E76C16" w:rsidRPr="00864DDD">
        <w:rPr>
          <w:rFonts w:ascii="Arial" w:hAnsi="Arial" w:cs="Arial"/>
          <w:b/>
          <w:bCs/>
        </w:rPr>
        <w:t xml:space="preserve"> DE LAS PRETENSIONES</w:t>
      </w:r>
      <w:r w:rsidRPr="00864DDD">
        <w:rPr>
          <w:rFonts w:ascii="Arial" w:hAnsi="Arial" w:cs="Arial"/>
          <w:b/>
          <w:bCs/>
        </w:rPr>
        <w:t>.</w:t>
      </w:r>
    </w:p>
    <w:p w14:paraId="4D26C782" w14:textId="77777777" w:rsidR="00FD5B03" w:rsidRPr="00864DDD" w:rsidRDefault="00FD5B03" w:rsidP="00D513AB">
      <w:pPr>
        <w:spacing w:after="0" w:line="288" w:lineRule="auto"/>
        <w:jc w:val="both"/>
        <w:rPr>
          <w:rFonts w:ascii="Arial" w:hAnsi="Arial" w:cs="Arial"/>
          <w:b/>
          <w:bCs/>
        </w:rPr>
      </w:pPr>
    </w:p>
    <w:p w14:paraId="5BB4933E" w14:textId="01511EB9" w:rsidR="005954DA" w:rsidRPr="00864DDD" w:rsidRDefault="005954DA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color w:val="000000"/>
          <w:sz w:val="22"/>
          <w:szCs w:val="22"/>
        </w:rPr>
        <w:t>Como liquidación objetiva de las pretensiones se estima un valor de $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>3</w:t>
      </w:r>
      <w:r w:rsidR="00AA28E4" w:rsidRPr="00864DDD">
        <w:rPr>
          <w:rFonts w:ascii="Arial" w:hAnsi="Arial" w:cs="Arial"/>
          <w:color w:val="000000"/>
          <w:sz w:val="22"/>
          <w:szCs w:val="22"/>
        </w:rPr>
        <w:t>4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>8.000.000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>sin</w:t>
      </w:r>
      <w:r w:rsidR="009B1726">
        <w:rPr>
          <w:rFonts w:ascii="Arial" w:hAnsi="Arial" w:cs="Arial"/>
          <w:color w:val="000000"/>
          <w:sz w:val="22"/>
          <w:szCs w:val="22"/>
        </w:rPr>
        <w:t xml:space="preserve"> contar con un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 xml:space="preserve"> deducible, dado que no fue pactado en la póliza</w:t>
      </w:r>
      <w:r w:rsidRPr="00864DDD">
        <w:rPr>
          <w:rFonts w:ascii="Arial" w:hAnsi="Arial" w:cs="Arial"/>
          <w:color w:val="000000"/>
          <w:sz w:val="22"/>
          <w:szCs w:val="22"/>
        </w:rPr>
        <w:t>. Este valor se logró teniendo en cuenta lo siguiente:</w:t>
      </w:r>
    </w:p>
    <w:p w14:paraId="7101FB89" w14:textId="77777777" w:rsidR="00176CFA" w:rsidRPr="00864DDD" w:rsidRDefault="00176CFA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7B72D1" w14:textId="76C25BB7" w:rsidR="00F46638" w:rsidRPr="00864DDD" w:rsidRDefault="005954DA" w:rsidP="00D513AB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Por concepto de perjuicios morales: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="000D633B" w:rsidRPr="00864DDD">
        <w:rPr>
          <w:rFonts w:ascii="Arial" w:hAnsi="Arial" w:cs="Arial"/>
          <w:color w:val="000000"/>
          <w:sz w:val="22"/>
          <w:szCs w:val="22"/>
        </w:rPr>
        <w:t>Por el fallecimiento del menor</w:t>
      </w:r>
      <w:r w:rsidR="007E4CFE" w:rsidRPr="00864DDD">
        <w:rPr>
          <w:rFonts w:ascii="Arial" w:hAnsi="Arial" w:cs="Arial"/>
          <w:color w:val="000000"/>
          <w:sz w:val="22"/>
          <w:szCs w:val="22"/>
        </w:rPr>
        <w:t xml:space="preserve"> Luis Fernando Montaño Quiñones (Q.E.P.D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), se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tendrá en cuenta la suma total de $</w:t>
      </w:r>
      <w:r w:rsidR="000D633B" w:rsidRPr="00864DDD">
        <w:rPr>
          <w:rFonts w:ascii="Arial" w:hAnsi="Arial" w:cs="Arial"/>
          <w:color w:val="000000"/>
          <w:sz w:val="22"/>
          <w:szCs w:val="22"/>
        </w:rPr>
        <w:t>3</w:t>
      </w:r>
      <w:r w:rsidR="00AA28E4" w:rsidRPr="00864DDD">
        <w:rPr>
          <w:rFonts w:ascii="Arial" w:hAnsi="Arial" w:cs="Arial"/>
          <w:color w:val="000000"/>
          <w:sz w:val="22"/>
          <w:szCs w:val="22"/>
        </w:rPr>
        <w:t>4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>8</w:t>
      </w:r>
      <w:r w:rsidR="000D633B" w:rsidRPr="00864DDD">
        <w:rPr>
          <w:rFonts w:ascii="Arial" w:hAnsi="Arial" w:cs="Arial"/>
          <w:color w:val="000000"/>
          <w:sz w:val="22"/>
          <w:szCs w:val="22"/>
        </w:rPr>
        <w:t xml:space="preserve">.000.000 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discriminada así: </w:t>
      </w:r>
    </w:p>
    <w:p w14:paraId="34A0498B" w14:textId="77777777" w:rsidR="00F46638" w:rsidRPr="00864DDD" w:rsidRDefault="00F46638" w:rsidP="00D513AB">
      <w:pPr>
        <w:pStyle w:val="NormalWeb"/>
        <w:spacing w:before="0" w:beforeAutospacing="0" w:after="0" w:afterAutospacing="0" w:line="288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82BAC1" w14:textId="1735758A" w:rsidR="003B0FDB" w:rsidRPr="00864DDD" w:rsidRDefault="00F46638" w:rsidP="00D513AB">
      <w:pPr>
        <w:pStyle w:val="NormalWeb"/>
        <w:spacing w:before="0" w:beforeAutospacing="0" w:after="0" w:afterAutospacing="0" w:line="288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color w:val="000000"/>
          <w:sz w:val="22"/>
          <w:szCs w:val="22"/>
        </w:rPr>
        <w:t>S</w:t>
      </w:r>
      <w:r w:rsidR="005954DA" w:rsidRPr="00864DDD">
        <w:rPr>
          <w:rFonts w:ascii="Arial" w:hAnsi="Arial" w:cs="Arial"/>
          <w:color w:val="000000"/>
          <w:sz w:val="22"/>
          <w:szCs w:val="22"/>
        </w:rPr>
        <w:t>e tomó en cuenta como indemnización por perjuicio moral la suma equivalente</w:t>
      </w:r>
      <w:r w:rsidR="00657F2C" w:rsidRPr="00864DDD">
        <w:rPr>
          <w:rFonts w:ascii="Arial" w:hAnsi="Arial" w:cs="Arial"/>
          <w:color w:val="000000"/>
          <w:sz w:val="22"/>
          <w:szCs w:val="22"/>
        </w:rPr>
        <w:t xml:space="preserve"> de</w:t>
      </w:r>
      <w:r w:rsidR="005954DA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="000D633B" w:rsidRPr="00864DDD">
        <w:rPr>
          <w:rFonts w:ascii="Arial" w:hAnsi="Arial" w:cs="Arial"/>
          <w:color w:val="000000"/>
          <w:sz w:val="22"/>
          <w:szCs w:val="22"/>
        </w:rPr>
        <w:t>100</w:t>
      </w:r>
      <w:r w:rsidR="001A6B32" w:rsidRPr="00864DDD">
        <w:rPr>
          <w:rFonts w:ascii="Arial" w:hAnsi="Arial" w:cs="Arial"/>
          <w:color w:val="000000"/>
          <w:sz w:val="22"/>
          <w:szCs w:val="22"/>
        </w:rPr>
        <w:t xml:space="preserve"> SMLMV ($</w:t>
      </w:r>
      <w:r w:rsidR="000D633B" w:rsidRPr="00864DDD">
        <w:rPr>
          <w:rFonts w:ascii="Arial" w:hAnsi="Arial" w:cs="Arial"/>
          <w:color w:val="000000"/>
          <w:sz w:val="22"/>
          <w:szCs w:val="22"/>
        </w:rPr>
        <w:t>1</w:t>
      </w:r>
      <w:r w:rsidR="00AA28E4" w:rsidRPr="00864DDD">
        <w:rPr>
          <w:rFonts w:ascii="Arial" w:hAnsi="Arial" w:cs="Arial"/>
          <w:color w:val="000000"/>
          <w:sz w:val="22"/>
          <w:szCs w:val="22"/>
        </w:rPr>
        <w:t>1</w:t>
      </w:r>
      <w:r w:rsidR="000D633B" w:rsidRPr="00864DDD">
        <w:rPr>
          <w:rFonts w:ascii="Arial" w:hAnsi="Arial" w:cs="Arial"/>
          <w:color w:val="000000"/>
          <w:sz w:val="22"/>
          <w:szCs w:val="22"/>
        </w:rPr>
        <w:t>6.000.000</w:t>
      </w:r>
      <w:r w:rsidR="001A6B32" w:rsidRPr="00864DDD">
        <w:rPr>
          <w:rFonts w:ascii="Arial" w:hAnsi="Arial" w:cs="Arial"/>
          <w:color w:val="000000"/>
          <w:sz w:val="22"/>
          <w:szCs w:val="22"/>
        </w:rPr>
        <w:t xml:space="preserve">) a favor de </w:t>
      </w:r>
      <w:r w:rsidR="00A70C43" w:rsidRPr="00864DDD">
        <w:rPr>
          <w:rFonts w:ascii="Arial" w:hAnsi="Arial" w:cs="Arial"/>
          <w:color w:val="000000"/>
          <w:sz w:val="22"/>
          <w:szCs w:val="22"/>
        </w:rPr>
        <w:t xml:space="preserve">Nancy Rocío Quiñones Ordoñez </w:t>
      </w:r>
      <w:r w:rsidR="001A6B32" w:rsidRPr="00864DDD">
        <w:rPr>
          <w:rFonts w:ascii="Arial" w:hAnsi="Arial" w:cs="Arial"/>
          <w:color w:val="000000"/>
          <w:sz w:val="22"/>
          <w:szCs w:val="22"/>
        </w:rPr>
        <w:t xml:space="preserve">en calidad de </w:t>
      </w:r>
      <w:r w:rsidR="00A63E6D" w:rsidRPr="00864DDD">
        <w:rPr>
          <w:rFonts w:ascii="Arial" w:hAnsi="Arial" w:cs="Arial"/>
          <w:color w:val="000000"/>
          <w:sz w:val="22"/>
          <w:szCs w:val="22"/>
        </w:rPr>
        <w:t xml:space="preserve">madre de la </w:t>
      </w:r>
      <w:r w:rsidR="001A6B32" w:rsidRPr="00864DDD">
        <w:rPr>
          <w:rFonts w:ascii="Arial" w:hAnsi="Arial" w:cs="Arial"/>
          <w:color w:val="000000"/>
          <w:sz w:val="22"/>
          <w:szCs w:val="22"/>
        </w:rPr>
        <w:t>víctima, la suma</w:t>
      </w:r>
      <w:r w:rsidR="00A70C43" w:rsidRPr="00864DDD">
        <w:rPr>
          <w:rFonts w:ascii="Arial" w:hAnsi="Arial" w:cs="Arial"/>
          <w:color w:val="000000"/>
          <w:sz w:val="22"/>
          <w:szCs w:val="22"/>
        </w:rPr>
        <w:t xml:space="preserve"> de 100 SMLMV ($116.000.000) a favor de </w:t>
      </w:r>
      <w:r w:rsidR="00C857A0" w:rsidRPr="00864DDD">
        <w:rPr>
          <w:rFonts w:ascii="Arial" w:hAnsi="Arial" w:cs="Arial"/>
          <w:color w:val="000000"/>
          <w:sz w:val="22"/>
          <w:szCs w:val="22"/>
        </w:rPr>
        <w:t xml:space="preserve">Luis Fernando Montaño Arboleda </w:t>
      </w:r>
      <w:r w:rsidR="00A70C43" w:rsidRPr="00864DDD">
        <w:rPr>
          <w:rFonts w:ascii="Arial" w:hAnsi="Arial" w:cs="Arial"/>
          <w:color w:val="000000"/>
          <w:sz w:val="22"/>
          <w:szCs w:val="22"/>
        </w:rPr>
        <w:t xml:space="preserve">en calidad de </w:t>
      </w:r>
      <w:r w:rsidR="00C857A0" w:rsidRPr="00864DDD">
        <w:rPr>
          <w:rFonts w:ascii="Arial" w:hAnsi="Arial" w:cs="Arial"/>
          <w:color w:val="000000"/>
          <w:sz w:val="22"/>
          <w:szCs w:val="22"/>
        </w:rPr>
        <w:t xml:space="preserve">padre </w:t>
      </w:r>
      <w:r w:rsidR="00A70C43" w:rsidRPr="00864DDD">
        <w:rPr>
          <w:rFonts w:ascii="Arial" w:hAnsi="Arial" w:cs="Arial"/>
          <w:color w:val="000000"/>
          <w:sz w:val="22"/>
          <w:szCs w:val="22"/>
        </w:rPr>
        <w:t>de la víctima,</w:t>
      </w:r>
      <w:r w:rsidR="005954DA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="00AC5D8D" w:rsidRPr="00864DDD">
        <w:rPr>
          <w:rFonts w:ascii="Arial" w:hAnsi="Arial" w:cs="Arial"/>
          <w:color w:val="000000"/>
          <w:sz w:val="22"/>
          <w:szCs w:val="22"/>
        </w:rPr>
        <w:t xml:space="preserve">la suma de </w:t>
      </w:r>
      <w:r w:rsidR="00A63E6D" w:rsidRPr="00864DDD">
        <w:rPr>
          <w:rFonts w:ascii="Arial" w:hAnsi="Arial" w:cs="Arial"/>
          <w:color w:val="000000"/>
          <w:sz w:val="22"/>
          <w:szCs w:val="22"/>
        </w:rPr>
        <w:t>50</w:t>
      </w:r>
      <w:r w:rsidR="005954DA" w:rsidRPr="00864DDD">
        <w:rPr>
          <w:rFonts w:ascii="Arial" w:hAnsi="Arial" w:cs="Arial"/>
          <w:color w:val="000000"/>
          <w:sz w:val="22"/>
          <w:szCs w:val="22"/>
        </w:rPr>
        <w:t xml:space="preserve"> SMLMV ($</w:t>
      </w:r>
      <w:r w:rsidR="00A63E6D" w:rsidRPr="00864DDD">
        <w:rPr>
          <w:rFonts w:ascii="Arial" w:hAnsi="Arial" w:cs="Arial"/>
          <w:color w:val="000000"/>
          <w:sz w:val="22"/>
          <w:szCs w:val="22"/>
        </w:rPr>
        <w:t>5</w:t>
      </w:r>
      <w:r w:rsidR="00AA28E4" w:rsidRPr="00864DDD">
        <w:rPr>
          <w:rFonts w:ascii="Arial" w:hAnsi="Arial" w:cs="Arial"/>
          <w:color w:val="000000"/>
          <w:sz w:val="22"/>
          <w:szCs w:val="22"/>
        </w:rPr>
        <w:t>8</w:t>
      </w:r>
      <w:r w:rsidR="00A63E6D" w:rsidRPr="00864DDD">
        <w:rPr>
          <w:rFonts w:ascii="Arial" w:hAnsi="Arial" w:cs="Arial"/>
          <w:color w:val="000000"/>
          <w:sz w:val="22"/>
          <w:szCs w:val="22"/>
        </w:rPr>
        <w:t>.000.000</w:t>
      </w:r>
      <w:r w:rsidR="005954DA" w:rsidRPr="00864DDD">
        <w:rPr>
          <w:rFonts w:ascii="Arial" w:hAnsi="Arial" w:cs="Arial"/>
          <w:color w:val="000000"/>
          <w:sz w:val="22"/>
          <w:szCs w:val="22"/>
        </w:rPr>
        <w:t xml:space="preserve">) a favor de </w:t>
      </w:r>
      <w:proofErr w:type="spellStart"/>
      <w:r w:rsidR="00AC5D8D" w:rsidRPr="00864DDD">
        <w:rPr>
          <w:rFonts w:ascii="Arial" w:hAnsi="Arial" w:cs="Arial"/>
          <w:color w:val="000000"/>
          <w:sz w:val="22"/>
          <w:szCs w:val="22"/>
        </w:rPr>
        <w:t>Deilis</w:t>
      </w:r>
      <w:proofErr w:type="spellEnd"/>
      <w:r w:rsidR="00AC5D8D" w:rsidRPr="00864DDD">
        <w:rPr>
          <w:rFonts w:ascii="Arial" w:hAnsi="Arial" w:cs="Arial"/>
          <w:color w:val="000000"/>
          <w:sz w:val="22"/>
          <w:szCs w:val="22"/>
        </w:rPr>
        <w:t xml:space="preserve"> Tatiana </w:t>
      </w:r>
      <w:proofErr w:type="spellStart"/>
      <w:r w:rsidR="00AC5D8D" w:rsidRPr="00864DDD">
        <w:rPr>
          <w:rFonts w:ascii="Arial" w:hAnsi="Arial" w:cs="Arial"/>
          <w:color w:val="000000"/>
          <w:sz w:val="22"/>
          <w:szCs w:val="22"/>
        </w:rPr>
        <w:t>Landazury</w:t>
      </w:r>
      <w:proofErr w:type="spellEnd"/>
      <w:r w:rsidR="00AC5D8D" w:rsidRPr="00864DDD">
        <w:rPr>
          <w:rFonts w:ascii="Arial" w:hAnsi="Arial" w:cs="Arial"/>
          <w:color w:val="000000"/>
          <w:sz w:val="22"/>
          <w:szCs w:val="22"/>
        </w:rPr>
        <w:t xml:space="preserve"> Quiñones en </w:t>
      </w:r>
      <w:r w:rsidR="00594ED0" w:rsidRPr="00864DDD">
        <w:rPr>
          <w:rFonts w:ascii="Arial" w:hAnsi="Arial" w:cs="Arial"/>
          <w:color w:val="000000"/>
          <w:sz w:val="22"/>
          <w:szCs w:val="22"/>
        </w:rPr>
        <w:t xml:space="preserve">calidad de hermana de la </w:t>
      </w:r>
      <w:r w:rsidR="00094394" w:rsidRPr="00864DDD">
        <w:rPr>
          <w:rFonts w:ascii="Arial" w:hAnsi="Arial" w:cs="Arial"/>
          <w:color w:val="000000"/>
          <w:sz w:val="22"/>
          <w:szCs w:val="22"/>
        </w:rPr>
        <w:t>víctima</w:t>
      </w:r>
      <w:r w:rsidR="00594ED0" w:rsidRPr="00864DDD">
        <w:rPr>
          <w:rFonts w:ascii="Arial" w:hAnsi="Arial" w:cs="Arial"/>
          <w:color w:val="000000"/>
          <w:sz w:val="22"/>
          <w:szCs w:val="22"/>
        </w:rPr>
        <w:t xml:space="preserve"> y la suma de 50 SMLMV ($58.000.000) </w:t>
      </w:r>
      <w:r w:rsidR="00657F2C" w:rsidRPr="00864DDD">
        <w:rPr>
          <w:rFonts w:ascii="Arial" w:hAnsi="Arial" w:cs="Arial"/>
          <w:color w:val="000000"/>
          <w:sz w:val="22"/>
          <w:szCs w:val="22"/>
        </w:rPr>
        <w:t>a favor</w:t>
      </w:r>
      <w:r w:rsidR="00594ED0" w:rsidRPr="00864DDD">
        <w:rPr>
          <w:rFonts w:ascii="Arial" w:hAnsi="Arial" w:cs="Arial"/>
          <w:color w:val="000000"/>
          <w:sz w:val="22"/>
          <w:szCs w:val="22"/>
        </w:rPr>
        <w:t xml:space="preserve"> del señor </w:t>
      </w:r>
      <w:r w:rsidR="00094394" w:rsidRPr="00864DDD">
        <w:rPr>
          <w:rFonts w:ascii="Arial" w:hAnsi="Arial" w:cs="Arial"/>
          <w:color w:val="000000"/>
          <w:sz w:val="22"/>
          <w:szCs w:val="22"/>
        </w:rPr>
        <w:t xml:space="preserve">Eustaquio </w:t>
      </w:r>
      <w:proofErr w:type="spellStart"/>
      <w:r w:rsidR="00094394" w:rsidRPr="00864DDD">
        <w:rPr>
          <w:rFonts w:ascii="Arial" w:hAnsi="Arial" w:cs="Arial"/>
          <w:color w:val="000000"/>
          <w:sz w:val="22"/>
          <w:szCs w:val="22"/>
        </w:rPr>
        <w:t>Floresmiro</w:t>
      </w:r>
      <w:proofErr w:type="spellEnd"/>
      <w:r w:rsidR="00094394" w:rsidRPr="00864DDD">
        <w:rPr>
          <w:rFonts w:ascii="Arial" w:hAnsi="Arial" w:cs="Arial"/>
          <w:color w:val="000000"/>
          <w:sz w:val="22"/>
          <w:szCs w:val="22"/>
        </w:rPr>
        <w:t xml:space="preserve"> Quiñones </w:t>
      </w:r>
      <w:proofErr w:type="spellStart"/>
      <w:r w:rsidR="00094394" w:rsidRPr="00864DDD">
        <w:rPr>
          <w:rFonts w:ascii="Arial" w:hAnsi="Arial" w:cs="Arial"/>
          <w:color w:val="000000"/>
          <w:sz w:val="22"/>
          <w:szCs w:val="22"/>
        </w:rPr>
        <w:t>Quiñones</w:t>
      </w:r>
      <w:proofErr w:type="spellEnd"/>
      <w:r w:rsidR="00594ED0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394" w:rsidRPr="00864DDD">
        <w:rPr>
          <w:rFonts w:ascii="Arial" w:hAnsi="Arial" w:cs="Arial"/>
          <w:color w:val="000000"/>
          <w:sz w:val="22"/>
          <w:szCs w:val="22"/>
        </w:rPr>
        <w:t xml:space="preserve">en calidad de abuelo materno de la </w:t>
      </w:r>
      <w:r w:rsidR="00A572FC" w:rsidRPr="00864DDD">
        <w:rPr>
          <w:rFonts w:ascii="Arial" w:hAnsi="Arial" w:cs="Arial"/>
          <w:color w:val="000000"/>
          <w:sz w:val="22"/>
          <w:szCs w:val="22"/>
        </w:rPr>
        <w:t>víctima</w:t>
      </w:r>
      <w:r w:rsidR="00094394" w:rsidRPr="00864DDD">
        <w:rPr>
          <w:rFonts w:ascii="Arial" w:hAnsi="Arial" w:cs="Arial"/>
          <w:color w:val="000000"/>
          <w:sz w:val="22"/>
          <w:szCs w:val="22"/>
        </w:rPr>
        <w:t>.</w:t>
      </w:r>
      <w:r w:rsidR="00C05C9D" w:rsidRPr="00864DDD">
        <w:rPr>
          <w:rFonts w:ascii="Arial" w:hAnsi="Arial" w:cs="Arial"/>
          <w:color w:val="000000"/>
          <w:sz w:val="22"/>
          <w:szCs w:val="22"/>
        </w:rPr>
        <w:t xml:space="preserve"> N</w:t>
      </w:r>
      <w:r w:rsidR="00F12B60" w:rsidRPr="00864DDD">
        <w:rPr>
          <w:rFonts w:ascii="Arial" w:hAnsi="Arial" w:cs="Arial"/>
          <w:color w:val="000000"/>
          <w:sz w:val="22"/>
          <w:szCs w:val="22"/>
        </w:rPr>
        <w:t xml:space="preserve">o se reconoce suma alguna en favor de </w:t>
      </w:r>
      <w:r w:rsidR="00A572FC" w:rsidRPr="00864DDD">
        <w:rPr>
          <w:rFonts w:ascii="Arial" w:hAnsi="Arial" w:cs="Arial"/>
          <w:color w:val="000000"/>
          <w:sz w:val="22"/>
          <w:szCs w:val="22"/>
        </w:rPr>
        <w:t>las tías</w:t>
      </w:r>
      <w:r w:rsidR="00F12B60" w:rsidRPr="00864DDD">
        <w:rPr>
          <w:rFonts w:ascii="Arial" w:hAnsi="Arial" w:cs="Arial"/>
          <w:color w:val="000000"/>
          <w:sz w:val="22"/>
          <w:szCs w:val="22"/>
        </w:rPr>
        <w:t>, toda vez que, la presunción del daño moral es hasta el segundo grado de consanguinidad, por lo cual debe acreditarse.</w:t>
      </w:r>
      <w:r w:rsidR="00C05C9D" w:rsidRPr="00864DDD">
        <w:rPr>
          <w:rFonts w:ascii="Arial" w:hAnsi="Arial" w:cs="Arial"/>
          <w:color w:val="000000"/>
          <w:sz w:val="22"/>
          <w:szCs w:val="22"/>
        </w:rPr>
        <w:t xml:space="preserve"> Sin embargo, se advierte que la parte </w:t>
      </w:r>
      <w:r w:rsidR="00A572FC" w:rsidRPr="00864DDD">
        <w:rPr>
          <w:rFonts w:ascii="Arial" w:hAnsi="Arial" w:cs="Arial"/>
          <w:color w:val="000000"/>
          <w:sz w:val="22"/>
          <w:szCs w:val="22"/>
        </w:rPr>
        <w:t>demandante</w:t>
      </w:r>
      <w:r w:rsidR="00C05C9D" w:rsidRPr="00864DDD">
        <w:rPr>
          <w:rFonts w:ascii="Arial" w:hAnsi="Arial" w:cs="Arial"/>
          <w:color w:val="000000"/>
          <w:sz w:val="22"/>
          <w:szCs w:val="22"/>
        </w:rPr>
        <w:t xml:space="preserve"> solicito pruebas testimoniales para acreditar dicha relación afectiva</w:t>
      </w:r>
      <w:r w:rsidR="00A572FC" w:rsidRPr="00864DDD">
        <w:rPr>
          <w:rFonts w:ascii="Arial" w:hAnsi="Arial" w:cs="Arial"/>
          <w:color w:val="000000"/>
          <w:sz w:val="22"/>
          <w:szCs w:val="22"/>
        </w:rPr>
        <w:t>.</w:t>
      </w:r>
      <w:r w:rsidR="00F12B60" w:rsidRPr="00864D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A85C51" w14:textId="77777777" w:rsidR="0027096F" w:rsidRPr="00864DDD" w:rsidRDefault="0027096F" w:rsidP="00D513AB">
      <w:pPr>
        <w:pStyle w:val="NormalWeb"/>
        <w:spacing w:before="0" w:beforeAutospacing="0" w:after="0" w:afterAutospacing="0" w:line="288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D52D7D9" w14:textId="60C62B39" w:rsidR="005954DA" w:rsidRPr="00864DDD" w:rsidRDefault="005954DA" w:rsidP="00D513AB">
      <w:pPr>
        <w:pStyle w:val="NormalWeb"/>
        <w:spacing w:before="0" w:beforeAutospacing="0" w:after="0" w:afterAutospacing="0" w:line="288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color w:val="000000"/>
          <w:sz w:val="22"/>
          <w:szCs w:val="22"/>
        </w:rPr>
        <w:t>A este valor se llegó, teniendo en cuenta los baremos indemnizatorios establecidos por el Consejo de Estado mediante Sentencia de Unificación del 28 de agosto de 2014. Consejero Ponente: Jaime Orlando Santofimio.</w:t>
      </w:r>
    </w:p>
    <w:p w14:paraId="4C7C31AB" w14:textId="77777777" w:rsidR="0027096F" w:rsidRPr="00864DDD" w:rsidRDefault="0027096F" w:rsidP="00D513AB">
      <w:pPr>
        <w:pStyle w:val="NormalWeb"/>
        <w:spacing w:before="0" w:beforeAutospacing="0" w:after="0" w:afterAutospacing="0" w:line="288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7713C90" w14:textId="242EB777" w:rsidR="00FE6F12" w:rsidRPr="00864DDD" w:rsidRDefault="001A6B32" w:rsidP="00D513AB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 xml:space="preserve">Por concepto de </w:t>
      </w:r>
      <w:r w:rsidR="00F12B60" w:rsidRPr="00864DDD">
        <w:rPr>
          <w:rFonts w:ascii="Arial" w:hAnsi="Arial" w:cs="Arial"/>
          <w:b/>
          <w:bCs/>
          <w:color w:val="000000"/>
          <w:sz w:val="22"/>
          <w:szCs w:val="22"/>
        </w:rPr>
        <w:t>afectación relevante a bienes o derechos convencional y constitucionalmente amparados</w:t>
      </w: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="00F12B60" w:rsidRPr="00864DDD">
        <w:rPr>
          <w:rFonts w:ascii="Arial" w:hAnsi="Arial" w:cs="Arial"/>
          <w:color w:val="000000"/>
          <w:sz w:val="22"/>
          <w:szCs w:val="22"/>
        </w:rPr>
        <w:t xml:space="preserve">No se reconoce esta tipología de perjuicios en el caso concreto, </w:t>
      </w:r>
      <w:r w:rsidR="00C858CA" w:rsidRPr="00864DDD">
        <w:rPr>
          <w:rFonts w:ascii="Arial" w:hAnsi="Arial" w:cs="Arial"/>
          <w:color w:val="000000"/>
          <w:sz w:val="22"/>
          <w:szCs w:val="22"/>
        </w:rPr>
        <w:t xml:space="preserve">por cuanto esta tipología de perjuicio no se repara con medidas pecuniarias y aplica solo para la víctima directa, quien infortunadamente falleció. Además, </w:t>
      </w:r>
      <w:r w:rsidR="00AE3AF2" w:rsidRPr="00864DDD">
        <w:rPr>
          <w:rFonts w:ascii="Arial" w:hAnsi="Arial" w:cs="Arial"/>
          <w:color w:val="000000"/>
          <w:sz w:val="22"/>
          <w:szCs w:val="22"/>
        </w:rPr>
        <w:t xml:space="preserve">no se reconocen 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porque,</w:t>
      </w:r>
      <w:r w:rsidR="00AE3AF2" w:rsidRPr="00864DDD">
        <w:rPr>
          <w:rFonts w:ascii="Arial" w:hAnsi="Arial" w:cs="Arial"/>
          <w:color w:val="000000"/>
          <w:sz w:val="22"/>
          <w:szCs w:val="22"/>
        </w:rPr>
        <w:t xml:space="preserve"> e</w:t>
      </w:r>
      <w:r w:rsidR="0075784F" w:rsidRPr="00864DDD">
        <w:rPr>
          <w:rFonts w:ascii="Arial" w:hAnsi="Arial" w:cs="Arial"/>
          <w:color w:val="000000"/>
          <w:sz w:val="22"/>
          <w:szCs w:val="22"/>
        </w:rPr>
        <w:t>n</w:t>
      </w:r>
      <w:r w:rsidR="00AE3AF2" w:rsidRPr="00864DDD">
        <w:rPr>
          <w:rFonts w:ascii="Arial" w:hAnsi="Arial" w:cs="Arial"/>
          <w:color w:val="000000"/>
          <w:sz w:val="22"/>
          <w:szCs w:val="22"/>
        </w:rPr>
        <w:t xml:space="preserve"> primer lugar, la parte actora</w:t>
      </w:r>
      <w:r w:rsidR="00F12B60" w:rsidRPr="00864DDD">
        <w:rPr>
          <w:rFonts w:ascii="Arial" w:hAnsi="Arial" w:cs="Arial"/>
          <w:color w:val="000000"/>
          <w:sz w:val="22"/>
          <w:szCs w:val="22"/>
        </w:rPr>
        <w:t xml:space="preserve"> no se dice específicamente cuáles </w:t>
      </w:r>
      <w:r w:rsidR="0075784F" w:rsidRPr="00864DDD">
        <w:rPr>
          <w:rFonts w:ascii="Arial" w:hAnsi="Arial" w:cs="Arial"/>
          <w:color w:val="000000"/>
          <w:sz w:val="22"/>
          <w:szCs w:val="22"/>
        </w:rPr>
        <w:t>bienes o derechos convencional y constitucionalmente amparados</w:t>
      </w:r>
      <w:r w:rsidR="00F12B60" w:rsidRPr="00864DDD">
        <w:rPr>
          <w:rFonts w:ascii="Arial" w:hAnsi="Arial" w:cs="Arial"/>
          <w:color w:val="000000"/>
          <w:sz w:val="22"/>
          <w:szCs w:val="22"/>
        </w:rPr>
        <w:t xml:space="preserve"> fueron aparentemente transgredidos. En segundo lugar, no obra en el expediente prueba alguna o elemento de juicio que demuestre tal vulneración alegada por el extremo actor.</w:t>
      </w:r>
    </w:p>
    <w:p w14:paraId="6EE5F92A" w14:textId="77777777" w:rsidR="00FE6F12" w:rsidRPr="00864DDD" w:rsidRDefault="00FE6F12" w:rsidP="00D513AB">
      <w:pPr>
        <w:pStyle w:val="NormalWeb"/>
        <w:spacing w:before="0" w:beforeAutospacing="0" w:after="0" w:afterAutospacing="0" w:line="288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6F61BE6" w14:textId="4065009F" w:rsidR="008C0E0A" w:rsidRPr="00864DDD" w:rsidRDefault="008C0E0A" w:rsidP="00D513AB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Por concepto de daño a la salud</w:t>
      </w:r>
      <w:r w:rsidR="00C858CA" w:rsidRPr="00864DDD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no se reconoce esta tipología de perjuicio, por cuanto el Consejo de Estado ha señalado que esta tipología de perjuicio solo opera para la víctima directa, siempre y cuando se demuestre el perjuicio alegado, y en el caso en concreto la víctima directa infortunadamente falleció. </w:t>
      </w:r>
    </w:p>
    <w:p w14:paraId="467E11DB" w14:textId="77777777" w:rsidR="0027096F" w:rsidRPr="00864DDD" w:rsidRDefault="0027096F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E2F8390" w14:textId="6176275F" w:rsidR="005954DA" w:rsidRPr="00864DDD" w:rsidRDefault="005954DA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color w:val="000000"/>
          <w:sz w:val="22"/>
          <w:szCs w:val="22"/>
        </w:rPr>
        <w:t>Del monto total de $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>3</w:t>
      </w:r>
      <w:r w:rsidR="00AA28E4" w:rsidRPr="00864DDD">
        <w:rPr>
          <w:rFonts w:ascii="Arial" w:hAnsi="Arial" w:cs="Arial"/>
          <w:color w:val="000000"/>
          <w:sz w:val="22"/>
          <w:szCs w:val="22"/>
        </w:rPr>
        <w:t>4</w:t>
      </w:r>
      <w:r w:rsidR="008C0E0A" w:rsidRPr="00864DDD">
        <w:rPr>
          <w:rFonts w:ascii="Arial" w:hAnsi="Arial" w:cs="Arial"/>
          <w:color w:val="000000"/>
          <w:sz w:val="22"/>
          <w:szCs w:val="22"/>
        </w:rPr>
        <w:t>8.000.000, no se descuenta deducible, dado que no se fijó.</w:t>
      </w:r>
    </w:p>
    <w:p w14:paraId="27619F60" w14:textId="77777777" w:rsidR="00330458" w:rsidRPr="00864DDD" w:rsidRDefault="00330458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AB058E" w14:textId="57E4C038" w:rsidR="00612E60" w:rsidRPr="00864DDD" w:rsidRDefault="00612E60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color w:val="000000"/>
          <w:sz w:val="22"/>
          <w:szCs w:val="22"/>
        </w:rPr>
        <w:t>Valor de acuerdo con la participación de cada aseguradora:</w:t>
      </w:r>
    </w:p>
    <w:p w14:paraId="3BA037F3" w14:textId="77777777" w:rsidR="00547E83" w:rsidRPr="00864DDD" w:rsidRDefault="00547E83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60D584" w14:textId="1C568631" w:rsidR="00612E60" w:rsidRPr="00864DDD" w:rsidRDefault="00612E60" w:rsidP="00D513AB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ASEGURADORA SOLIDARIA DE COLOMBIA: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($348.000.000*32/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100) =</w:t>
      </w:r>
      <w:r w:rsidR="00547E83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4DDD">
        <w:rPr>
          <w:rFonts w:ascii="Arial" w:hAnsi="Arial" w:cs="Arial"/>
          <w:color w:val="000000"/>
          <w:sz w:val="22"/>
          <w:szCs w:val="22"/>
        </w:rPr>
        <w:t>111.360.000.</w:t>
      </w:r>
    </w:p>
    <w:p w14:paraId="0CA7E72D" w14:textId="3A1E9C50" w:rsidR="00612E60" w:rsidRPr="00864DDD" w:rsidRDefault="00612E60" w:rsidP="00D513AB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SBS SEGUROS COLOMBIA: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($348.000.000*20/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100) =</w:t>
      </w:r>
      <w:r w:rsidR="00547E83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4DDD">
        <w:rPr>
          <w:rFonts w:ascii="Arial" w:hAnsi="Arial" w:cs="Arial"/>
          <w:color w:val="000000"/>
          <w:sz w:val="22"/>
          <w:szCs w:val="22"/>
        </w:rPr>
        <w:t>$69.600.0</w:t>
      </w:r>
      <w:r w:rsidR="00CC77C9">
        <w:rPr>
          <w:rFonts w:ascii="Arial" w:hAnsi="Arial" w:cs="Arial"/>
          <w:color w:val="000000"/>
          <w:sz w:val="22"/>
          <w:szCs w:val="22"/>
        </w:rPr>
        <w:t>0</w:t>
      </w:r>
      <w:r w:rsidRPr="00864DDD">
        <w:rPr>
          <w:rFonts w:ascii="Arial" w:hAnsi="Arial" w:cs="Arial"/>
          <w:color w:val="000000"/>
          <w:sz w:val="22"/>
          <w:szCs w:val="22"/>
        </w:rPr>
        <w:t>0.</w:t>
      </w:r>
    </w:p>
    <w:p w14:paraId="5C5276D0" w14:textId="6304DAC8" w:rsidR="00612E60" w:rsidRPr="00864DDD" w:rsidRDefault="00612E60" w:rsidP="00D513AB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COLPATRIA: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($348.000.000*10/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100) =</w:t>
      </w:r>
      <w:r w:rsidR="00547E83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4DDD">
        <w:rPr>
          <w:rFonts w:ascii="Arial" w:hAnsi="Arial" w:cs="Arial"/>
          <w:color w:val="000000"/>
          <w:sz w:val="22"/>
          <w:szCs w:val="22"/>
        </w:rPr>
        <w:t>$34.800.000.</w:t>
      </w:r>
    </w:p>
    <w:p w14:paraId="66403878" w14:textId="503AE0D9" w:rsidR="00612E60" w:rsidRPr="00864DDD" w:rsidRDefault="00612E60" w:rsidP="00D513AB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HDI SEGUROS S.A.: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($348.000.000*10/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100) =</w:t>
      </w:r>
      <w:r w:rsidR="00547E83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4DDD">
        <w:rPr>
          <w:rFonts w:ascii="Arial" w:hAnsi="Arial" w:cs="Arial"/>
          <w:color w:val="000000"/>
          <w:sz w:val="22"/>
          <w:szCs w:val="22"/>
        </w:rPr>
        <w:t>$34.800.000.</w:t>
      </w:r>
    </w:p>
    <w:p w14:paraId="4A6D337B" w14:textId="7997BF31" w:rsidR="00612E60" w:rsidRPr="00864DDD" w:rsidRDefault="00612E60" w:rsidP="00D513AB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4DDD">
        <w:rPr>
          <w:rFonts w:ascii="Arial" w:hAnsi="Arial" w:cs="Arial"/>
          <w:b/>
          <w:bCs/>
          <w:color w:val="000000"/>
          <w:sz w:val="22"/>
          <w:szCs w:val="22"/>
        </w:rPr>
        <w:t>CHUBB SEGUROS COLOMBIA:</w:t>
      </w:r>
      <w:r w:rsidRPr="00864DDD">
        <w:rPr>
          <w:rFonts w:ascii="Arial" w:hAnsi="Arial" w:cs="Arial"/>
          <w:color w:val="000000"/>
          <w:sz w:val="22"/>
          <w:szCs w:val="22"/>
        </w:rPr>
        <w:t xml:space="preserve"> ($348.000.000*28/</w:t>
      </w:r>
      <w:r w:rsidR="00B536DC" w:rsidRPr="00864DDD">
        <w:rPr>
          <w:rFonts w:ascii="Arial" w:hAnsi="Arial" w:cs="Arial"/>
          <w:color w:val="000000"/>
          <w:sz w:val="22"/>
          <w:szCs w:val="22"/>
        </w:rPr>
        <w:t>100) =</w:t>
      </w:r>
      <w:r w:rsidR="00547E83" w:rsidRPr="00864D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4DDD">
        <w:rPr>
          <w:rFonts w:ascii="Arial" w:hAnsi="Arial" w:cs="Arial"/>
          <w:color w:val="000000"/>
          <w:sz w:val="22"/>
          <w:szCs w:val="22"/>
        </w:rPr>
        <w:t>$97.440.000.</w:t>
      </w:r>
    </w:p>
    <w:p w14:paraId="382ED78A" w14:textId="77777777" w:rsidR="00612E60" w:rsidRPr="00864DDD" w:rsidRDefault="00612E60" w:rsidP="00D513A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B0810F9" w14:textId="77777777" w:rsidR="000C0327" w:rsidRPr="00864DDD" w:rsidRDefault="000C0327" w:rsidP="00D513AB">
      <w:pPr>
        <w:pStyle w:val="Prrafodelista"/>
        <w:spacing w:after="0" w:line="288" w:lineRule="auto"/>
        <w:ind w:left="1065"/>
        <w:jc w:val="both"/>
        <w:rPr>
          <w:rFonts w:ascii="Arial" w:hAnsi="Arial" w:cs="Arial"/>
        </w:rPr>
      </w:pPr>
    </w:p>
    <w:sectPr w:rsidR="000C0327" w:rsidRPr="00864DDD" w:rsidSect="00330458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325"/>
    <w:multiLevelType w:val="hybridMultilevel"/>
    <w:tmpl w:val="BE80DF24"/>
    <w:lvl w:ilvl="0" w:tplc="2700A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2590"/>
    <w:multiLevelType w:val="hybridMultilevel"/>
    <w:tmpl w:val="AC32899A"/>
    <w:lvl w:ilvl="0" w:tplc="CF06C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66FA"/>
    <w:multiLevelType w:val="hybridMultilevel"/>
    <w:tmpl w:val="9DE26816"/>
    <w:lvl w:ilvl="0" w:tplc="A4028426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48E3"/>
    <w:multiLevelType w:val="hybridMultilevel"/>
    <w:tmpl w:val="F1FCEA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852"/>
    <w:multiLevelType w:val="hybridMultilevel"/>
    <w:tmpl w:val="3E907002"/>
    <w:lvl w:ilvl="0" w:tplc="93B87D4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D60"/>
    <w:multiLevelType w:val="hybridMultilevel"/>
    <w:tmpl w:val="8BEEC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2715"/>
    <w:multiLevelType w:val="hybridMultilevel"/>
    <w:tmpl w:val="0472EAC2"/>
    <w:lvl w:ilvl="0" w:tplc="9C9A303E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B2D"/>
    <w:multiLevelType w:val="hybridMultilevel"/>
    <w:tmpl w:val="6AF6E11E"/>
    <w:lvl w:ilvl="0" w:tplc="2700A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0A0D"/>
    <w:multiLevelType w:val="hybridMultilevel"/>
    <w:tmpl w:val="F56CBEDA"/>
    <w:lvl w:ilvl="0" w:tplc="33DE1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0605">
    <w:abstractNumId w:val="5"/>
  </w:num>
  <w:num w:numId="2" w16cid:durableId="461076695">
    <w:abstractNumId w:val="8"/>
  </w:num>
  <w:num w:numId="3" w16cid:durableId="627707488">
    <w:abstractNumId w:val="3"/>
  </w:num>
  <w:num w:numId="4" w16cid:durableId="368726988">
    <w:abstractNumId w:val="4"/>
  </w:num>
  <w:num w:numId="5" w16cid:durableId="1249122977">
    <w:abstractNumId w:val="7"/>
  </w:num>
  <w:num w:numId="6" w16cid:durableId="1900050702">
    <w:abstractNumId w:val="2"/>
  </w:num>
  <w:num w:numId="7" w16cid:durableId="804127136">
    <w:abstractNumId w:val="0"/>
  </w:num>
  <w:num w:numId="8" w16cid:durableId="701054711">
    <w:abstractNumId w:val="6"/>
  </w:num>
  <w:num w:numId="9" w16cid:durableId="76395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F0"/>
    <w:rsid w:val="00030D58"/>
    <w:rsid w:val="000445D7"/>
    <w:rsid w:val="0005091C"/>
    <w:rsid w:val="00087BB1"/>
    <w:rsid w:val="00094394"/>
    <w:rsid w:val="00097C3D"/>
    <w:rsid w:val="000A11E0"/>
    <w:rsid w:val="000C0327"/>
    <w:rsid w:val="000D633B"/>
    <w:rsid w:val="001033E5"/>
    <w:rsid w:val="00105690"/>
    <w:rsid w:val="00124F2D"/>
    <w:rsid w:val="00152573"/>
    <w:rsid w:val="00176CFA"/>
    <w:rsid w:val="00194350"/>
    <w:rsid w:val="001A01B5"/>
    <w:rsid w:val="001A3C75"/>
    <w:rsid w:val="001A6535"/>
    <w:rsid w:val="001A6B32"/>
    <w:rsid w:val="00203664"/>
    <w:rsid w:val="002566C1"/>
    <w:rsid w:val="0027096F"/>
    <w:rsid w:val="002F1C8E"/>
    <w:rsid w:val="00301A93"/>
    <w:rsid w:val="00330458"/>
    <w:rsid w:val="00362955"/>
    <w:rsid w:val="0037239A"/>
    <w:rsid w:val="003B0FDB"/>
    <w:rsid w:val="0041325E"/>
    <w:rsid w:val="00417737"/>
    <w:rsid w:val="00425B5C"/>
    <w:rsid w:val="004302ED"/>
    <w:rsid w:val="00434D9E"/>
    <w:rsid w:val="00441770"/>
    <w:rsid w:val="0044770A"/>
    <w:rsid w:val="00482CD7"/>
    <w:rsid w:val="0048602E"/>
    <w:rsid w:val="004A0BC1"/>
    <w:rsid w:val="004B0E52"/>
    <w:rsid w:val="00502672"/>
    <w:rsid w:val="00546517"/>
    <w:rsid w:val="00547E83"/>
    <w:rsid w:val="00555913"/>
    <w:rsid w:val="00585BDB"/>
    <w:rsid w:val="00594ED0"/>
    <w:rsid w:val="005954DA"/>
    <w:rsid w:val="005975AA"/>
    <w:rsid w:val="005A47BE"/>
    <w:rsid w:val="005C4D57"/>
    <w:rsid w:val="00610DDD"/>
    <w:rsid w:val="00612E60"/>
    <w:rsid w:val="00626B26"/>
    <w:rsid w:val="00643810"/>
    <w:rsid w:val="00653DD0"/>
    <w:rsid w:val="00657F2C"/>
    <w:rsid w:val="0066217C"/>
    <w:rsid w:val="00666A7E"/>
    <w:rsid w:val="006B0692"/>
    <w:rsid w:val="006C198F"/>
    <w:rsid w:val="006C5B41"/>
    <w:rsid w:val="007327B5"/>
    <w:rsid w:val="0075784F"/>
    <w:rsid w:val="007D3CBB"/>
    <w:rsid w:val="007D59BF"/>
    <w:rsid w:val="007E2E3A"/>
    <w:rsid w:val="007E4CFE"/>
    <w:rsid w:val="007E5359"/>
    <w:rsid w:val="007E793A"/>
    <w:rsid w:val="00821B3F"/>
    <w:rsid w:val="00824CF7"/>
    <w:rsid w:val="00863A11"/>
    <w:rsid w:val="00864DDD"/>
    <w:rsid w:val="008769F8"/>
    <w:rsid w:val="008A63C4"/>
    <w:rsid w:val="008C0E0A"/>
    <w:rsid w:val="008C64D3"/>
    <w:rsid w:val="008C7947"/>
    <w:rsid w:val="008E3239"/>
    <w:rsid w:val="00932DA3"/>
    <w:rsid w:val="00935129"/>
    <w:rsid w:val="00937DCE"/>
    <w:rsid w:val="009459C7"/>
    <w:rsid w:val="00971DDD"/>
    <w:rsid w:val="009853A5"/>
    <w:rsid w:val="009B1726"/>
    <w:rsid w:val="009E3225"/>
    <w:rsid w:val="009F2F99"/>
    <w:rsid w:val="009F61F4"/>
    <w:rsid w:val="00A572FC"/>
    <w:rsid w:val="00A61207"/>
    <w:rsid w:val="00A63E6D"/>
    <w:rsid w:val="00A6434B"/>
    <w:rsid w:val="00A70C43"/>
    <w:rsid w:val="00AA28E4"/>
    <w:rsid w:val="00AC5D8D"/>
    <w:rsid w:val="00AD71A0"/>
    <w:rsid w:val="00AE3037"/>
    <w:rsid w:val="00AE3AF2"/>
    <w:rsid w:val="00B175A4"/>
    <w:rsid w:val="00B36776"/>
    <w:rsid w:val="00B536DC"/>
    <w:rsid w:val="00B92C94"/>
    <w:rsid w:val="00BB7ECC"/>
    <w:rsid w:val="00BF27EF"/>
    <w:rsid w:val="00C05C9D"/>
    <w:rsid w:val="00C409F0"/>
    <w:rsid w:val="00C5059F"/>
    <w:rsid w:val="00C857A0"/>
    <w:rsid w:val="00C858CA"/>
    <w:rsid w:val="00C965C8"/>
    <w:rsid w:val="00CC77C9"/>
    <w:rsid w:val="00CD4832"/>
    <w:rsid w:val="00CE1330"/>
    <w:rsid w:val="00CE7E42"/>
    <w:rsid w:val="00CF5E21"/>
    <w:rsid w:val="00D513AB"/>
    <w:rsid w:val="00D669E5"/>
    <w:rsid w:val="00D8071D"/>
    <w:rsid w:val="00DB67FF"/>
    <w:rsid w:val="00DC7881"/>
    <w:rsid w:val="00DF27BD"/>
    <w:rsid w:val="00E04E38"/>
    <w:rsid w:val="00E76C16"/>
    <w:rsid w:val="00E86CFF"/>
    <w:rsid w:val="00EC5F93"/>
    <w:rsid w:val="00EE0F74"/>
    <w:rsid w:val="00F12B60"/>
    <w:rsid w:val="00F35D79"/>
    <w:rsid w:val="00F46638"/>
    <w:rsid w:val="00F549F7"/>
    <w:rsid w:val="00F63D1F"/>
    <w:rsid w:val="00F6698B"/>
    <w:rsid w:val="00F77585"/>
    <w:rsid w:val="00FA5ABE"/>
    <w:rsid w:val="00FC0C2B"/>
    <w:rsid w:val="00FC3108"/>
    <w:rsid w:val="00FD5B03"/>
    <w:rsid w:val="00FE6F12"/>
    <w:rsid w:val="00FF180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E664A"/>
  <w15:chartTrackingRefBased/>
  <w15:docId w15:val="{C3AA9F41-7667-40CB-8FC6-09340E2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27096F"/>
    <w:pPr>
      <w:ind w:left="720"/>
      <w:contextualSpacing/>
    </w:pPr>
  </w:style>
  <w:style w:type="paragraph" w:customStyle="1" w:styleId="Default">
    <w:name w:val="Default"/>
    <w:rsid w:val="00441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1554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Jorge Luis Bermúdez Rojas</cp:lastModifiedBy>
  <cp:revision>116</cp:revision>
  <dcterms:created xsi:type="dcterms:W3CDTF">2023-08-22T03:34:00Z</dcterms:created>
  <dcterms:modified xsi:type="dcterms:W3CDTF">2023-11-15T15:07:00Z</dcterms:modified>
</cp:coreProperties>
</file>