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C244E" w14:textId="77777777" w:rsidR="00C3016C" w:rsidRPr="00DC3A84" w:rsidRDefault="00C3016C" w:rsidP="00FA3E5F">
      <w:pPr>
        <w:rPr>
          <w:rFonts w:asciiTheme="minorHAnsi" w:hAnsiTheme="minorHAnsi" w:cstheme="minorHAnsi"/>
          <w:b/>
          <w:sz w:val="20"/>
          <w:szCs w:val="20"/>
          <w:lang w:val="es-ES_tradnl"/>
        </w:rPr>
      </w:pPr>
    </w:p>
    <w:tbl>
      <w:tblPr>
        <w:tblStyle w:val="Tablaconcuadrcula"/>
        <w:tblW w:w="9983" w:type="dxa"/>
        <w:tblLook w:val="04A0" w:firstRow="1" w:lastRow="0" w:firstColumn="1" w:lastColumn="0" w:noHBand="0" w:noVBand="1"/>
      </w:tblPr>
      <w:tblGrid>
        <w:gridCol w:w="2518"/>
        <w:gridCol w:w="7465"/>
      </w:tblGrid>
      <w:tr w:rsidR="00C3016C" w:rsidRPr="00DC3A84" w14:paraId="680EB41E" w14:textId="77777777" w:rsidTr="00C3016C">
        <w:tc>
          <w:tcPr>
            <w:tcW w:w="9983" w:type="dxa"/>
            <w:gridSpan w:val="2"/>
            <w:shd w:val="clear" w:color="auto" w:fill="1F3864" w:themeFill="accent1" w:themeFillShade="80"/>
          </w:tcPr>
          <w:p w14:paraId="2A6B0E42" w14:textId="09A01D5F" w:rsidR="00C3016C" w:rsidRPr="00DC3A84" w:rsidRDefault="00C3016C" w:rsidP="00C3016C">
            <w:pPr>
              <w:jc w:val="cente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INFORME INICIAL DEL PROCESO</w:t>
            </w:r>
          </w:p>
        </w:tc>
      </w:tr>
      <w:tr w:rsidR="00C3016C" w:rsidRPr="00DC3A84" w14:paraId="4BC558F4" w14:textId="77777777" w:rsidTr="00C359FA">
        <w:tc>
          <w:tcPr>
            <w:tcW w:w="2518" w:type="dxa"/>
            <w:shd w:val="clear" w:color="auto" w:fill="D9D9D9" w:themeFill="background1" w:themeFillShade="D9"/>
          </w:tcPr>
          <w:p w14:paraId="28F99CFA"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Apoderado:</w:t>
            </w:r>
          </w:p>
        </w:tc>
        <w:tc>
          <w:tcPr>
            <w:tcW w:w="7465" w:type="dxa"/>
          </w:tcPr>
          <w:p w14:paraId="0B07F818" w14:textId="7760C8C0" w:rsidR="00C3016C" w:rsidRPr="00DC3A84" w:rsidRDefault="00F93AD5" w:rsidP="00C359FA">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 xml:space="preserve">Gustavo Alberto Herrera Ávila </w:t>
            </w:r>
          </w:p>
        </w:tc>
      </w:tr>
      <w:tr w:rsidR="00C3016C" w:rsidRPr="00DC3A84" w14:paraId="05CE423E" w14:textId="77777777" w:rsidTr="00C359FA">
        <w:tc>
          <w:tcPr>
            <w:tcW w:w="2518" w:type="dxa"/>
            <w:shd w:val="clear" w:color="auto" w:fill="D9D9D9" w:themeFill="background1" w:themeFillShade="D9"/>
          </w:tcPr>
          <w:p w14:paraId="6CF2773B"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Tipo y # de Póliza:</w:t>
            </w:r>
          </w:p>
        </w:tc>
        <w:tc>
          <w:tcPr>
            <w:tcW w:w="7465" w:type="dxa"/>
          </w:tcPr>
          <w:p w14:paraId="2CD51689" w14:textId="46D201D3" w:rsidR="00C3016C" w:rsidRPr="00DC3A84" w:rsidRDefault="00F93AD5" w:rsidP="00C359FA">
            <w:pPr>
              <w:jc w:val="both"/>
              <w:rPr>
                <w:rFonts w:asciiTheme="minorHAnsi" w:hAnsiTheme="minorHAnsi" w:cstheme="minorHAnsi"/>
                <w:sz w:val="20"/>
                <w:szCs w:val="20"/>
                <w:lang w:val="es-ES_tradnl"/>
              </w:rPr>
            </w:pPr>
            <w:r w:rsidRPr="00DC3A84">
              <w:rPr>
                <w:rFonts w:asciiTheme="minorHAnsi" w:hAnsiTheme="minorHAnsi" w:cstheme="minorHAnsi"/>
                <w:b/>
                <w:bCs/>
                <w:sz w:val="20"/>
                <w:szCs w:val="20"/>
                <w:lang w:eastAsia="en-US"/>
              </w:rPr>
              <w:t>RCE No. 420 80 994000000181</w:t>
            </w:r>
          </w:p>
        </w:tc>
      </w:tr>
      <w:tr w:rsidR="00C3016C" w:rsidRPr="00DC3A84" w14:paraId="3EA02A2A" w14:textId="77777777" w:rsidTr="00C359FA">
        <w:tc>
          <w:tcPr>
            <w:tcW w:w="2518" w:type="dxa"/>
            <w:shd w:val="clear" w:color="auto" w:fill="D9D9D9" w:themeFill="background1" w:themeFillShade="D9"/>
          </w:tcPr>
          <w:p w14:paraId="54CFE80A"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Amparos afectados:</w:t>
            </w:r>
          </w:p>
        </w:tc>
        <w:tc>
          <w:tcPr>
            <w:tcW w:w="7465" w:type="dxa"/>
          </w:tcPr>
          <w:p w14:paraId="4705A538" w14:textId="3DD41C2E" w:rsidR="00C3016C" w:rsidRPr="00DC3A84" w:rsidRDefault="00F93AD5" w:rsidP="00C359FA">
            <w:pPr>
              <w:tabs>
                <w:tab w:val="left" w:pos="5740"/>
              </w:tabs>
              <w:jc w:val="both"/>
              <w:rPr>
                <w:rFonts w:asciiTheme="minorHAnsi" w:hAnsiTheme="minorHAnsi" w:cstheme="minorHAnsi"/>
                <w:sz w:val="20"/>
                <w:szCs w:val="20"/>
                <w:lang w:val="es-ES_tradnl"/>
              </w:rPr>
            </w:pPr>
            <w:r w:rsidRPr="00DC3A84">
              <w:rPr>
                <w:rFonts w:asciiTheme="minorHAnsi" w:hAnsiTheme="minorHAnsi" w:cstheme="minorHAnsi"/>
                <w:sz w:val="20"/>
                <w:szCs w:val="20"/>
                <w:lang w:eastAsia="en-US"/>
              </w:rPr>
              <w:t>Predios, Labores y Operaciones</w:t>
            </w:r>
          </w:p>
        </w:tc>
      </w:tr>
      <w:tr w:rsidR="00C3016C" w:rsidRPr="00DC3A84" w14:paraId="6EEEE1EE" w14:textId="77777777" w:rsidTr="00C359FA">
        <w:tc>
          <w:tcPr>
            <w:tcW w:w="2518" w:type="dxa"/>
            <w:shd w:val="clear" w:color="auto" w:fill="D9D9D9" w:themeFill="background1" w:themeFillShade="D9"/>
          </w:tcPr>
          <w:p w14:paraId="217E586A"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Tomador:</w:t>
            </w:r>
          </w:p>
        </w:tc>
        <w:tc>
          <w:tcPr>
            <w:tcW w:w="7465" w:type="dxa"/>
          </w:tcPr>
          <w:p w14:paraId="0712951B" w14:textId="75EFA6FE" w:rsidR="00C3016C" w:rsidRPr="00DC3A84" w:rsidRDefault="00F93AD5" w:rsidP="00C359FA">
            <w:pPr>
              <w:jc w:val="both"/>
              <w:rPr>
                <w:rFonts w:asciiTheme="minorHAnsi" w:hAnsiTheme="minorHAnsi" w:cstheme="minorHAnsi"/>
                <w:sz w:val="20"/>
                <w:szCs w:val="20"/>
                <w:lang w:val="pt-BR"/>
              </w:rPr>
            </w:pPr>
            <w:r w:rsidRPr="00DC3A84">
              <w:rPr>
                <w:rFonts w:asciiTheme="minorHAnsi" w:hAnsiTheme="minorHAnsi" w:cstheme="minorHAnsi"/>
                <w:sz w:val="20"/>
                <w:szCs w:val="20"/>
                <w:lang w:val="pt-BR"/>
              </w:rPr>
              <w:t>Distrito Especial de Santiago de Cali</w:t>
            </w:r>
          </w:p>
        </w:tc>
      </w:tr>
      <w:tr w:rsidR="00C3016C" w:rsidRPr="00DC3A84" w14:paraId="30CA897D" w14:textId="77777777" w:rsidTr="00C359FA">
        <w:tc>
          <w:tcPr>
            <w:tcW w:w="2518" w:type="dxa"/>
            <w:shd w:val="clear" w:color="auto" w:fill="D9D9D9" w:themeFill="background1" w:themeFillShade="D9"/>
          </w:tcPr>
          <w:p w14:paraId="5D5E5F58"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Asegurado:</w:t>
            </w:r>
          </w:p>
        </w:tc>
        <w:tc>
          <w:tcPr>
            <w:tcW w:w="7465" w:type="dxa"/>
          </w:tcPr>
          <w:p w14:paraId="087CA4CA" w14:textId="6E735D38" w:rsidR="00C3016C" w:rsidRPr="00DC3A84" w:rsidRDefault="00F93AD5" w:rsidP="00C359FA">
            <w:pPr>
              <w:jc w:val="both"/>
              <w:rPr>
                <w:rFonts w:asciiTheme="minorHAnsi" w:hAnsiTheme="minorHAnsi" w:cstheme="minorHAnsi"/>
                <w:sz w:val="20"/>
                <w:szCs w:val="20"/>
                <w:lang w:val="pt-BR"/>
              </w:rPr>
            </w:pPr>
            <w:r w:rsidRPr="00DC3A84">
              <w:rPr>
                <w:rFonts w:asciiTheme="minorHAnsi" w:hAnsiTheme="minorHAnsi" w:cstheme="minorHAnsi"/>
                <w:sz w:val="20"/>
                <w:szCs w:val="20"/>
                <w:lang w:val="pt-BR"/>
              </w:rPr>
              <w:t>Distrito Especial de Santiago de Cali</w:t>
            </w:r>
          </w:p>
        </w:tc>
      </w:tr>
      <w:tr w:rsidR="00C3016C" w:rsidRPr="00DC3A84" w14:paraId="5D17C2C5" w14:textId="77777777" w:rsidTr="00C359FA">
        <w:tc>
          <w:tcPr>
            <w:tcW w:w="2518" w:type="dxa"/>
            <w:shd w:val="clear" w:color="auto" w:fill="D9D9D9" w:themeFill="background1" w:themeFillShade="D9"/>
          </w:tcPr>
          <w:p w14:paraId="65094B69"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Tipo de Proceso:</w:t>
            </w:r>
          </w:p>
        </w:tc>
        <w:tc>
          <w:tcPr>
            <w:tcW w:w="7465" w:type="dxa"/>
          </w:tcPr>
          <w:p w14:paraId="309EF488" w14:textId="6042D71C" w:rsidR="00C3016C" w:rsidRPr="00DC3A84" w:rsidRDefault="00F93AD5" w:rsidP="00C359FA">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 xml:space="preserve">Reparación directa </w:t>
            </w:r>
          </w:p>
        </w:tc>
      </w:tr>
      <w:tr w:rsidR="00C3016C" w:rsidRPr="00DC3A84" w14:paraId="5DB3C2DA" w14:textId="77777777" w:rsidTr="00C359FA">
        <w:tc>
          <w:tcPr>
            <w:tcW w:w="2518" w:type="dxa"/>
            <w:shd w:val="clear" w:color="auto" w:fill="D9D9D9" w:themeFill="background1" w:themeFillShade="D9"/>
          </w:tcPr>
          <w:p w14:paraId="7397F6B3"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Jurisdicción:</w:t>
            </w:r>
          </w:p>
        </w:tc>
        <w:tc>
          <w:tcPr>
            <w:tcW w:w="7465" w:type="dxa"/>
          </w:tcPr>
          <w:p w14:paraId="27E029E3" w14:textId="625E829B" w:rsidR="00C3016C" w:rsidRPr="00DC3A84" w:rsidRDefault="00F93AD5" w:rsidP="00C359FA">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 xml:space="preserve">Contencioso administrativo </w:t>
            </w:r>
          </w:p>
        </w:tc>
      </w:tr>
      <w:tr w:rsidR="00C3016C" w:rsidRPr="00DC3A84" w14:paraId="28C51AE9" w14:textId="77777777" w:rsidTr="00C359FA">
        <w:tc>
          <w:tcPr>
            <w:tcW w:w="2518" w:type="dxa"/>
            <w:shd w:val="clear" w:color="auto" w:fill="D9D9D9" w:themeFill="background1" w:themeFillShade="D9"/>
          </w:tcPr>
          <w:p w14:paraId="544719C8"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Despacho:</w:t>
            </w:r>
          </w:p>
        </w:tc>
        <w:tc>
          <w:tcPr>
            <w:tcW w:w="7465" w:type="dxa"/>
          </w:tcPr>
          <w:p w14:paraId="46B4FFC6" w14:textId="0A81B065" w:rsidR="00C3016C" w:rsidRPr="00DC3A84" w:rsidRDefault="00F93AD5" w:rsidP="00C359FA">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Juzgado 02 administrativo del Circuito de Cali</w:t>
            </w:r>
          </w:p>
        </w:tc>
      </w:tr>
      <w:tr w:rsidR="00C3016C" w:rsidRPr="00DC3A84" w14:paraId="1E19F9F0" w14:textId="77777777" w:rsidTr="00C359FA">
        <w:tc>
          <w:tcPr>
            <w:tcW w:w="2518" w:type="dxa"/>
            <w:shd w:val="clear" w:color="auto" w:fill="D9D9D9" w:themeFill="background1" w:themeFillShade="D9"/>
          </w:tcPr>
          <w:p w14:paraId="2CA6172A"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Ciudad:</w:t>
            </w:r>
          </w:p>
        </w:tc>
        <w:tc>
          <w:tcPr>
            <w:tcW w:w="7465" w:type="dxa"/>
          </w:tcPr>
          <w:p w14:paraId="7AD37AC6" w14:textId="5242A701" w:rsidR="00C3016C" w:rsidRPr="00DC3A84" w:rsidRDefault="00F93AD5" w:rsidP="00C359FA">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Cali</w:t>
            </w:r>
          </w:p>
        </w:tc>
      </w:tr>
      <w:tr w:rsidR="00C3016C" w:rsidRPr="00DC3A84" w14:paraId="7ED4A0CC" w14:textId="77777777" w:rsidTr="00C359FA">
        <w:tc>
          <w:tcPr>
            <w:tcW w:w="2518" w:type="dxa"/>
            <w:shd w:val="clear" w:color="auto" w:fill="D9D9D9" w:themeFill="background1" w:themeFillShade="D9"/>
          </w:tcPr>
          <w:p w14:paraId="65963757"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Radicado (23 dígitos):</w:t>
            </w:r>
          </w:p>
        </w:tc>
        <w:tc>
          <w:tcPr>
            <w:tcW w:w="7465" w:type="dxa"/>
          </w:tcPr>
          <w:p w14:paraId="4ED5E590" w14:textId="2D31CD83" w:rsidR="00C3016C" w:rsidRPr="00DC3A84" w:rsidRDefault="00F93AD5" w:rsidP="00C359FA">
            <w:pPr>
              <w:jc w:val="both"/>
              <w:rPr>
                <w:rFonts w:asciiTheme="minorHAnsi" w:hAnsiTheme="minorHAnsi" w:cstheme="minorHAnsi"/>
                <w:sz w:val="20"/>
                <w:szCs w:val="20"/>
                <w:lang w:val="es-ES_tradnl"/>
              </w:rPr>
            </w:pPr>
            <w:r w:rsidRPr="00DC3A84">
              <w:rPr>
                <w:rFonts w:asciiTheme="minorHAnsi" w:hAnsiTheme="minorHAnsi" w:cstheme="minorHAnsi"/>
                <w:sz w:val="20"/>
                <w:szCs w:val="20"/>
                <w:lang w:eastAsia="en-US"/>
              </w:rPr>
              <w:t>76001-33-33-002-</w:t>
            </w:r>
            <w:r w:rsidRPr="00DC3A84">
              <w:rPr>
                <w:rFonts w:asciiTheme="minorHAnsi" w:hAnsiTheme="minorHAnsi" w:cstheme="minorHAnsi"/>
                <w:b/>
                <w:bCs/>
                <w:sz w:val="20"/>
                <w:szCs w:val="20"/>
                <w:lang w:eastAsia="en-US"/>
              </w:rPr>
              <w:t>2022</w:t>
            </w:r>
            <w:r w:rsidRPr="00DC3A84">
              <w:rPr>
                <w:rFonts w:asciiTheme="minorHAnsi" w:hAnsiTheme="minorHAnsi" w:cstheme="minorHAnsi"/>
                <w:sz w:val="20"/>
                <w:szCs w:val="20"/>
                <w:lang w:eastAsia="en-US"/>
              </w:rPr>
              <w:t>-00</w:t>
            </w:r>
            <w:r w:rsidRPr="00DC3A84">
              <w:rPr>
                <w:rFonts w:asciiTheme="minorHAnsi" w:hAnsiTheme="minorHAnsi" w:cstheme="minorHAnsi"/>
                <w:b/>
                <w:bCs/>
                <w:sz w:val="20"/>
                <w:szCs w:val="20"/>
                <w:lang w:eastAsia="en-US"/>
              </w:rPr>
              <w:t>185</w:t>
            </w:r>
            <w:r w:rsidRPr="00DC3A84">
              <w:rPr>
                <w:rFonts w:asciiTheme="minorHAnsi" w:hAnsiTheme="minorHAnsi" w:cstheme="minorHAnsi"/>
                <w:sz w:val="20"/>
                <w:szCs w:val="20"/>
                <w:lang w:eastAsia="en-US"/>
              </w:rPr>
              <w:t>-00</w:t>
            </w:r>
          </w:p>
        </w:tc>
      </w:tr>
      <w:tr w:rsidR="00C3016C" w:rsidRPr="00B86835" w14:paraId="365EB3D3" w14:textId="77777777" w:rsidTr="00C359FA">
        <w:tc>
          <w:tcPr>
            <w:tcW w:w="2518" w:type="dxa"/>
            <w:shd w:val="clear" w:color="auto" w:fill="D9D9D9" w:themeFill="background1" w:themeFillShade="D9"/>
          </w:tcPr>
          <w:p w14:paraId="3E29A9FF"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Demandantes:</w:t>
            </w:r>
          </w:p>
        </w:tc>
        <w:tc>
          <w:tcPr>
            <w:tcW w:w="7465" w:type="dxa"/>
          </w:tcPr>
          <w:p w14:paraId="6B91A1C4" w14:textId="50A43348" w:rsidR="00C3016C" w:rsidRPr="00B86835" w:rsidRDefault="00F93AD5" w:rsidP="00C359FA">
            <w:pPr>
              <w:jc w:val="both"/>
              <w:rPr>
                <w:rFonts w:asciiTheme="minorHAnsi" w:hAnsiTheme="minorHAnsi" w:cstheme="minorHAnsi"/>
                <w:sz w:val="20"/>
                <w:szCs w:val="20"/>
                <w:lang w:val="pt-BR"/>
              </w:rPr>
            </w:pPr>
            <w:r w:rsidRPr="00B86835">
              <w:rPr>
                <w:rFonts w:asciiTheme="minorHAnsi" w:hAnsiTheme="minorHAnsi" w:cstheme="minorHAnsi"/>
                <w:sz w:val="20"/>
                <w:szCs w:val="20"/>
                <w:lang w:val="pt-BR"/>
              </w:rPr>
              <w:t xml:space="preserve">Elizabeth </w:t>
            </w:r>
            <w:proofErr w:type="spellStart"/>
            <w:r w:rsidRPr="00B86835">
              <w:rPr>
                <w:rFonts w:asciiTheme="minorHAnsi" w:hAnsiTheme="minorHAnsi" w:cstheme="minorHAnsi"/>
                <w:sz w:val="20"/>
                <w:szCs w:val="20"/>
                <w:lang w:val="pt-BR"/>
              </w:rPr>
              <w:t>Monsalve</w:t>
            </w:r>
            <w:proofErr w:type="spellEnd"/>
            <w:r w:rsidR="00B86835" w:rsidRPr="00B86835">
              <w:rPr>
                <w:rFonts w:asciiTheme="minorHAnsi" w:hAnsiTheme="minorHAnsi" w:cstheme="minorHAnsi"/>
                <w:sz w:val="20"/>
                <w:szCs w:val="20"/>
                <w:lang w:val="pt-BR"/>
              </w:rPr>
              <w:t xml:space="preserve"> </w:t>
            </w:r>
            <w:proofErr w:type="spellStart"/>
            <w:r w:rsidR="00B86835" w:rsidRPr="00B86835">
              <w:rPr>
                <w:rFonts w:asciiTheme="minorHAnsi" w:hAnsiTheme="minorHAnsi" w:cstheme="minorHAnsi"/>
                <w:sz w:val="20"/>
                <w:szCs w:val="20"/>
                <w:lang w:val="pt-BR"/>
              </w:rPr>
              <w:t>B</w:t>
            </w:r>
            <w:r w:rsidR="00B86835">
              <w:rPr>
                <w:rFonts w:asciiTheme="minorHAnsi" w:hAnsiTheme="minorHAnsi" w:cstheme="minorHAnsi"/>
                <w:sz w:val="20"/>
                <w:szCs w:val="20"/>
                <w:lang w:val="pt-BR"/>
              </w:rPr>
              <w:t>uitrago</w:t>
            </w:r>
            <w:proofErr w:type="spellEnd"/>
          </w:p>
          <w:p w14:paraId="5F6B6717" w14:textId="7D2D7381" w:rsidR="00F93AD5" w:rsidRPr="00B86835" w:rsidRDefault="00F93AD5" w:rsidP="00C359FA">
            <w:pPr>
              <w:jc w:val="both"/>
              <w:rPr>
                <w:rFonts w:asciiTheme="minorHAnsi" w:hAnsiTheme="minorHAnsi" w:cstheme="minorHAnsi"/>
                <w:sz w:val="20"/>
                <w:szCs w:val="20"/>
                <w:lang w:val="pt-BR"/>
              </w:rPr>
            </w:pPr>
            <w:r w:rsidRPr="00B86835">
              <w:rPr>
                <w:rFonts w:asciiTheme="minorHAnsi" w:hAnsiTheme="minorHAnsi" w:cstheme="minorHAnsi"/>
                <w:sz w:val="20"/>
                <w:szCs w:val="20"/>
                <w:lang w:val="pt-BR"/>
              </w:rPr>
              <w:t xml:space="preserve">Tatiana Vargas </w:t>
            </w:r>
            <w:proofErr w:type="spellStart"/>
            <w:r w:rsidRPr="00B86835">
              <w:rPr>
                <w:rFonts w:asciiTheme="minorHAnsi" w:hAnsiTheme="minorHAnsi" w:cstheme="minorHAnsi"/>
                <w:sz w:val="20"/>
                <w:szCs w:val="20"/>
                <w:lang w:val="pt-BR"/>
              </w:rPr>
              <w:t>Monsalve</w:t>
            </w:r>
            <w:proofErr w:type="spellEnd"/>
          </w:p>
        </w:tc>
      </w:tr>
      <w:tr w:rsidR="00C3016C" w:rsidRPr="00DC3A84" w14:paraId="26F1C674" w14:textId="77777777" w:rsidTr="00C359FA">
        <w:tc>
          <w:tcPr>
            <w:tcW w:w="2518" w:type="dxa"/>
            <w:shd w:val="clear" w:color="auto" w:fill="D9D9D9" w:themeFill="background1" w:themeFillShade="D9"/>
          </w:tcPr>
          <w:p w14:paraId="6A2570A7" w14:textId="77777777"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Demandados:</w:t>
            </w:r>
          </w:p>
        </w:tc>
        <w:tc>
          <w:tcPr>
            <w:tcW w:w="7465" w:type="dxa"/>
          </w:tcPr>
          <w:p w14:paraId="395FB00D" w14:textId="227BD6EE" w:rsidR="00C3016C" w:rsidRPr="00DC3A84" w:rsidRDefault="00F93AD5" w:rsidP="00C359FA">
            <w:pPr>
              <w:jc w:val="both"/>
              <w:rPr>
                <w:rFonts w:asciiTheme="minorHAnsi" w:hAnsiTheme="minorHAnsi" w:cstheme="minorHAnsi"/>
                <w:sz w:val="20"/>
                <w:szCs w:val="20"/>
                <w:lang w:val="pt-BR"/>
              </w:rPr>
            </w:pPr>
            <w:r w:rsidRPr="00DC3A84">
              <w:rPr>
                <w:rFonts w:asciiTheme="minorHAnsi" w:hAnsiTheme="minorHAnsi" w:cstheme="minorHAnsi"/>
                <w:sz w:val="20"/>
                <w:szCs w:val="20"/>
                <w:lang w:val="pt-BR"/>
              </w:rPr>
              <w:t>Distrito Especial de Santiago de Cali</w:t>
            </w:r>
          </w:p>
        </w:tc>
      </w:tr>
      <w:tr w:rsidR="00C3016C" w:rsidRPr="00DC3A84" w14:paraId="737C3CF7" w14:textId="77777777" w:rsidTr="00C359FA">
        <w:tc>
          <w:tcPr>
            <w:tcW w:w="2518" w:type="dxa"/>
            <w:shd w:val="clear" w:color="auto" w:fill="D9D9D9" w:themeFill="background1" w:themeFillShade="D9"/>
          </w:tcPr>
          <w:p w14:paraId="245720EA" w14:textId="551DB834" w:rsidR="00C3016C" w:rsidRPr="00DC3A84" w:rsidRDefault="00C3016C" w:rsidP="00C359FA">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 xml:space="preserve">Tipo de vinculación de </w:t>
            </w:r>
            <w:r w:rsidR="009A6A3A" w:rsidRPr="00DC3A84">
              <w:rPr>
                <w:rFonts w:asciiTheme="minorHAnsi" w:hAnsiTheme="minorHAnsi" w:cstheme="minorHAnsi"/>
                <w:b/>
                <w:sz w:val="20"/>
                <w:szCs w:val="20"/>
                <w:lang w:val="es-ES_tradnl"/>
              </w:rPr>
              <w:t>HDI</w:t>
            </w:r>
            <w:r w:rsidRPr="00DC3A84">
              <w:rPr>
                <w:rFonts w:asciiTheme="minorHAnsi" w:hAnsiTheme="minorHAnsi" w:cstheme="minorHAnsi"/>
                <w:b/>
                <w:sz w:val="20"/>
                <w:szCs w:val="20"/>
                <w:lang w:val="es-ES_tradnl"/>
              </w:rPr>
              <w:t xml:space="preserve"> (directa, llamamiento en garantía, litisconsorte):</w:t>
            </w:r>
          </w:p>
        </w:tc>
        <w:tc>
          <w:tcPr>
            <w:tcW w:w="7465" w:type="dxa"/>
          </w:tcPr>
          <w:p w14:paraId="3D968381" w14:textId="77777777" w:rsidR="00C3016C" w:rsidRPr="00DC3A84" w:rsidRDefault="00C3016C" w:rsidP="00C359FA">
            <w:pPr>
              <w:jc w:val="both"/>
              <w:rPr>
                <w:rFonts w:asciiTheme="minorHAnsi" w:hAnsiTheme="minorHAnsi" w:cstheme="minorHAnsi"/>
                <w:sz w:val="20"/>
                <w:szCs w:val="20"/>
                <w:lang w:val="es-ES_tradnl"/>
              </w:rPr>
            </w:pPr>
          </w:p>
          <w:p w14:paraId="523FC52D" w14:textId="56A983B3" w:rsidR="00C3016C" w:rsidRPr="00DC3A84" w:rsidRDefault="00F72F23" w:rsidP="00F72F23">
            <w:pPr>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 xml:space="preserve">Llamamiento en garantía </w:t>
            </w:r>
          </w:p>
        </w:tc>
      </w:tr>
      <w:tr w:rsidR="00F72F23" w:rsidRPr="00DC3A84" w14:paraId="310FFED0" w14:textId="77777777" w:rsidTr="00C359FA">
        <w:tc>
          <w:tcPr>
            <w:tcW w:w="2518" w:type="dxa"/>
            <w:shd w:val="clear" w:color="auto" w:fill="D9D9D9" w:themeFill="background1" w:themeFillShade="D9"/>
          </w:tcPr>
          <w:p w14:paraId="003BC5F9"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Resumen de los hechos:</w:t>
            </w:r>
          </w:p>
        </w:tc>
        <w:tc>
          <w:tcPr>
            <w:tcW w:w="7465" w:type="dxa"/>
          </w:tcPr>
          <w:p w14:paraId="5CACED21" w14:textId="77777777" w:rsidR="00F72F23" w:rsidRPr="00DC3A84" w:rsidRDefault="00F72F23" w:rsidP="00F72F23">
            <w:pPr>
              <w:spacing w:after="160" w:line="254" w:lineRule="auto"/>
              <w:jc w:val="both"/>
              <w:rPr>
                <w:rFonts w:asciiTheme="minorHAnsi" w:hAnsiTheme="minorHAnsi" w:cstheme="minorHAnsi"/>
                <w:sz w:val="20"/>
                <w:szCs w:val="20"/>
                <w:lang w:eastAsia="en-US"/>
              </w:rPr>
            </w:pPr>
            <w:r w:rsidRPr="00DC3A84">
              <w:rPr>
                <w:rFonts w:asciiTheme="minorHAnsi" w:hAnsiTheme="minorHAnsi" w:cstheme="minorHAnsi"/>
                <w:sz w:val="20"/>
                <w:szCs w:val="20"/>
                <w:lang w:eastAsia="en-US"/>
              </w:rPr>
              <w:t>El día 21 de agosto del año 2020 a las 7:00 p.m., la señora Elizabeth Monsalve Buitrago, se dispuso a montar bicicleta con su vecino, el señor Francisco Javier Peña Berrio. Según el relato de la demanda, cuando se desplazaba en su bicicleta por la Calle 70 norte 5n 21, había un hueco en ese punto, lo que provocó que la llanta delantera de la bicicleta de la señora Elizabeth Monsalve Buitrago se fuera a dicho hueco, perdiendo la estabilidad de la bicicleta y provocando que esta fuera expulsada de la bicicleta.</w:t>
            </w:r>
          </w:p>
          <w:p w14:paraId="7111EDAB" w14:textId="77777777" w:rsidR="00F72F23" w:rsidRPr="00DC3A84" w:rsidRDefault="00F72F23" w:rsidP="00F72F23">
            <w:pPr>
              <w:spacing w:after="160" w:line="254" w:lineRule="auto"/>
              <w:jc w:val="both"/>
              <w:rPr>
                <w:rFonts w:asciiTheme="minorHAnsi" w:hAnsiTheme="minorHAnsi" w:cstheme="minorHAnsi"/>
                <w:sz w:val="20"/>
                <w:szCs w:val="20"/>
                <w:lang w:eastAsia="en-US"/>
              </w:rPr>
            </w:pPr>
            <w:r w:rsidRPr="00DC3A84">
              <w:rPr>
                <w:rFonts w:asciiTheme="minorHAnsi" w:hAnsiTheme="minorHAnsi" w:cstheme="minorHAnsi"/>
                <w:sz w:val="20"/>
                <w:szCs w:val="20"/>
                <w:lang w:eastAsia="en-US"/>
              </w:rPr>
              <w:t xml:space="preserve">Con motivo del accidente, la señora Elizabeth Monsalve fue trasladada de urgencia a la CLÍNICA DE OCCIDENTE, donde fue atendida por los galenos, los cuales, le diagnosticaron trauma a nivel de sus extremidades superiores y craneoencefálico, con deformidad en dorso de tenedor de antebrazo izquierdo. producto de la lesión fue necesario hacerle una intervención quirúrgica en su brazo izquierdo el día 25 de agosto de 2020, siendo dada de alta el día 27 de agosto del mismo año, con incapacidad de 60 días. </w:t>
            </w:r>
          </w:p>
          <w:p w14:paraId="102686D9" w14:textId="57D79B6D" w:rsidR="00F72F23" w:rsidRPr="00DC3A84" w:rsidRDefault="00F72F23" w:rsidP="00F72F23">
            <w:pPr>
              <w:jc w:val="both"/>
              <w:rPr>
                <w:rFonts w:asciiTheme="minorHAnsi" w:hAnsiTheme="minorHAnsi" w:cstheme="minorHAnsi"/>
                <w:sz w:val="20"/>
                <w:szCs w:val="20"/>
                <w:lang w:val="es-ES_tradnl"/>
              </w:rPr>
            </w:pPr>
            <w:r w:rsidRPr="00DC3A84">
              <w:rPr>
                <w:rFonts w:asciiTheme="minorHAnsi" w:hAnsiTheme="minorHAnsi" w:cstheme="minorHAnsi"/>
                <w:sz w:val="20"/>
                <w:szCs w:val="20"/>
                <w:lang w:eastAsia="en-US"/>
              </w:rPr>
              <w:t>La parte demandante atribuye como causa del accidente la falta de reparación y buen mantenimiento de las vías, responsabilidad administrativa que le corresponde al Distrito de Cali.</w:t>
            </w:r>
          </w:p>
        </w:tc>
      </w:tr>
      <w:tr w:rsidR="00F72F23" w:rsidRPr="00DC3A84" w14:paraId="0E406DF4" w14:textId="77777777" w:rsidTr="00C359FA">
        <w:tc>
          <w:tcPr>
            <w:tcW w:w="2518" w:type="dxa"/>
            <w:shd w:val="clear" w:color="auto" w:fill="D9D9D9" w:themeFill="background1" w:themeFillShade="D9"/>
          </w:tcPr>
          <w:p w14:paraId="4DAF3A73"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Descripción de las pretensiones:</w:t>
            </w:r>
          </w:p>
        </w:tc>
        <w:tc>
          <w:tcPr>
            <w:tcW w:w="7465" w:type="dxa"/>
          </w:tcPr>
          <w:p w14:paraId="35D893DB" w14:textId="77777777" w:rsidR="003E30CE" w:rsidRPr="00DC3A84" w:rsidRDefault="003E30CE" w:rsidP="003E30CE">
            <w:pPr>
              <w:rPr>
                <w:rFonts w:asciiTheme="minorHAnsi" w:hAnsiTheme="minorHAnsi" w:cstheme="minorHAnsi"/>
                <w:b/>
                <w:sz w:val="20"/>
                <w:szCs w:val="20"/>
              </w:rPr>
            </w:pPr>
            <w:r w:rsidRPr="00DC3A84">
              <w:rPr>
                <w:rFonts w:asciiTheme="minorHAnsi" w:hAnsiTheme="minorHAnsi" w:cstheme="minorHAnsi"/>
                <w:b/>
                <w:sz w:val="20"/>
                <w:szCs w:val="20"/>
              </w:rPr>
              <w:t xml:space="preserve">Perjuicio moral: </w:t>
            </w:r>
            <w:r w:rsidRPr="00DC3A84">
              <w:rPr>
                <w:rFonts w:asciiTheme="minorHAnsi" w:hAnsiTheme="minorHAnsi" w:cstheme="minorHAnsi"/>
                <w:b/>
                <w:bCs/>
                <w:sz w:val="20"/>
                <w:szCs w:val="20"/>
              </w:rPr>
              <w:t xml:space="preserve"> </w:t>
            </w:r>
            <w:r w:rsidRPr="00DC3A84">
              <w:rPr>
                <w:rFonts w:asciiTheme="minorHAnsi" w:hAnsiTheme="minorHAnsi" w:cstheme="minorHAnsi"/>
                <w:sz w:val="20"/>
                <w:szCs w:val="20"/>
              </w:rPr>
              <w:t>la suma equivalente a</w:t>
            </w:r>
            <w:r w:rsidRPr="00DC3A84">
              <w:rPr>
                <w:rFonts w:asciiTheme="minorHAnsi" w:hAnsiTheme="minorHAnsi" w:cstheme="minorHAnsi"/>
                <w:b/>
                <w:bCs/>
                <w:sz w:val="20"/>
                <w:szCs w:val="20"/>
              </w:rPr>
              <w:t xml:space="preserve"> </w:t>
            </w:r>
            <w:r w:rsidRPr="00DC3A84">
              <w:rPr>
                <w:rFonts w:asciiTheme="minorHAnsi" w:hAnsiTheme="minorHAnsi" w:cstheme="minorHAnsi"/>
                <w:b/>
                <w:sz w:val="20"/>
                <w:szCs w:val="20"/>
              </w:rPr>
              <w:t>200 SMMLV.</w:t>
            </w:r>
          </w:p>
          <w:p w14:paraId="50AD0C41" w14:textId="77777777" w:rsidR="003E30CE" w:rsidRPr="003E30CE" w:rsidRDefault="003E30CE" w:rsidP="003E30CE">
            <w:pPr>
              <w:pStyle w:val="Prrafodelista"/>
              <w:rPr>
                <w:rFonts w:asciiTheme="minorHAnsi" w:hAnsiTheme="minorHAnsi" w:cstheme="minorHAnsi"/>
                <w:b/>
                <w:sz w:val="20"/>
                <w:szCs w:val="20"/>
              </w:rPr>
            </w:pPr>
          </w:p>
          <w:p w14:paraId="19BBEF55" w14:textId="77777777" w:rsidR="003E30CE" w:rsidRPr="00DC3A84" w:rsidRDefault="003E30CE" w:rsidP="003E30CE">
            <w:pPr>
              <w:rPr>
                <w:rFonts w:asciiTheme="minorHAnsi" w:hAnsiTheme="minorHAnsi" w:cstheme="minorHAnsi"/>
                <w:b/>
                <w:sz w:val="20"/>
                <w:szCs w:val="20"/>
              </w:rPr>
            </w:pPr>
            <w:r w:rsidRPr="00DC3A84">
              <w:rPr>
                <w:rFonts w:asciiTheme="minorHAnsi" w:hAnsiTheme="minorHAnsi" w:cstheme="minorHAnsi"/>
                <w:b/>
                <w:sz w:val="20"/>
                <w:szCs w:val="20"/>
              </w:rPr>
              <w:t>“perjuicios materiales” Lucro cesante consolidado: $3.021.538</w:t>
            </w:r>
          </w:p>
          <w:p w14:paraId="59D961ED" w14:textId="77777777" w:rsidR="003E30CE" w:rsidRPr="003E30CE" w:rsidRDefault="003E30CE" w:rsidP="003E30CE">
            <w:pPr>
              <w:pStyle w:val="Prrafodelista"/>
              <w:ind w:left="360"/>
              <w:rPr>
                <w:rFonts w:asciiTheme="minorHAnsi" w:hAnsiTheme="minorHAnsi" w:cstheme="minorHAnsi"/>
                <w:b/>
                <w:sz w:val="20"/>
                <w:szCs w:val="20"/>
              </w:rPr>
            </w:pPr>
          </w:p>
          <w:p w14:paraId="038E96F8" w14:textId="77777777" w:rsidR="003E30CE" w:rsidRPr="00DC3A84" w:rsidRDefault="003E30CE" w:rsidP="003E30CE">
            <w:pPr>
              <w:rPr>
                <w:rFonts w:asciiTheme="minorHAnsi" w:hAnsiTheme="minorHAnsi" w:cstheme="minorHAnsi"/>
                <w:b/>
                <w:sz w:val="20"/>
                <w:szCs w:val="20"/>
              </w:rPr>
            </w:pPr>
            <w:r w:rsidRPr="00DC3A84">
              <w:rPr>
                <w:rFonts w:asciiTheme="minorHAnsi" w:hAnsiTheme="minorHAnsi" w:cstheme="minorHAnsi"/>
                <w:b/>
                <w:sz w:val="20"/>
                <w:szCs w:val="20"/>
              </w:rPr>
              <w:t xml:space="preserve">Daño a la salud: </w:t>
            </w:r>
            <w:r w:rsidRPr="00DC3A84">
              <w:rPr>
                <w:rFonts w:asciiTheme="minorHAnsi" w:hAnsiTheme="minorHAnsi" w:cstheme="minorHAnsi"/>
                <w:sz w:val="20"/>
                <w:szCs w:val="20"/>
              </w:rPr>
              <w:t>la suma equivalente a</w:t>
            </w:r>
            <w:r w:rsidRPr="00DC3A84">
              <w:rPr>
                <w:rFonts w:asciiTheme="minorHAnsi" w:hAnsiTheme="minorHAnsi" w:cstheme="minorHAnsi"/>
                <w:b/>
                <w:bCs/>
                <w:sz w:val="20"/>
                <w:szCs w:val="20"/>
              </w:rPr>
              <w:t xml:space="preserve"> 1</w:t>
            </w:r>
            <w:r w:rsidRPr="00DC3A84">
              <w:rPr>
                <w:rFonts w:asciiTheme="minorHAnsi" w:hAnsiTheme="minorHAnsi" w:cstheme="minorHAnsi"/>
                <w:b/>
                <w:sz w:val="20"/>
                <w:szCs w:val="20"/>
              </w:rPr>
              <w:t>00 SMMLV.</w:t>
            </w:r>
          </w:p>
          <w:p w14:paraId="104261B8" w14:textId="77777777" w:rsidR="003E30CE" w:rsidRPr="003E30CE" w:rsidRDefault="003E30CE" w:rsidP="003E30CE">
            <w:pPr>
              <w:pStyle w:val="Prrafodelista"/>
              <w:ind w:left="360"/>
              <w:jc w:val="both"/>
              <w:rPr>
                <w:rFonts w:asciiTheme="minorHAnsi" w:hAnsiTheme="minorHAnsi" w:cstheme="minorHAnsi"/>
                <w:b/>
                <w:sz w:val="20"/>
                <w:szCs w:val="20"/>
              </w:rPr>
            </w:pPr>
          </w:p>
          <w:p w14:paraId="5662255E" w14:textId="77777777" w:rsidR="00F72F23" w:rsidRPr="00DC3A84" w:rsidRDefault="00F72F23" w:rsidP="003E30CE">
            <w:pPr>
              <w:rPr>
                <w:rFonts w:asciiTheme="minorHAnsi" w:hAnsiTheme="minorHAnsi" w:cstheme="minorHAnsi"/>
                <w:sz w:val="20"/>
                <w:szCs w:val="20"/>
                <w:lang w:val="es-ES_tradnl"/>
              </w:rPr>
            </w:pPr>
          </w:p>
        </w:tc>
      </w:tr>
      <w:tr w:rsidR="00F72F23" w:rsidRPr="00DC3A84" w14:paraId="704DFB9E" w14:textId="77777777" w:rsidTr="00C359FA">
        <w:tc>
          <w:tcPr>
            <w:tcW w:w="2518" w:type="dxa"/>
            <w:shd w:val="clear" w:color="auto" w:fill="D9D9D9" w:themeFill="background1" w:themeFillShade="D9"/>
          </w:tcPr>
          <w:p w14:paraId="58C6E535"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Pretensiones cuantificadas ($):</w:t>
            </w:r>
          </w:p>
        </w:tc>
        <w:tc>
          <w:tcPr>
            <w:tcW w:w="7465" w:type="dxa"/>
          </w:tcPr>
          <w:p w14:paraId="61540B9A" w14:textId="699C23D1" w:rsidR="00F72F23" w:rsidRPr="00DC3A84" w:rsidRDefault="003E30CE" w:rsidP="003E30CE">
            <w:pPr>
              <w:jc w:val="both"/>
              <w:rPr>
                <w:rFonts w:asciiTheme="minorHAnsi" w:hAnsiTheme="minorHAnsi" w:cstheme="minorHAnsi"/>
                <w:bCs/>
                <w:sz w:val="20"/>
                <w:szCs w:val="20"/>
                <w:lang w:val="es-ES_tradnl"/>
              </w:rPr>
            </w:pPr>
            <w:r w:rsidRPr="00DC3A84">
              <w:rPr>
                <w:rFonts w:asciiTheme="minorHAnsi" w:hAnsiTheme="minorHAnsi" w:cstheme="minorHAnsi"/>
                <w:bCs/>
                <w:sz w:val="20"/>
                <w:szCs w:val="20"/>
              </w:rPr>
              <w:t>$393.021.538</w:t>
            </w:r>
          </w:p>
        </w:tc>
      </w:tr>
      <w:tr w:rsidR="00F72F23" w:rsidRPr="00DC3A84" w14:paraId="0B60EBC1" w14:textId="77777777" w:rsidTr="00C359FA">
        <w:tc>
          <w:tcPr>
            <w:tcW w:w="2518" w:type="dxa"/>
            <w:shd w:val="clear" w:color="auto" w:fill="D9D9D9" w:themeFill="background1" w:themeFillShade="D9"/>
          </w:tcPr>
          <w:p w14:paraId="7ABAD315"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Valor asegurado amparos afectados:</w:t>
            </w:r>
          </w:p>
        </w:tc>
        <w:tc>
          <w:tcPr>
            <w:tcW w:w="7465" w:type="dxa"/>
          </w:tcPr>
          <w:p w14:paraId="6C40C20A" w14:textId="34920D0D" w:rsidR="00F72F23" w:rsidRPr="00DC3A84" w:rsidRDefault="00F72F23" w:rsidP="00F72F23">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 xml:space="preserve"> </w:t>
            </w:r>
            <w:r w:rsidR="003E30CE" w:rsidRPr="00DC3A84">
              <w:rPr>
                <w:rFonts w:asciiTheme="minorHAnsi" w:hAnsiTheme="minorHAnsi" w:cstheme="minorHAnsi"/>
                <w:sz w:val="20"/>
                <w:szCs w:val="20"/>
                <w:lang w:val="es-ES_tradnl"/>
              </w:rPr>
              <w:t>$7.000.000.000</w:t>
            </w:r>
          </w:p>
        </w:tc>
      </w:tr>
      <w:tr w:rsidR="00F72F23" w:rsidRPr="00DC3A84" w14:paraId="47DED08D" w14:textId="77777777" w:rsidTr="00C359FA">
        <w:tc>
          <w:tcPr>
            <w:tcW w:w="2518" w:type="dxa"/>
            <w:shd w:val="clear" w:color="auto" w:fill="D9D9D9" w:themeFill="background1" w:themeFillShade="D9"/>
          </w:tcPr>
          <w:p w14:paraId="2040F0CE"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Valoración objetiva de las pretensiones:</w:t>
            </w:r>
          </w:p>
        </w:tc>
        <w:tc>
          <w:tcPr>
            <w:tcW w:w="7465" w:type="dxa"/>
          </w:tcPr>
          <w:p w14:paraId="4709B821"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Liquidación objetiva de perjuicios:          </w:t>
            </w:r>
          </w:p>
          <w:p w14:paraId="5AE99C68"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4F223A7D"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b/>
                <w:bCs/>
                <w:color w:val="000000"/>
                <w:sz w:val="20"/>
                <w:szCs w:val="20"/>
                <w:bdr w:val="none" w:sz="0" w:space="0" w:color="auto" w:frame="1"/>
              </w:rPr>
              <w:t>1</w:t>
            </w:r>
            <w:r w:rsidRPr="00DC3A84">
              <w:rPr>
                <w:rFonts w:asciiTheme="minorHAnsi" w:eastAsia="Times New Roman" w:hAnsiTheme="minorHAnsi" w:cstheme="minorHAnsi"/>
                <w:color w:val="000000"/>
                <w:sz w:val="20"/>
                <w:szCs w:val="20"/>
                <w:bdr w:val="none" w:sz="0" w:space="0" w:color="auto" w:frame="1"/>
              </w:rPr>
              <w:t>.</w:t>
            </w:r>
            <w:r w:rsidRPr="00DC3A84">
              <w:rPr>
                <w:rFonts w:asciiTheme="minorHAnsi" w:eastAsia="Times New Roman" w:hAnsiTheme="minorHAnsi" w:cstheme="minorHAnsi"/>
                <w:b/>
                <w:bCs/>
                <w:color w:val="000000"/>
                <w:sz w:val="20"/>
                <w:szCs w:val="20"/>
                <w:bdr w:val="none" w:sz="0" w:space="0" w:color="auto" w:frame="1"/>
              </w:rPr>
              <w:t>Daño moral:</w:t>
            </w:r>
            <w:r w:rsidRPr="00DC3A84">
              <w:rPr>
                <w:rFonts w:asciiTheme="minorHAnsi" w:eastAsia="Times New Roman" w:hAnsiTheme="minorHAnsi" w:cstheme="minorHAnsi"/>
                <w:color w:val="000000"/>
                <w:sz w:val="20"/>
                <w:szCs w:val="20"/>
                <w:bdr w:val="none" w:sz="0" w:space="0" w:color="auto" w:frame="1"/>
              </w:rPr>
              <w:t>  </w:t>
            </w:r>
            <w:r w:rsidRPr="00DC3A84">
              <w:rPr>
                <w:rFonts w:asciiTheme="minorHAnsi" w:eastAsia="Times New Roman" w:hAnsiTheme="minorHAnsi" w:cstheme="minorHAnsi"/>
                <w:color w:val="000000"/>
                <w:sz w:val="20"/>
                <w:szCs w:val="20"/>
                <w:bdr w:val="none" w:sz="0" w:space="0" w:color="auto" w:frame="1"/>
                <w:shd w:val="clear" w:color="auto" w:fill="FFFFFF"/>
              </w:rPr>
              <w:t>Se realiza la liquidación en consideración a que no se probó mediante un dictamen científico la gravedad de la lesión. No obstante, se señaló en HC traumatismos superficiales múltiples en la cabeza y fractura de la epífisis inferior del radio izquierdo; en ese orden de ideas, y </w:t>
            </w:r>
            <w:proofErr w:type="gramStart"/>
            <w:r w:rsidRPr="00DC3A84">
              <w:rPr>
                <w:rFonts w:asciiTheme="minorHAnsi" w:eastAsia="Times New Roman" w:hAnsiTheme="minorHAnsi" w:cstheme="minorHAnsi"/>
                <w:color w:val="000000"/>
                <w:sz w:val="20"/>
                <w:szCs w:val="20"/>
                <w:bdr w:val="none" w:sz="0" w:space="0" w:color="auto" w:frame="1"/>
                <w:shd w:val="clear" w:color="auto" w:fill="FFFFFF"/>
              </w:rPr>
              <w:t>de acuerdo a</w:t>
            </w:r>
            <w:proofErr w:type="gramEnd"/>
            <w:r w:rsidRPr="00DC3A84">
              <w:rPr>
                <w:rFonts w:asciiTheme="minorHAnsi" w:eastAsia="Times New Roman" w:hAnsiTheme="minorHAnsi" w:cstheme="minorHAnsi"/>
                <w:color w:val="000000"/>
                <w:sz w:val="20"/>
                <w:szCs w:val="20"/>
                <w:bdr w:val="none" w:sz="0" w:space="0" w:color="auto" w:frame="1"/>
                <w:shd w:val="clear" w:color="auto" w:fill="FFFFFF"/>
              </w:rPr>
              <w:t xml:space="preserve"> los traumatismos presentados, sería viable reconocer </w:t>
            </w:r>
            <w:r w:rsidRPr="00DC3A84">
              <w:rPr>
                <w:rFonts w:asciiTheme="minorHAnsi" w:eastAsia="Times New Roman" w:hAnsiTheme="minorHAnsi" w:cstheme="minorHAnsi"/>
                <w:color w:val="000000"/>
                <w:sz w:val="20"/>
                <w:szCs w:val="20"/>
                <w:bdr w:val="none" w:sz="0" w:space="0" w:color="auto" w:frame="1"/>
                <w:shd w:val="clear" w:color="auto" w:fill="FFFFFF"/>
              </w:rPr>
              <w:lastRenderedPageBreak/>
              <w:t>una pérdida de capacidad laboral entre 10-20%, por lo que, ante una eventual condena se reconocería por daño moral de conformidad con la jurisprudencia del Consejo de Estado, los siguientes valores:</w:t>
            </w:r>
          </w:p>
          <w:p w14:paraId="6F2ABF26"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55F40AAA"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0E4A1153" w14:textId="77777777" w:rsidR="00DC3A84" w:rsidRPr="00DC3A84" w:rsidRDefault="00DC3A84" w:rsidP="00DC3A84">
            <w:pPr>
              <w:numPr>
                <w:ilvl w:val="0"/>
                <w:numId w:val="5"/>
              </w:numPr>
              <w:shd w:val="clear" w:color="auto" w:fill="FFFFFF"/>
              <w:ind w:left="1080"/>
              <w:jc w:val="both"/>
              <w:rPr>
                <w:rFonts w:asciiTheme="minorHAnsi" w:eastAsia="Times New Roman" w:hAnsiTheme="minorHAnsi" w:cstheme="minorHAnsi"/>
                <w:color w:val="000000"/>
                <w:sz w:val="20"/>
                <w:szCs w:val="20"/>
              </w:rPr>
            </w:pPr>
            <w:r w:rsidRPr="00DC3A84">
              <w:rPr>
                <w:rFonts w:asciiTheme="minorHAnsi" w:eastAsia="Times New Roman" w:hAnsiTheme="minorHAnsi" w:cstheme="minorHAnsi"/>
                <w:color w:val="000000"/>
                <w:sz w:val="20"/>
                <w:szCs w:val="20"/>
                <w:bdr w:val="none" w:sz="0" w:space="0" w:color="auto" w:frame="1"/>
              </w:rPr>
              <w:t>Elizabeth Monsalve (perjudicada directa) </w:t>
            </w:r>
            <w:r w:rsidRPr="00DC3A84">
              <w:rPr>
                <w:rFonts w:asciiTheme="minorHAnsi" w:eastAsia="Times New Roman" w:hAnsiTheme="minorHAnsi" w:cstheme="minorHAnsi"/>
                <w:b/>
                <w:bCs/>
                <w:color w:val="000000"/>
                <w:sz w:val="20"/>
                <w:szCs w:val="20"/>
                <w:bdr w:val="none" w:sz="0" w:space="0" w:color="auto" w:frame="1"/>
              </w:rPr>
              <w:t>20 SMLMV </w:t>
            </w:r>
            <w:r w:rsidRPr="00DC3A84">
              <w:rPr>
                <w:rFonts w:asciiTheme="minorHAnsi" w:eastAsia="Times New Roman" w:hAnsiTheme="minorHAnsi" w:cstheme="minorHAnsi"/>
                <w:color w:val="000000"/>
                <w:sz w:val="20"/>
                <w:szCs w:val="20"/>
                <w:bdr w:val="none" w:sz="0" w:space="0" w:color="auto" w:frame="1"/>
              </w:rPr>
              <w:t>       </w:t>
            </w:r>
          </w:p>
          <w:p w14:paraId="4A875067" w14:textId="77777777" w:rsidR="00DC3A84" w:rsidRPr="00DC3A84" w:rsidRDefault="00DC3A84" w:rsidP="00DC3A84">
            <w:pPr>
              <w:numPr>
                <w:ilvl w:val="0"/>
                <w:numId w:val="5"/>
              </w:numPr>
              <w:shd w:val="clear" w:color="auto" w:fill="FFFFFF"/>
              <w:ind w:left="1080"/>
              <w:jc w:val="both"/>
              <w:rPr>
                <w:rFonts w:asciiTheme="minorHAnsi" w:eastAsia="Times New Roman" w:hAnsiTheme="minorHAnsi" w:cstheme="minorHAnsi"/>
                <w:color w:val="000000"/>
                <w:sz w:val="20"/>
                <w:szCs w:val="20"/>
              </w:rPr>
            </w:pPr>
            <w:r w:rsidRPr="00DC3A84">
              <w:rPr>
                <w:rFonts w:asciiTheme="minorHAnsi" w:eastAsia="Times New Roman" w:hAnsiTheme="minorHAnsi" w:cstheme="minorHAnsi"/>
                <w:color w:val="000000"/>
                <w:sz w:val="20"/>
                <w:szCs w:val="20"/>
                <w:bdr w:val="none" w:sz="0" w:space="0" w:color="auto" w:frame="1"/>
              </w:rPr>
              <w:t>Tatiana Vargas Monsalve (hija) </w:t>
            </w:r>
            <w:r w:rsidRPr="00DC3A84">
              <w:rPr>
                <w:rFonts w:asciiTheme="minorHAnsi" w:eastAsia="Times New Roman" w:hAnsiTheme="minorHAnsi" w:cstheme="minorHAnsi"/>
                <w:b/>
                <w:bCs/>
                <w:color w:val="000000"/>
                <w:sz w:val="20"/>
                <w:szCs w:val="20"/>
                <w:bdr w:val="none" w:sz="0" w:space="0" w:color="auto" w:frame="1"/>
              </w:rPr>
              <w:t>20 SMLMV </w:t>
            </w:r>
            <w:r w:rsidRPr="00DC3A84">
              <w:rPr>
                <w:rFonts w:asciiTheme="minorHAnsi" w:eastAsia="Times New Roman" w:hAnsiTheme="minorHAnsi" w:cstheme="minorHAnsi"/>
                <w:color w:val="000000"/>
                <w:sz w:val="20"/>
                <w:szCs w:val="20"/>
                <w:bdr w:val="none" w:sz="0" w:space="0" w:color="auto" w:frame="1"/>
              </w:rPr>
              <w:t>       </w:t>
            </w:r>
          </w:p>
          <w:p w14:paraId="4424628C"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42E57A9D"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Total daño moral:</w:t>
            </w:r>
            <w:r w:rsidRPr="00DC3A84">
              <w:rPr>
                <w:rFonts w:asciiTheme="minorHAnsi" w:eastAsia="Times New Roman" w:hAnsiTheme="minorHAnsi" w:cstheme="minorHAnsi"/>
                <w:b/>
                <w:bCs/>
                <w:color w:val="000000"/>
                <w:sz w:val="20"/>
                <w:szCs w:val="20"/>
                <w:bdr w:val="none" w:sz="0" w:space="0" w:color="auto" w:frame="1"/>
              </w:rPr>
              <w:t> 40 SMLMV</w:t>
            </w:r>
            <w:r w:rsidRPr="00DC3A84">
              <w:rPr>
                <w:rFonts w:asciiTheme="minorHAnsi" w:eastAsia="Times New Roman" w:hAnsiTheme="minorHAnsi" w:cstheme="minorHAnsi"/>
                <w:color w:val="000000"/>
                <w:sz w:val="20"/>
                <w:szCs w:val="20"/>
                <w:bdr w:val="none" w:sz="0" w:space="0" w:color="auto" w:frame="1"/>
              </w:rPr>
              <w:t>  </w:t>
            </w:r>
          </w:p>
          <w:p w14:paraId="789DA622"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52FB6308" w14:textId="77777777" w:rsidR="00DC3A84" w:rsidRPr="00DC3A84" w:rsidRDefault="00DC3A84" w:rsidP="00DC3A84">
            <w:pPr>
              <w:shd w:val="clear" w:color="auto" w:fill="FFFFFF"/>
              <w:spacing w:line="276" w:lineRule="atLeast"/>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b/>
                <w:bCs/>
                <w:color w:val="000000"/>
                <w:sz w:val="20"/>
                <w:szCs w:val="20"/>
                <w:bdr w:val="none" w:sz="0" w:space="0" w:color="auto" w:frame="1"/>
              </w:rPr>
              <w:t>2. “Perjuicios materiales”</w:t>
            </w:r>
            <w:r w:rsidRPr="00DC3A84">
              <w:rPr>
                <w:rFonts w:asciiTheme="minorHAnsi" w:eastAsia="Times New Roman" w:hAnsiTheme="minorHAnsi" w:cstheme="minorHAnsi"/>
                <w:color w:val="000000"/>
                <w:sz w:val="20"/>
                <w:szCs w:val="20"/>
                <w:bdr w:val="none" w:sz="0" w:space="0" w:color="auto" w:frame="1"/>
              </w:rPr>
              <w:t> </w:t>
            </w:r>
            <w:r w:rsidRPr="00DC3A84">
              <w:rPr>
                <w:rFonts w:asciiTheme="minorHAnsi" w:eastAsia="Times New Roman" w:hAnsiTheme="minorHAnsi" w:cstheme="minorHAnsi"/>
                <w:b/>
                <w:bCs/>
                <w:color w:val="000000"/>
                <w:sz w:val="20"/>
                <w:szCs w:val="20"/>
                <w:bdr w:val="none" w:sz="0" w:space="0" w:color="auto" w:frame="1"/>
              </w:rPr>
              <w:t>Lucro cesante consolidado: </w:t>
            </w:r>
            <w:r w:rsidRPr="00DC3A84">
              <w:rPr>
                <w:rFonts w:asciiTheme="minorHAnsi" w:eastAsia="Times New Roman" w:hAnsiTheme="minorHAnsi" w:cstheme="minorHAnsi"/>
                <w:color w:val="000000"/>
                <w:spacing w:val="2"/>
                <w:sz w:val="20"/>
                <w:szCs w:val="20"/>
                <w:bdr w:val="none" w:sz="0" w:space="0" w:color="auto" w:frame="1"/>
                <w:shd w:val="clear" w:color="auto" w:fill="FFFFFF"/>
              </w:rPr>
              <w:t>Teniendo en cuenta que la señora Monsalve no cuenta con un dictamen que acredita la pérdida de capacidad laboral y que demostró ocupar el cargo de asesora de servicios en Almotores S.A y devengar un salario de $1.510.769 solo se reconocería el pago de lo no reconocido por la EPS como incapacidad. Al proceso se allegó pruebas documentales que dan cuenta que tuvo incapacidad de 60 días. Ahora, de acuerdo con el artículo 227 del Código Sustantivo del Trabajo, en concordancia con el artículo 206 de la Ley 100 de 1993, el empleador paga el 100% del salario de los dos (2) primeros días de incapacidad y la EPS desde el día 3 hasta el día 180 por el 66% o las 2/3 partes del salario. En ese orden de ideas, se debe reconocer únicamente el 34% restante, es decir, el porcentaje que no recibió de su salario durante los días de incapacidad.</w:t>
            </w:r>
          </w:p>
          <w:p w14:paraId="11130D57"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pacing w:val="2"/>
                <w:sz w:val="20"/>
                <w:szCs w:val="20"/>
                <w:bdr w:val="none" w:sz="0" w:space="0" w:color="auto" w:frame="1"/>
                <w:shd w:val="clear" w:color="auto" w:fill="FFFFFF"/>
              </w:rPr>
              <w:t> </w:t>
            </w:r>
          </w:p>
          <w:p w14:paraId="22F37782"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pacing w:val="2"/>
                <w:sz w:val="20"/>
                <w:szCs w:val="20"/>
                <w:bdr w:val="none" w:sz="0" w:space="0" w:color="auto" w:frame="1"/>
                <w:shd w:val="clear" w:color="auto" w:fill="FFFFFF"/>
              </w:rPr>
              <w:t>Para este caso el salario diario sería de $50.358. En ese orden de ideas, se reconocería el 34% del salario diario ($17.122) por 58 días, para un total de </w:t>
            </w:r>
            <w:r w:rsidRPr="00DC3A84">
              <w:rPr>
                <w:rFonts w:asciiTheme="minorHAnsi" w:eastAsia="Times New Roman" w:hAnsiTheme="minorHAnsi" w:cstheme="minorHAnsi"/>
                <w:b/>
                <w:bCs/>
                <w:color w:val="000000"/>
                <w:spacing w:val="2"/>
                <w:sz w:val="20"/>
                <w:szCs w:val="20"/>
                <w:bdr w:val="none" w:sz="0" w:space="0" w:color="auto" w:frame="1"/>
                <w:shd w:val="clear" w:color="auto" w:fill="FFFFFF"/>
              </w:rPr>
              <w:t>$993.078.</w:t>
            </w:r>
          </w:p>
          <w:p w14:paraId="713C72D7"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b/>
                <w:bCs/>
                <w:color w:val="000000"/>
                <w:sz w:val="20"/>
                <w:szCs w:val="20"/>
                <w:bdr w:val="none" w:sz="0" w:space="0" w:color="auto" w:frame="1"/>
              </w:rPr>
              <w:t> </w:t>
            </w:r>
          </w:p>
          <w:p w14:paraId="370EA049"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4727E5DD"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b/>
                <w:bCs/>
                <w:color w:val="000000"/>
                <w:sz w:val="20"/>
                <w:szCs w:val="20"/>
                <w:bdr w:val="none" w:sz="0" w:space="0" w:color="auto" w:frame="1"/>
              </w:rPr>
              <w:t>3.</w:t>
            </w:r>
            <w:r w:rsidRPr="00DC3A84">
              <w:rPr>
                <w:rFonts w:asciiTheme="minorHAnsi" w:eastAsia="Times New Roman" w:hAnsiTheme="minorHAnsi" w:cstheme="minorHAnsi"/>
                <w:color w:val="000000"/>
                <w:sz w:val="20"/>
                <w:szCs w:val="20"/>
                <w:bdr w:val="none" w:sz="0" w:space="0" w:color="auto" w:frame="1"/>
              </w:rPr>
              <w:t> </w:t>
            </w:r>
            <w:r w:rsidRPr="00DC3A84">
              <w:rPr>
                <w:rFonts w:asciiTheme="minorHAnsi" w:eastAsia="Times New Roman" w:hAnsiTheme="minorHAnsi" w:cstheme="minorHAnsi"/>
                <w:b/>
                <w:bCs/>
                <w:color w:val="000000"/>
                <w:sz w:val="20"/>
                <w:szCs w:val="20"/>
                <w:bdr w:val="none" w:sz="0" w:space="0" w:color="auto" w:frame="1"/>
              </w:rPr>
              <w:t>Daño a la salud:</w:t>
            </w:r>
            <w:r w:rsidRPr="00DC3A84">
              <w:rPr>
                <w:rFonts w:asciiTheme="minorHAnsi" w:eastAsia="Times New Roman" w:hAnsiTheme="minorHAnsi" w:cstheme="minorHAnsi"/>
                <w:color w:val="000000"/>
                <w:spacing w:val="2"/>
                <w:sz w:val="20"/>
                <w:szCs w:val="20"/>
                <w:bdr w:val="none" w:sz="0" w:space="0" w:color="auto" w:frame="1"/>
                <w:shd w:val="clear" w:color="auto" w:fill="FFFFFF"/>
              </w:rPr>
              <w:t> </w:t>
            </w:r>
            <w:r w:rsidRPr="00DC3A84">
              <w:rPr>
                <w:rFonts w:asciiTheme="minorHAnsi" w:eastAsia="Times New Roman" w:hAnsiTheme="minorHAnsi" w:cstheme="minorHAnsi"/>
                <w:b/>
                <w:bCs/>
                <w:color w:val="000000"/>
                <w:sz w:val="20"/>
                <w:szCs w:val="20"/>
                <w:bdr w:val="none" w:sz="0" w:space="0" w:color="auto" w:frame="1"/>
              </w:rPr>
              <w:t> </w:t>
            </w:r>
            <w:r w:rsidRPr="00DC3A84">
              <w:rPr>
                <w:rFonts w:asciiTheme="minorHAnsi" w:eastAsia="Times New Roman" w:hAnsiTheme="minorHAnsi" w:cstheme="minorHAnsi"/>
                <w:color w:val="000000"/>
                <w:sz w:val="20"/>
                <w:szCs w:val="20"/>
                <w:bdr w:val="none" w:sz="0" w:space="0" w:color="auto" w:frame="1"/>
              </w:rPr>
              <w:t>se reconocen </w:t>
            </w:r>
            <w:r w:rsidRPr="00DC3A84">
              <w:rPr>
                <w:rFonts w:asciiTheme="minorHAnsi" w:eastAsia="Times New Roman" w:hAnsiTheme="minorHAnsi" w:cstheme="minorHAnsi"/>
                <w:b/>
                <w:bCs/>
                <w:color w:val="000000"/>
                <w:sz w:val="20"/>
                <w:szCs w:val="20"/>
                <w:bdr w:val="none" w:sz="0" w:space="0" w:color="auto" w:frame="1"/>
              </w:rPr>
              <w:t>20 SMLMV</w:t>
            </w:r>
            <w:r w:rsidRPr="00DC3A84">
              <w:rPr>
                <w:rFonts w:asciiTheme="minorHAnsi" w:eastAsia="Times New Roman" w:hAnsiTheme="minorHAnsi" w:cstheme="minorHAnsi"/>
                <w:color w:val="000000"/>
                <w:sz w:val="20"/>
                <w:szCs w:val="20"/>
                <w:bdr w:val="none" w:sz="0" w:space="0" w:color="auto" w:frame="1"/>
              </w:rPr>
              <w:t> para la perjudicada directa Elizabeth Monsalve.</w:t>
            </w:r>
          </w:p>
          <w:p w14:paraId="60AA24DA"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7A54A9AA" w14:textId="77777777" w:rsidR="00DC3A84" w:rsidRPr="00DC3A84" w:rsidRDefault="00DC3A84" w:rsidP="00DC3A84">
            <w:pPr>
              <w:shd w:val="clear" w:color="auto" w:fill="FFFFFF"/>
              <w:spacing w:line="276" w:lineRule="atLeast"/>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1CFDE33C" w14:textId="77777777" w:rsidR="00DC3A84" w:rsidRPr="00DC3A84" w:rsidRDefault="00DC3A84" w:rsidP="00DC3A84">
            <w:pPr>
              <w:shd w:val="clear" w:color="auto" w:fill="FFFFFF"/>
              <w:spacing w:line="276" w:lineRule="atLeast"/>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Frente al “daño emergente” se aclara que, si bien se aportaron algunas cuentas de cobro, ni en el escrito de demanda ni en su reforma, se solicitó indemnización por concepto de daño emergente, razón por la cual, al no haber realizado la solicitud dentro del acápite correspondiente, no resultaría procedente el reconocimiento de dicho perjuicio. En todo caso, las cuentas de cobro aportadas no revisten la suficiencia probatoria para acceder al reconocimiento de este perjuicio, pues la sola cuenta de cobro no implica que la demandante haya incurrido en el gasto, es decir, no es una prueba de que el valor salió de su patrimonio.</w:t>
            </w:r>
          </w:p>
          <w:p w14:paraId="3BFBCDCA" w14:textId="09924EC1"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4612A1F6"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53DC4391"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xml:space="preserve">Total: </w:t>
            </w:r>
            <w:r w:rsidRPr="00DC3A84">
              <w:rPr>
                <w:rFonts w:asciiTheme="minorHAnsi" w:eastAsia="Times New Roman" w:hAnsiTheme="minorHAnsi" w:cstheme="minorHAnsi"/>
                <w:b/>
                <w:bCs/>
                <w:color w:val="000000"/>
                <w:sz w:val="20"/>
                <w:szCs w:val="20"/>
                <w:bdr w:val="none" w:sz="0" w:space="0" w:color="auto" w:frame="1"/>
              </w:rPr>
              <w:t>$78.993.078.</w:t>
            </w:r>
            <w:r w:rsidRPr="00DC3A84">
              <w:rPr>
                <w:rFonts w:asciiTheme="minorHAnsi" w:eastAsia="Times New Roman" w:hAnsiTheme="minorHAnsi" w:cstheme="minorHAnsi"/>
                <w:color w:val="000000"/>
                <w:sz w:val="20"/>
                <w:szCs w:val="20"/>
                <w:bdr w:val="none" w:sz="0" w:space="0" w:color="auto" w:frame="1"/>
              </w:rPr>
              <w:t xml:space="preserve"> (sin deducible)</w:t>
            </w:r>
          </w:p>
          <w:p w14:paraId="4418EC6A"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0B327714"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 </w:t>
            </w:r>
          </w:p>
          <w:p w14:paraId="2A0EE234" w14:textId="77777777" w:rsidR="00DC3A84" w:rsidRPr="00DC3A84" w:rsidRDefault="00DC3A84" w:rsidP="00DC3A84">
            <w:pPr>
              <w:shd w:val="clear" w:color="auto" w:fill="FFFFFF"/>
              <w:jc w:val="both"/>
              <w:rPr>
                <w:rFonts w:asciiTheme="minorHAnsi" w:eastAsia="Times New Roman" w:hAnsiTheme="minorHAnsi" w:cstheme="minorHAnsi"/>
                <w:color w:val="242424"/>
                <w:sz w:val="20"/>
                <w:szCs w:val="20"/>
              </w:rPr>
            </w:pPr>
            <w:r w:rsidRPr="00DC3A84">
              <w:rPr>
                <w:rFonts w:asciiTheme="minorHAnsi" w:eastAsia="Times New Roman" w:hAnsiTheme="minorHAnsi" w:cstheme="minorHAnsi"/>
                <w:color w:val="000000"/>
                <w:sz w:val="20"/>
                <w:szCs w:val="20"/>
                <w:bdr w:val="none" w:sz="0" w:space="0" w:color="auto" w:frame="1"/>
              </w:rPr>
              <w:t>A ese valor se le aplica el porcentaje de participación de </w:t>
            </w:r>
            <w:r w:rsidRPr="00DC3A84">
              <w:rPr>
                <w:rFonts w:asciiTheme="minorHAnsi" w:eastAsia="Times New Roman" w:hAnsiTheme="minorHAnsi" w:cstheme="minorHAnsi"/>
                <w:b/>
                <w:bCs/>
                <w:color w:val="000000"/>
                <w:sz w:val="20"/>
                <w:szCs w:val="20"/>
                <w:bdr w:val="none" w:sz="0" w:space="0" w:color="auto" w:frame="1"/>
              </w:rPr>
              <w:t>HDI </w:t>
            </w:r>
            <w:r w:rsidRPr="00DC3A84">
              <w:rPr>
                <w:rFonts w:asciiTheme="minorHAnsi" w:eastAsia="Times New Roman" w:hAnsiTheme="minorHAnsi" w:cstheme="minorHAnsi"/>
                <w:color w:val="000000"/>
                <w:sz w:val="20"/>
                <w:szCs w:val="20"/>
                <w:bdr w:val="none" w:sz="0" w:space="0" w:color="auto" w:frame="1"/>
              </w:rPr>
              <w:t>que corresponde al </w:t>
            </w:r>
            <w:r w:rsidRPr="00DC3A84">
              <w:rPr>
                <w:rFonts w:asciiTheme="minorHAnsi" w:eastAsia="Times New Roman" w:hAnsiTheme="minorHAnsi" w:cstheme="minorHAnsi"/>
                <w:b/>
                <w:bCs/>
                <w:color w:val="000000"/>
                <w:sz w:val="20"/>
                <w:szCs w:val="20"/>
                <w:bdr w:val="none" w:sz="0" w:space="0" w:color="auto" w:frame="1"/>
              </w:rPr>
              <w:t>10%</w:t>
            </w:r>
            <w:r w:rsidRPr="00DC3A84">
              <w:rPr>
                <w:rFonts w:asciiTheme="minorHAnsi" w:eastAsia="Times New Roman" w:hAnsiTheme="minorHAnsi" w:cstheme="minorHAnsi"/>
                <w:color w:val="000000"/>
                <w:sz w:val="20"/>
                <w:szCs w:val="20"/>
                <w:bdr w:val="none" w:sz="0" w:space="0" w:color="auto" w:frame="1"/>
              </w:rPr>
              <w:t>, lo que nos arroja un valor de </w:t>
            </w:r>
            <w:r w:rsidRPr="00DC3A84">
              <w:rPr>
                <w:rFonts w:asciiTheme="minorHAnsi" w:eastAsia="Times New Roman" w:hAnsiTheme="minorHAnsi" w:cstheme="minorHAnsi"/>
                <w:b/>
                <w:bCs/>
                <w:color w:val="000000"/>
                <w:sz w:val="20"/>
                <w:szCs w:val="20"/>
                <w:bdr w:val="none" w:sz="0" w:space="0" w:color="auto" w:frame="1"/>
              </w:rPr>
              <w:t>$7.899.307.</w:t>
            </w:r>
          </w:p>
          <w:p w14:paraId="7662D052" w14:textId="77777777" w:rsidR="00F72F23" w:rsidRPr="00DC3A84" w:rsidRDefault="00F72F23" w:rsidP="00F72F23">
            <w:pPr>
              <w:jc w:val="both"/>
              <w:rPr>
                <w:rFonts w:asciiTheme="minorHAnsi" w:hAnsiTheme="minorHAnsi" w:cstheme="minorHAnsi"/>
                <w:sz w:val="20"/>
                <w:szCs w:val="20"/>
              </w:rPr>
            </w:pPr>
          </w:p>
        </w:tc>
      </w:tr>
      <w:tr w:rsidR="00F72F23" w:rsidRPr="00DC3A84" w14:paraId="3AE6DDE7" w14:textId="77777777" w:rsidTr="00C359FA">
        <w:tc>
          <w:tcPr>
            <w:tcW w:w="2518" w:type="dxa"/>
            <w:shd w:val="clear" w:color="auto" w:fill="D9D9D9" w:themeFill="background1" w:themeFillShade="D9"/>
          </w:tcPr>
          <w:p w14:paraId="49F38751"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Calificación de la contingencia:</w:t>
            </w:r>
          </w:p>
        </w:tc>
        <w:tc>
          <w:tcPr>
            <w:tcW w:w="7465" w:type="dxa"/>
          </w:tcPr>
          <w:p w14:paraId="1E9AFCF4" w14:textId="0E64256E" w:rsidR="00F72F23" w:rsidRPr="00DC3A84" w:rsidRDefault="00DC3A84" w:rsidP="00F72F23">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REMOTA</w:t>
            </w:r>
          </w:p>
        </w:tc>
      </w:tr>
      <w:tr w:rsidR="00F72F23" w:rsidRPr="00DC3A84" w14:paraId="1EDA617F" w14:textId="77777777" w:rsidTr="00C359FA">
        <w:tc>
          <w:tcPr>
            <w:tcW w:w="2518" w:type="dxa"/>
            <w:shd w:val="clear" w:color="auto" w:fill="D9D9D9" w:themeFill="background1" w:themeFillShade="D9"/>
          </w:tcPr>
          <w:p w14:paraId="45DBC8C6"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lastRenderedPageBreak/>
              <w:t>Motivos de la calificación:</w:t>
            </w:r>
          </w:p>
        </w:tc>
        <w:tc>
          <w:tcPr>
            <w:tcW w:w="7465" w:type="dxa"/>
          </w:tcPr>
          <w:p w14:paraId="7933337D" w14:textId="77777777" w:rsidR="00DC3A84" w:rsidRPr="00DC3A84" w:rsidRDefault="00DC3A84" w:rsidP="00DC3A84">
            <w:pPr>
              <w:jc w:val="both"/>
              <w:rPr>
                <w:rFonts w:asciiTheme="minorHAnsi" w:hAnsiTheme="minorHAnsi" w:cstheme="minorHAnsi"/>
                <w:bCs/>
                <w:sz w:val="20"/>
                <w:szCs w:val="20"/>
              </w:rPr>
            </w:pPr>
            <w:r w:rsidRPr="00DC3A84">
              <w:rPr>
                <w:rFonts w:asciiTheme="minorHAnsi" w:hAnsiTheme="minorHAnsi" w:cstheme="minorHAnsi"/>
                <w:bCs/>
                <w:sz w:val="20"/>
                <w:szCs w:val="20"/>
              </w:rPr>
              <w:t>La contingencia se califica como remota debido a la orfandad probatoria con la que se pretende endilgar responsabilidad a nuestro asegurado, Distrito Especial de Santiago de Cali.     </w:t>
            </w:r>
          </w:p>
          <w:p w14:paraId="3C4B4071" w14:textId="77777777" w:rsidR="00DC3A84" w:rsidRPr="00DC3A84" w:rsidRDefault="00DC3A84" w:rsidP="00DC3A84">
            <w:pPr>
              <w:jc w:val="both"/>
              <w:rPr>
                <w:rFonts w:asciiTheme="minorHAnsi" w:hAnsiTheme="minorHAnsi" w:cstheme="minorHAnsi"/>
                <w:bCs/>
                <w:sz w:val="20"/>
                <w:szCs w:val="20"/>
              </w:rPr>
            </w:pPr>
            <w:r w:rsidRPr="00DC3A84">
              <w:rPr>
                <w:rFonts w:asciiTheme="minorHAnsi" w:hAnsiTheme="minorHAnsi" w:cstheme="minorHAnsi"/>
                <w:bCs/>
                <w:sz w:val="20"/>
                <w:szCs w:val="20"/>
              </w:rPr>
              <w:t>     </w:t>
            </w:r>
          </w:p>
          <w:p w14:paraId="2DF3F69C" w14:textId="77777777" w:rsidR="00DC3A84" w:rsidRPr="00DC3A84" w:rsidRDefault="00DC3A84" w:rsidP="00DC3A84">
            <w:pPr>
              <w:jc w:val="both"/>
              <w:rPr>
                <w:rFonts w:asciiTheme="minorHAnsi" w:hAnsiTheme="minorHAnsi" w:cstheme="minorHAnsi"/>
                <w:bCs/>
                <w:sz w:val="20"/>
                <w:szCs w:val="20"/>
              </w:rPr>
            </w:pPr>
            <w:r w:rsidRPr="00DC3A84">
              <w:rPr>
                <w:rFonts w:asciiTheme="minorHAnsi" w:hAnsiTheme="minorHAnsi" w:cstheme="minorHAnsi"/>
                <w:bCs/>
                <w:sz w:val="20"/>
                <w:szCs w:val="20"/>
              </w:rPr>
              <w:t xml:space="preserve">Lo primero que debe tomarse en consideración es que la Póliza de Responsabilidad Civil Extracontractual No. </w:t>
            </w:r>
            <w:r w:rsidRPr="00DC3A84">
              <w:rPr>
                <w:rFonts w:asciiTheme="minorHAnsi" w:hAnsiTheme="minorHAnsi" w:cstheme="minorHAnsi"/>
                <w:b/>
                <w:sz w:val="20"/>
                <w:szCs w:val="20"/>
              </w:rPr>
              <w:t>420 80 994000000181</w:t>
            </w:r>
            <w:r w:rsidRPr="00DC3A84">
              <w:rPr>
                <w:rFonts w:asciiTheme="minorHAnsi" w:hAnsiTheme="minorHAnsi" w:cstheme="minorHAnsi"/>
                <w:bCs/>
                <w:sz w:val="20"/>
                <w:szCs w:val="20"/>
              </w:rPr>
              <w:t>, cuyo tomador y asegurado es el Distrito Especial de Santiago de Cali,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la vigencia de la Póliza. En consecuencia, la ocurrencia del hecho (</w:t>
            </w:r>
            <w:r w:rsidRPr="00DC3A84">
              <w:rPr>
                <w:rFonts w:asciiTheme="minorHAnsi" w:hAnsiTheme="minorHAnsi" w:cstheme="minorHAnsi"/>
                <w:b/>
                <w:sz w:val="20"/>
                <w:szCs w:val="20"/>
              </w:rPr>
              <w:t>21 de agosto de 2020</w:t>
            </w:r>
            <w:r w:rsidRPr="00DC3A84">
              <w:rPr>
                <w:rFonts w:asciiTheme="minorHAnsi" w:hAnsiTheme="minorHAnsi" w:cstheme="minorHAnsi"/>
                <w:bCs/>
                <w:sz w:val="20"/>
                <w:szCs w:val="20"/>
              </w:rPr>
              <w:t xml:space="preserve">) se encuentra dentro de la limitación temporal de la Póliza en mención, cuya vigencia (anexo 1) comprende desde el </w:t>
            </w:r>
            <w:r w:rsidRPr="00DC3A84">
              <w:rPr>
                <w:rFonts w:asciiTheme="minorHAnsi" w:hAnsiTheme="minorHAnsi" w:cstheme="minorHAnsi"/>
                <w:b/>
                <w:sz w:val="20"/>
                <w:szCs w:val="20"/>
              </w:rPr>
              <w:t>23 de junio de 2020 </w:t>
            </w:r>
            <w:r w:rsidRPr="00DC3A84">
              <w:rPr>
                <w:rFonts w:asciiTheme="minorHAnsi" w:hAnsiTheme="minorHAnsi" w:cstheme="minorHAnsi"/>
                <w:bCs/>
                <w:sz w:val="20"/>
                <w:szCs w:val="20"/>
              </w:rPr>
              <w:t xml:space="preserve">hasta el </w:t>
            </w:r>
            <w:r w:rsidRPr="00DC3A84">
              <w:rPr>
                <w:rFonts w:asciiTheme="minorHAnsi" w:hAnsiTheme="minorHAnsi" w:cstheme="minorHAnsi"/>
                <w:b/>
                <w:sz w:val="20"/>
                <w:szCs w:val="20"/>
              </w:rPr>
              <w:t>19 de mayo de 2021</w:t>
            </w:r>
            <w:r w:rsidRPr="00DC3A84">
              <w:rPr>
                <w:rFonts w:asciiTheme="minorHAnsi" w:hAnsiTheme="minorHAnsi" w:cstheme="minorHAnsi"/>
                <w:bCs/>
                <w:sz w:val="20"/>
                <w:szCs w:val="20"/>
              </w:rPr>
              <w:t>. Aunado a ello presta cobertura material en tanto ampara la responsabilidad civil extracontractual derivada de Predios Labores y Operaciones, pretensión que se le endilga al Distrito.         </w:t>
            </w:r>
          </w:p>
          <w:p w14:paraId="0348840F" w14:textId="77777777" w:rsidR="00DC3A84" w:rsidRPr="00DC3A84" w:rsidRDefault="00DC3A84" w:rsidP="00DC3A84">
            <w:pPr>
              <w:jc w:val="both"/>
              <w:rPr>
                <w:rFonts w:asciiTheme="minorHAnsi" w:hAnsiTheme="minorHAnsi" w:cstheme="minorHAnsi"/>
                <w:bCs/>
                <w:sz w:val="20"/>
                <w:szCs w:val="20"/>
              </w:rPr>
            </w:pPr>
            <w:r w:rsidRPr="00DC3A84">
              <w:rPr>
                <w:rFonts w:asciiTheme="minorHAnsi" w:hAnsiTheme="minorHAnsi" w:cstheme="minorHAnsi"/>
                <w:bCs/>
                <w:sz w:val="20"/>
                <w:szCs w:val="20"/>
              </w:rPr>
              <w:t>     </w:t>
            </w:r>
          </w:p>
          <w:p w14:paraId="0FFEEE92" w14:textId="77777777" w:rsidR="00DC3A84" w:rsidRPr="00DC3A84" w:rsidRDefault="00DC3A84" w:rsidP="00DC3A84">
            <w:pPr>
              <w:jc w:val="both"/>
              <w:rPr>
                <w:rFonts w:asciiTheme="minorHAnsi" w:hAnsiTheme="minorHAnsi" w:cstheme="minorHAnsi"/>
                <w:bCs/>
                <w:sz w:val="20"/>
                <w:szCs w:val="20"/>
              </w:rPr>
            </w:pPr>
            <w:r w:rsidRPr="00DC3A84">
              <w:rPr>
                <w:rFonts w:asciiTheme="minorHAnsi" w:hAnsiTheme="minorHAnsi" w:cstheme="minorHAnsi"/>
                <w:bCs/>
                <w:sz w:val="20"/>
                <w:szCs w:val="20"/>
              </w:rPr>
              <w:t>Ahora bien, frente a la responsabilidad de nuestro asegurado debe decirse que no existe medio probatorio que demuestre las condiciones de modo, tiempo y lugar del presunto accidente de tránsito, así como tampoco ninguna prueba que acredite falla del servicio en cabeza de la entidad territorial. No existe una certificación técnica como el IPAT que acredite si quiera la ocurrencia del accidente o la existencia de un hueco en la vía, el demandante aporta una serie de fotografías y videos los cuales no dan cuenta a ciencia cierta la fecha en que se tomaron dichas imágenes y mucho menos se conoce la persona y plena identificación de quien los elaboró, de quien los edito y/o el mecanismos tecnológicos usado para tales fines; así como tampoco se indica dirección o nomenclatura alguna del lugar en donde se hicieron las tomas, por lo que hasta esta instancia no existe prueba de la causalidad.  Se deberá esperar a la audiencia de pruebas en la cual se escuchará el testimonio del señor Francisco Javier Peña Berrio y de la señora Gladys Yulieth Muñoz Cortes, quienes fueron solicitados como testigos de los hechos. Adicionalmente, las pretensiones carecen abiertamente de sustento probatorio, no se aporta prueba que permita cuantificar el supuesto daño. Consecuentemente, corresponde a la parte actora demostrar el nexo de causalidad entre la actuación del Distrito de Cali y el supuesto daño ocasionado a la demandante. Así las cosas, la decisión final depende de la valoración que realice el juzgador de las pruebas aportadas por las partes en el curso de la actuación. Lo anterior sin perjuicio del carácter contingente del proceso.      </w:t>
            </w:r>
          </w:p>
          <w:p w14:paraId="1BB23650" w14:textId="77777777" w:rsidR="00F72F23" w:rsidRPr="00DC3A84" w:rsidRDefault="00F72F23" w:rsidP="00F72F23">
            <w:pPr>
              <w:jc w:val="both"/>
              <w:rPr>
                <w:rFonts w:asciiTheme="minorHAnsi" w:hAnsiTheme="minorHAnsi" w:cstheme="minorHAnsi"/>
                <w:sz w:val="20"/>
                <w:szCs w:val="20"/>
                <w:lang w:val="es-ES_tradnl"/>
              </w:rPr>
            </w:pPr>
          </w:p>
        </w:tc>
      </w:tr>
      <w:tr w:rsidR="00F72F23" w:rsidRPr="00DC3A84" w14:paraId="73F5D798" w14:textId="77777777" w:rsidTr="00C359FA">
        <w:tc>
          <w:tcPr>
            <w:tcW w:w="2518" w:type="dxa"/>
            <w:shd w:val="clear" w:color="auto" w:fill="D9D9D9" w:themeFill="background1" w:themeFillShade="D9"/>
          </w:tcPr>
          <w:p w14:paraId="3ADB1516"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Excepciones propuestas:</w:t>
            </w:r>
          </w:p>
        </w:tc>
        <w:tc>
          <w:tcPr>
            <w:tcW w:w="7465" w:type="dxa"/>
          </w:tcPr>
          <w:p w14:paraId="4ADD8A47" w14:textId="77777777" w:rsidR="00DC3A84" w:rsidRPr="00DC3A84" w:rsidRDefault="00DC3A84" w:rsidP="00DC3A84">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 xml:space="preserve">Excepciones frente a la demanda:1) inexistencia de responsabilidad por la falta de acreditación probatoria de los elementos estructurales de la responsabilidad – inexistencia de imputación fáctica - relación de causalidad. 2) inexistencia de falla en el servicio por parte del distrito especial de Santiago de Cali. 3) causa extraña por el hecho exclusivo y determinante de la víctima como eximente de responsabilidad. 4) ausencia de prueba del supuesto perjuicio y exagerada tasación de estos. 5)enriquecimiento sin causa. 6) genérica o innominada. </w:t>
            </w:r>
          </w:p>
          <w:p w14:paraId="300EADCB" w14:textId="77777777" w:rsidR="00DC3A84" w:rsidRPr="00DC3A84" w:rsidRDefault="00DC3A84" w:rsidP="00DC3A84">
            <w:pPr>
              <w:pStyle w:val="Prrafodelista"/>
              <w:jc w:val="both"/>
              <w:rPr>
                <w:rFonts w:asciiTheme="minorHAnsi" w:hAnsiTheme="minorHAnsi" w:cstheme="minorHAnsi"/>
                <w:sz w:val="20"/>
                <w:szCs w:val="20"/>
                <w:lang w:val="es-ES_tradnl"/>
              </w:rPr>
            </w:pPr>
          </w:p>
          <w:p w14:paraId="3E2E2315" w14:textId="77777777" w:rsidR="00DC3A84" w:rsidRPr="00DC3A84" w:rsidRDefault="00DC3A84" w:rsidP="00DC3A84">
            <w:pPr>
              <w:pStyle w:val="Prrafodelista"/>
              <w:jc w:val="both"/>
              <w:rPr>
                <w:rFonts w:asciiTheme="minorHAnsi" w:hAnsiTheme="minorHAnsi" w:cstheme="minorHAnsi"/>
                <w:sz w:val="20"/>
                <w:szCs w:val="20"/>
                <w:lang w:val="es-ES_tradnl"/>
              </w:rPr>
            </w:pPr>
          </w:p>
          <w:p w14:paraId="01C4BF91" w14:textId="0B04AA68" w:rsidR="00F72F23" w:rsidRPr="00DC3A84" w:rsidRDefault="00DC3A84" w:rsidP="00DC3A84">
            <w:pPr>
              <w:jc w:val="both"/>
              <w:rPr>
                <w:rFonts w:asciiTheme="minorHAnsi" w:hAnsiTheme="minorHAnsi" w:cstheme="minorHAnsi"/>
                <w:sz w:val="20"/>
                <w:szCs w:val="20"/>
                <w:lang w:val="es-ES_tradnl"/>
              </w:rPr>
            </w:pPr>
            <w:r w:rsidRPr="00DC3A84">
              <w:rPr>
                <w:rFonts w:asciiTheme="minorHAnsi" w:hAnsiTheme="minorHAnsi" w:cstheme="minorHAnsi"/>
                <w:sz w:val="20"/>
                <w:szCs w:val="20"/>
                <w:lang w:val="es-ES_tradnl"/>
              </w:rPr>
              <w:t xml:space="preserve">Excepciones frente al llamamiento en garantía: 1) no se ha configurado siniestro a la luz de la póliza de responsabilidad civil extracontractual no. 420-80- 994000000181, y por tanto no es exigible obligación indemnizatoria a cargo de la aseguradora. 2) en todo caso, la obligación indemnizatoria de la compañía aseguradora se debe ceñir al porcentaje pactado en el coaseguro / inexistencia de solidaridad pasiva entre las coaseguradoras. 3) inexistencia de solidaridad entre mi mandante y los demás demandados – inexistencia de solidaridad en el marco del contrato de seguro. 4) en cualquier caso, de ninguna forma se </w:t>
            </w:r>
            <w:r w:rsidRPr="00DC3A84">
              <w:rPr>
                <w:rFonts w:asciiTheme="minorHAnsi" w:hAnsiTheme="minorHAnsi" w:cstheme="minorHAnsi"/>
                <w:sz w:val="20"/>
                <w:szCs w:val="20"/>
                <w:lang w:val="es-ES_tradnl"/>
              </w:rPr>
              <w:lastRenderedPageBreak/>
              <w:t>podrá exceder el límite del valor asegurado. 5) carácter meramente indemnizatorio que revisten los contratos de seguros. 6) pago por reembolso y disponibilidad del valor asegurado.</w:t>
            </w:r>
          </w:p>
        </w:tc>
      </w:tr>
      <w:tr w:rsidR="00F72F23" w:rsidRPr="00DC3A84" w14:paraId="7B9E12F7" w14:textId="77777777" w:rsidTr="00C359FA">
        <w:tc>
          <w:tcPr>
            <w:tcW w:w="2518" w:type="dxa"/>
            <w:shd w:val="clear" w:color="auto" w:fill="D9D9D9" w:themeFill="background1" w:themeFillShade="D9"/>
          </w:tcPr>
          <w:p w14:paraId="395CCBB9"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019082CD" w:rsidR="00F72F23" w:rsidRPr="00DC3A84" w:rsidRDefault="00C4440D" w:rsidP="00F72F23">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En esta instancia procesal no se recomienda proponer formula de arreglo. </w:t>
            </w:r>
          </w:p>
        </w:tc>
      </w:tr>
      <w:tr w:rsidR="00F72F23" w:rsidRPr="00DC3A84" w14:paraId="4885AFEF" w14:textId="77777777" w:rsidTr="00C359FA">
        <w:tc>
          <w:tcPr>
            <w:tcW w:w="2518" w:type="dxa"/>
            <w:shd w:val="clear" w:color="auto" w:fill="D9D9D9" w:themeFill="background1" w:themeFillShade="D9"/>
          </w:tcPr>
          <w:p w14:paraId="7A4A8098"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Fecha de asignación del caso</w:t>
            </w:r>
          </w:p>
        </w:tc>
        <w:tc>
          <w:tcPr>
            <w:tcW w:w="7465" w:type="dxa"/>
          </w:tcPr>
          <w:p w14:paraId="17343298" w14:textId="29E17BF5" w:rsidR="00F72F23" w:rsidRPr="00DC3A84" w:rsidRDefault="004C02B8" w:rsidP="00F72F23">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05 de septiembre de 2023</w:t>
            </w:r>
          </w:p>
        </w:tc>
      </w:tr>
      <w:tr w:rsidR="00F72F23" w:rsidRPr="00DC3A84" w14:paraId="2EE1817E" w14:textId="77777777" w:rsidTr="00C359FA">
        <w:tc>
          <w:tcPr>
            <w:tcW w:w="2518" w:type="dxa"/>
            <w:shd w:val="clear" w:color="auto" w:fill="D9D9D9" w:themeFill="background1" w:themeFillShade="D9"/>
          </w:tcPr>
          <w:p w14:paraId="4BBB3EF0" w14:textId="70B1CFBB"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Fecha de admisión de la vinculación de HDI</w:t>
            </w:r>
          </w:p>
        </w:tc>
        <w:tc>
          <w:tcPr>
            <w:tcW w:w="7465" w:type="dxa"/>
          </w:tcPr>
          <w:p w14:paraId="696A523B" w14:textId="347E514C" w:rsidR="00F72F23" w:rsidRPr="00DC3A84" w:rsidRDefault="00B86835" w:rsidP="00F72F23">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05 de abril de 2024</w:t>
            </w:r>
          </w:p>
        </w:tc>
      </w:tr>
      <w:tr w:rsidR="00F72F23" w:rsidRPr="00DC3A84" w14:paraId="5D5354CC" w14:textId="77777777" w:rsidTr="00C359FA">
        <w:tc>
          <w:tcPr>
            <w:tcW w:w="2518" w:type="dxa"/>
            <w:shd w:val="clear" w:color="auto" w:fill="D9D9D9" w:themeFill="background1" w:themeFillShade="D9"/>
          </w:tcPr>
          <w:p w14:paraId="1C31935F" w14:textId="08FBF073"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Fecha de notificación de la vinculación a HDI</w:t>
            </w:r>
          </w:p>
        </w:tc>
        <w:tc>
          <w:tcPr>
            <w:tcW w:w="7465" w:type="dxa"/>
          </w:tcPr>
          <w:p w14:paraId="34EF59C3" w14:textId="5B91B37B" w:rsidR="00F72F23" w:rsidRPr="00DC3A84" w:rsidRDefault="00E11D03" w:rsidP="00F72F23">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11 de abril de 2024</w:t>
            </w:r>
          </w:p>
        </w:tc>
      </w:tr>
      <w:tr w:rsidR="00F72F23" w:rsidRPr="00DC3A84" w14:paraId="2F193EE7" w14:textId="77777777" w:rsidTr="00C359FA">
        <w:tc>
          <w:tcPr>
            <w:tcW w:w="2518" w:type="dxa"/>
            <w:shd w:val="clear" w:color="auto" w:fill="D9D9D9" w:themeFill="background1" w:themeFillShade="D9"/>
          </w:tcPr>
          <w:p w14:paraId="60E8F079" w14:textId="77777777" w:rsidR="00F72F23" w:rsidRPr="00DC3A84" w:rsidRDefault="00F72F23" w:rsidP="00F72F23">
            <w:pPr>
              <w:rPr>
                <w:rFonts w:asciiTheme="minorHAnsi" w:hAnsiTheme="minorHAnsi" w:cstheme="minorHAnsi"/>
                <w:b/>
                <w:sz w:val="20"/>
                <w:szCs w:val="20"/>
                <w:lang w:val="es-ES_tradnl"/>
              </w:rPr>
            </w:pPr>
            <w:r w:rsidRPr="00DC3A84">
              <w:rPr>
                <w:rFonts w:asciiTheme="minorHAnsi" w:hAnsiTheme="minorHAnsi" w:cstheme="minorHAnsi"/>
                <w:b/>
                <w:sz w:val="20"/>
                <w:szCs w:val="20"/>
                <w:lang w:val="es-ES_tradnl"/>
              </w:rPr>
              <w:t>Fecha de contestación del caso</w:t>
            </w:r>
          </w:p>
        </w:tc>
        <w:tc>
          <w:tcPr>
            <w:tcW w:w="7465" w:type="dxa"/>
          </w:tcPr>
          <w:p w14:paraId="635E2E0B" w14:textId="0ADC1B79" w:rsidR="00F72F23" w:rsidRPr="00DC3A84" w:rsidRDefault="002A1783" w:rsidP="00F72F23">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03 de mayo de 2024</w:t>
            </w:r>
          </w:p>
        </w:tc>
      </w:tr>
    </w:tbl>
    <w:p w14:paraId="768EF4C3" w14:textId="77777777" w:rsidR="00C3016C" w:rsidRPr="00DC3A84" w:rsidRDefault="00C3016C" w:rsidP="00C3016C">
      <w:pPr>
        <w:spacing w:after="160" w:line="259" w:lineRule="auto"/>
        <w:jc w:val="both"/>
        <w:rPr>
          <w:rFonts w:asciiTheme="minorHAnsi" w:hAnsiTheme="minorHAnsi" w:cstheme="minorHAnsi"/>
          <w:sz w:val="20"/>
          <w:szCs w:val="20"/>
        </w:rPr>
      </w:pPr>
    </w:p>
    <w:p w14:paraId="7D067BF1" w14:textId="77777777" w:rsidR="005D7B82" w:rsidRPr="00DC3A84" w:rsidRDefault="005D7B82" w:rsidP="00C3016C">
      <w:pPr>
        <w:spacing w:after="160" w:line="259" w:lineRule="auto"/>
        <w:jc w:val="both"/>
        <w:rPr>
          <w:rFonts w:asciiTheme="minorHAnsi" w:hAnsiTheme="minorHAnsi" w:cstheme="minorHAnsi"/>
          <w:sz w:val="20"/>
          <w:szCs w:val="20"/>
        </w:rPr>
      </w:pPr>
    </w:p>
    <w:p w14:paraId="7AAB6285" w14:textId="77777777" w:rsidR="005D7B82" w:rsidRPr="00DC3A84" w:rsidRDefault="005D7B82" w:rsidP="00C3016C">
      <w:pPr>
        <w:spacing w:after="160" w:line="259" w:lineRule="auto"/>
        <w:jc w:val="both"/>
        <w:rPr>
          <w:rFonts w:asciiTheme="minorHAnsi" w:hAnsiTheme="minorHAnsi" w:cstheme="minorHAnsi"/>
          <w:sz w:val="20"/>
          <w:szCs w:val="20"/>
        </w:rPr>
      </w:pPr>
    </w:p>
    <w:p w14:paraId="4E583371" w14:textId="77777777" w:rsidR="005D7B82" w:rsidRPr="00DC3A84" w:rsidRDefault="005D7B82" w:rsidP="00C3016C">
      <w:pPr>
        <w:spacing w:after="160" w:line="259" w:lineRule="auto"/>
        <w:jc w:val="both"/>
        <w:rPr>
          <w:rFonts w:asciiTheme="minorHAnsi" w:hAnsiTheme="minorHAnsi" w:cstheme="minorHAnsi"/>
          <w:sz w:val="20"/>
          <w:szCs w:val="20"/>
        </w:rPr>
      </w:pPr>
    </w:p>
    <w:p w14:paraId="6550DCAA" w14:textId="77777777" w:rsidR="00C3016C" w:rsidRPr="00DC3A84" w:rsidRDefault="00C3016C" w:rsidP="00C3016C">
      <w:pPr>
        <w:spacing w:after="160" w:line="259" w:lineRule="auto"/>
        <w:jc w:val="both"/>
        <w:rPr>
          <w:rFonts w:asciiTheme="minorHAnsi" w:hAnsiTheme="minorHAnsi" w:cstheme="minorHAnsi"/>
          <w:sz w:val="20"/>
          <w:szCs w:val="20"/>
        </w:rPr>
      </w:pPr>
    </w:p>
    <w:sectPr w:rsidR="00C3016C" w:rsidRPr="00DC3A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BC6"/>
    <w:multiLevelType w:val="multilevel"/>
    <w:tmpl w:val="84E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AB5FE1"/>
    <w:multiLevelType w:val="hybridMultilevel"/>
    <w:tmpl w:val="DB0E657A"/>
    <w:lvl w:ilvl="0" w:tplc="B518F6FC">
      <w:start w:val="1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83151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917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388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777466">
    <w:abstractNumId w:val="4"/>
  </w:num>
  <w:num w:numId="5" w16cid:durableId="207920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5782F"/>
    <w:rsid w:val="00203F47"/>
    <w:rsid w:val="002A1783"/>
    <w:rsid w:val="003E30CE"/>
    <w:rsid w:val="003F5769"/>
    <w:rsid w:val="004C02B8"/>
    <w:rsid w:val="005D7B82"/>
    <w:rsid w:val="007A071A"/>
    <w:rsid w:val="00891F78"/>
    <w:rsid w:val="009A6A3A"/>
    <w:rsid w:val="00AC0786"/>
    <w:rsid w:val="00B86835"/>
    <w:rsid w:val="00C3016C"/>
    <w:rsid w:val="00C35645"/>
    <w:rsid w:val="00C4440D"/>
    <w:rsid w:val="00DC3A84"/>
    <w:rsid w:val="00DE6F25"/>
    <w:rsid w:val="00E11D03"/>
    <w:rsid w:val="00E8173D"/>
    <w:rsid w:val="00F36A8F"/>
    <w:rsid w:val="00F72F23"/>
    <w:rsid w:val="00F93AD5"/>
    <w:rsid w:val="00FA3E5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3A8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20836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2.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Juan Carlos  Sanclemente</cp:lastModifiedBy>
  <cp:revision>2</cp:revision>
  <dcterms:created xsi:type="dcterms:W3CDTF">2024-05-14T21:16:00Z</dcterms:created>
  <dcterms:modified xsi:type="dcterms:W3CDTF">2024-05-14T21:16:00Z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ies>
</file>