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24E5" w14:textId="014C90D4"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
          <w:bCs/>
          <w:bdr w:val="none" w:sz="0" w:space="0" w:color="auto" w:frame="1"/>
          <w:lang w:val="es-CO"/>
        </w:rPr>
        <w:t>Radicado: </w:t>
      </w:r>
      <w:r w:rsidRPr="00200E72">
        <w:rPr>
          <w:rFonts w:ascii="Arial" w:eastAsia="Times New Roman" w:hAnsi="Arial" w:cs="Arial"/>
          <w:bdr w:val="none" w:sz="0" w:space="0" w:color="auto" w:frame="1"/>
          <w:lang w:val="es-CO"/>
        </w:rPr>
        <w:t>760013103009</w:t>
      </w:r>
      <w:r w:rsidRPr="00200E72">
        <w:rPr>
          <w:rFonts w:ascii="Arial" w:eastAsia="Times New Roman" w:hAnsi="Arial" w:cs="Arial"/>
          <w:b/>
          <w:bCs/>
          <w:bdr w:val="none" w:sz="0" w:space="0" w:color="auto" w:frame="1"/>
          <w:lang w:val="es-CO"/>
        </w:rPr>
        <w:t>-</w:t>
      </w:r>
      <w:r w:rsidRPr="00200E72">
        <w:rPr>
          <w:rFonts w:ascii="Arial" w:eastAsia="Times New Roman" w:hAnsi="Arial" w:cs="Arial"/>
          <w:b/>
          <w:bCs/>
          <w:u w:val="single"/>
          <w:bdr w:val="none" w:sz="0" w:space="0" w:color="auto" w:frame="1"/>
          <w:lang w:val="es-CO"/>
        </w:rPr>
        <w:t>2022-00324</w:t>
      </w:r>
      <w:r w:rsidRPr="00200E72">
        <w:rPr>
          <w:rFonts w:ascii="Arial" w:eastAsia="Times New Roman" w:hAnsi="Arial" w:cs="Arial"/>
          <w:b/>
          <w:bCs/>
          <w:bdr w:val="none" w:sz="0" w:space="0" w:color="auto" w:frame="1"/>
          <w:lang w:val="es-CO"/>
        </w:rPr>
        <w:t>-</w:t>
      </w:r>
      <w:r w:rsidRPr="00200E72">
        <w:rPr>
          <w:rFonts w:ascii="Arial" w:eastAsia="Times New Roman" w:hAnsi="Arial" w:cs="Arial"/>
          <w:bdr w:val="none" w:sz="0" w:space="0" w:color="auto" w:frame="1"/>
          <w:lang w:val="es-CO"/>
        </w:rPr>
        <w:t>00 </w:t>
      </w:r>
    </w:p>
    <w:p w14:paraId="5DC008C8"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
          <w:bCs/>
          <w:bdr w:val="none" w:sz="0" w:space="0" w:color="auto" w:frame="1"/>
          <w:lang w:val="es-CO"/>
        </w:rPr>
        <w:t> </w:t>
      </w:r>
      <w:r w:rsidRPr="00200E72">
        <w:rPr>
          <w:rFonts w:ascii="Arial" w:eastAsia="Times New Roman" w:hAnsi="Arial" w:cs="Arial"/>
          <w:bdr w:val="none" w:sz="0" w:space="0" w:color="auto" w:frame="1"/>
          <w:lang w:val="es-CO"/>
        </w:rPr>
        <w:t>  </w:t>
      </w:r>
    </w:p>
    <w:p w14:paraId="2B1DC536"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
          <w:bCs/>
          <w:bdr w:val="none" w:sz="0" w:space="0" w:color="auto" w:frame="1"/>
          <w:lang w:val="es-CO"/>
        </w:rPr>
        <w:t>Juzgado: Juzgado Noveno (09) Civil del Circuito de Cali</w:t>
      </w:r>
      <w:r w:rsidRPr="00200E72">
        <w:rPr>
          <w:rFonts w:ascii="Arial" w:eastAsia="Times New Roman" w:hAnsi="Arial" w:cs="Arial"/>
          <w:bdr w:val="none" w:sz="0" w:space="0" w:color="auto" w:frame="1"/>
          <w:lang w:val="es-CO"/>
        </w:rPr>
        <w:t> </w:t>
      </w:r>
    </w:p>
    <w:p w14:paraId="30237951"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ES"/>
        </w:rPr>
        <w:t> </w:t>
      </w:r>
      <w:r w:rsidRPr="00200E72">
        <w:rPr>
          <w:rFonts w:ascii="Arial" w:eastAsia="Times New Roman" w:hAnsi="Arial" w:cs="Arial"/>
          <w:bdr w:val="none" w:sz="0" w:space="0" w:color="auto" w:frame="1"/>
          <w:lang w:val="es-CO"/>
        </w:rPr>
        <w:t>  </w:t>
      </w:r>
    </w:p>
    <w:p w14:paraId="5BF1E3F4" w14:textId="6B15AB52" w:rsidR="00D044B7" w:rsidRPr="00200E72" w:rsidRDefault="00D044B7" w:rsidP="00200E72">
      <w:pPr>
        <w:shd w:val="clear" w:color="auto" w:fill="FFFFFF"/>
        <w:spacing w:after="0" w:line="360" w:lineRule="auto"/>
        <w:jc w:val="both"/>
        <w:rPr>
          <w:rFonts w:ascii="Arial" w:eastAsia="Times New Roman" w:hAnsi="Arial" w:cs="Arial"/>
          <w:b/>
          <w:bCs/>
          <w:lang w:val="es-CO"/>
        </w:rPr>
      </w:pPr>
      <w:r w:rsidRPr="00200E72">
        <w:rPr>
          <w:rFonts w:ascii="Arial" w:eastAsia="Times New Roman" w:hAnsi="Arial" w:cs="Arial"/>
          <w:b/>
          <w:bCs/>
          <w:bdr w:val="none" w:sz="0" w:space="0" w:color="auto" w:frame="1"/>
          <w:lang w:val="es-ES"/>
        </w:rPr>
        <w:t>Demandante</w:t>
      </w:r>
      <w:r w:rsidR="00DD6B6C" w:rsidRPr="00200E72">
        <w:rPr>
          <w:rFonts w:ascii="Arial" w:eastAsia="Times New Roman" w:hAnsi="Arial" w:cs="Arial"/>
          <w:b/>
          <w:bCs/>
          <w:bdr w:val="none" w:sz="0" w:space="0" w:color="auto" w:frame="1"/>
          <w:lang w:val="es-ES"/>
        </w:rPr>
        <w:t>s</w:t>
      </w:r>
      <w:r w:rsidRPr="00200E72">
        <w:rPr>
          <w:rFonts w:ascii="Arial" w:eastAsia="Times New Roman" w:hAnsi="Arial" w:cs="Arial"/>
          <w:b/>
          <w:bCs/>
          <w:bdr w:val="none" w:sz="0" w:space="0" w:color="auto" w:frame="1"/>
          <w:lang w:val="es-ES"/>
        </w:rPr>
        <w:t>:</w:t>
      </w:r>
      <w:r w:rsidRPr="00200E72">
        <w:rPr>
          <w:rFonts w:ascii="Arial" w:eastAsia="Times New Roman" w:hAnsi="Arial" w:cs="Arial"/>
          <w:b/>
          <w:bCs/>
          <w:bdr w:val="none" w:sz="0" w:space="0" w:color="auto" w:frame="1"/>
          <w:lang w:val="es-CO"/>
        </w:rPr>
        <w:t>  </w:t>
      </w:r>
    </w:p>
    <w:p w14:paraId="69C2E513"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
          <w:bCs/>
          <w:bdr w:val="none" w:sz="0" w:space="0" w:color="auto" w:frame="1"/>
          <w:lang w:val="es-CO"/>
        </w:rPr>
        <w:t> </w:t>
      </w:r>
      <w:r w:rsidRPr="00200E72">
        <w:rPr>
          <w:rFonts w:ascii="Arial" w:eastAsia="Times New Roman" w:hAnsi="Arial" w:cs="Arial"/>
          <w:bdr w:val="none" w:sz="0" w:space="0" w:color="auto" w:frame="1"/>
          <w:lang w:val="es-CO"/>
        </w:rPr>
        <w:t> </w:t>
      </w:r>
    </w:p>
    <w:p w14:paraId="74DAF725"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JIMMY ANDRÉS GÓMEZ (VÍCTIMA) </w:t>
      </w:r>
    </w:p>
    <w:p w14:paraId="0F484034"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MARÍA JULIANA GÓMEZ GONZÁLEZ (HIJA) </w:t>
      </w:r>
    </w:p>
    <w:p w14:paraId="61D3C4CF" w14:textId="77777777" w:rsidR="00D044B7" w:rsidRPr="00200E72" w:rsidRDefault="00D044B7" w:rsidP="00200E72">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t>JUÁN FELIPE GÓMEZ GONZÁLEZ (HIJO) </w:t>
      </w:r>
    </w:p>
    <w:p w14:paraId="101593B8" w14:textId="49A72B91" w:rsidR="007630A8" w:rsidRPr="00200E72" w:rsidRDefault="007630A8"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JOHAN ANDRÉS GÓMEZ GAVIRIA (HIJO)</w:t>
      </w:r>
    </w:p>
    <w:p w14:paraId="0661F9F1" w14:textId="087784A0" w:rsidR="007630A8" w:rsidRPr="00200E72" w:rsidRDefault="00D044B7" w:rsidP="00200E72">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t>NURY ALEJANDRA GONZÁLEZ (COMPAÑERA) </w:t>
      </w:r>
    </w:p>
    <w:p w14:paraId="6269FD46"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xml:space="preserve">EMMA ESPERANZA GÓMEZ </w:t>
      </w:r>
      <w:proofErr w:type="spellStart"/>
      <w:r w:rsidRPr="00200E72">
        <w:rPr>
          <w:rFonts w:ascii="Arial" w:eastAsia="Times New Roman" w:hAnsi="Arial" w:cs="Arial"/>
          <w:bdr w:val="none" w:sz="0" w:space="0" w:color="auto" w:frame="1"/>
          <w:lang w:val="es-CO"/>
        </w:rPr>
        <w:t>GÓMEZ</w:t>
      </w:r>
      <w:proofErr w:type="spellEnd"/>
      <w:r w:rsidRPr="00200E72">
        <w:rPr>
          <w:rFonts w:ascii="Arial" w:eastAsia="Times New Roman" w:hAnsi="Arial" w:cs="Arial"/>
          <w:bdr w:val="none" w:sz="0" w:space="0" w:color="auto" w:frame="1"/>
          <w:lang w:val="es-CO"/>
        </w:rPr>
        <w:t xml:space="preserve"> (MADRE) </w:t>
      </w:r>
    </w:p>
    <w:p w14:paraId="747D019E" w14:textId="77777777" w:rsidR="007630A8" w:rsidRPr="00200E72" w:rsidRDefault="00D044B7" w:rsidP="00200E72">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t>NILSA YURLANDY NUPAN GÓMEZ (HERMANA)</w:t>
      </w:r>
    </w:p>
    <w:p w14:paraId="32789790" w14:textId="77777777" w:rsidR="007630A8" w:rsidRPr="00200E72" w:rsidRDefault="007630A8" w:rsidP="00200E72">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t>MARTHA PATRICIA GONZÁLEZ (SUEGRA)</w:t>
      </w:r>
    </w:p>
    <w:p w14:paraId="172654E0" w14:textId="6AFB595D" w:rsidR="00D044B7" w:rsidRPr="00200E72" w:rsidRDefault="007630A8"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ANA BEATRIZ DE LA CRUZ GÓMEZ (PRIMA)</w:t>
      </w:r>
      <w:r w:rsidR="00D044B7" w:rsidRPr="00200E72">
        <w:rPr>
          <w:rFonts w:ascii="Arial" w:eastAsia="Times New Roman" w:hAnsi="Arial" w:cs="Arial"/>
          <w:bdr w:val="none" w:sz="0" w:space="0" w:color="auto" w:frame="1"/>
          <w:lang w:val="es-CO"/>
        </w:rPr>
        <w:t> </w:t>
      </w:r>
    </w:p>
    <w:p w14:paraId="3492E52D"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026EB3FC"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
          <w:bCs/>
          <w:bdr w:val="none" w:sz="0" w:space="0" w:color="auto" w:frame="1"/>
          <w:lang w:val="es-CO"/>
        </w:rPr>
        <w:t>Demandados:  </w:t>
      </w:r>
      <w:r w:rsidRPr="00200E72">
        <w:rPr>
          <w:rFonts w:ascii="Arial" w:eastAsia="Times New Roman" w:hAnsi="Arial" w:cs="Arial"/>
          <w:bdr w:val="none" w:sz="0" w:space="0" w:color="auto" w:frame="1"/>
          <w:lang w:val="es-CO"/>
        </w:rPr>
        <w:t> </w:t>
      </w:r>
    </w:p>
    <w:p w14:paraId="6BFB8CB5"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2C51E482"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HDI SEGUROS S.A.   </w:t>
      </w:r>
    </w:p>
    <w:p w14:paraId="5CB8173B" w14:textId="320BA9B4"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VÍCTOR VICENTE MORENO GALVIS </w:t>
      </w:r>
      <w:r w:rsidR="007630A8" w:rsidRPr="00200E72">
        <w:rPr>
          <w:rFonts w:ascii="Arial" w:eastAsia="Times New Roman" w:hAnsi="Arial" w:cs="Arial"/>
          <w:bdr w:val="none" w:sz="0" w:space="0" w:color="auto" w:frame="1"/>
          <w:lang w:val="es-CO"/>
        </w:rPr>
        <w:t>(CONDUCTOR)</w:t>
      </w:r>
    </w:p>
    <w:p w14:paraId="1D6021A1" w14:textId="38EF877A"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ELIZABETH PEREA MARTÍNEZ </w:t>
      </w:r>
      <w:r w:rsidR="007630A8" w:rsidRPr="00200E72">
        <w:rPr>
          <w:rFonts w:ascii="Arial" w:eastAsia="Times New Roman" w:hAnsi="Arial" w:cs="Arial"/>
          <w:bdr w:val="none" w:sz="0" w:space="0" w:color="auto" w:frame="1"/>
          <w:lang w:val="es-CO"/>
        </w:rPr>
        <w:t>(PROPIETARIA)</w:t>
      </w:r>
    </w:p>
    <w:p w14:paraId="0BF6E63F"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19EBC0AD"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044B72C2"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Fecha Hechos: 23 de diciembre de 2021</w:t>
      </w:r>
      <w:r w:rsidRPr="00200E72">
        <w:rPr>
          <w:rFonts w:ascii="Arial" w:eastAsia="Times New Roman" w:hAnsi="Arial" w:cs="Arial"/>
          <w:bdr w:val="none" w:sz="0" w:space="0" w:color="auto" w:frame="1"/>
          <w:lang w:val="es-ES"/>
        </w:rPr>
        <w:t>.</w:t>
      </w:r>
      <w:r w:rsidRPr="00200E72">
        <w:rPr>
          <w:rFonts w:ascii="Arial" w:eastAsia="Times New Roman" w:hAnsi="Arial" w:cs="Arial"/>
          <w:bdr w:val="none" w:sz="0" w:space="0" w:color="auto" w:frame="1"/>
          <w:lang w:val="es-CO"/>
        </w:rPr>
        <w:t>  </w:t>
      </w:r>
    </w:p>
    <w:p w14:paraId="5D7E4202"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Fecha de Solicitud Audiencia extrajudicial: Se solicitaron medidas cautelares.  </w:t>
      </w:r>
    </w:p>
    <w:p w14:paraId="4FB73625"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ES"/>
        </w:rPr>
        <w:t>Fecha Audiencia de conciliación: </w:t>
      </w:r>
      <w:r w:rsidRPr="00200E72">
        <w:rPr>
          <w:rFonts w:ascii="Arial" w:eastAsia="Times New Roman" w:hAnsi="Arial" w:cs="Arial"/>
          <w:bdr w:val="none" w:sz="0" w:space="0" w:color="auto" w:frame="1"/>
          <w:lang w:val="es-CO"/>
        </w:rPr>
        <w:t>Se solicitaron medidas cautelares.  </w:t>
      </w:r>
    </w:p>
    <w:p w14:paraId="42A5071A"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500E4C3B"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4F8F60D4"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
          <w:bCs/>
          <w:u w:val="single"/>
          <w:bdr w:val="none" w:sz="0" w:space="0" w:color="auto" w:frame="1"/>
          <w:lang w:val="es-ES"/>
        </w:rPr>
        <w:t>Antecedentes del caso</w:t>
      </w:r>
      <w:r w:rsidRPr="00200E72">
        <w:rPr>
          <w:rFonts w:ascii="Arial" w:eastAsia="Times New Roman" w:hAnsi="Arial" w:cs="Arial"/>
          <w:bdr w:val="none" w:sz="0" w:space="0" w:color="auto" w:frame="1"/>
          <w:lang w:val="es-ES"/>
        </w:rPr>
        <w:t> </w:t>
      </w:r>
      <w:r w:rsidRPr="00200E72">
        <w:rPr>
          <w:rFonts w:ascii="Arial" w:eastAsia="Times New Roman" w:hAnsi="Arial" w:cs="Arial"/>
          <w:bdr w:val="none" w:sz="0" w:space="0" w:color="auto" w:frame="1"/>
          <w:lang w:val="es-CO"/>
        </w:rPr>
        <w:t>  </w:t>
      </w:r>
    </w:p>
    <w:p w14:paraId="4A828659"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br/>
        <w:t xml:space="preserve">De conformidad con lo indicado en los hechos de la demanda, el 23 de diciembre de 2021 en carrera 26 con calle 33C, jurisdicción de Cali, Valle del Cauca, ocurrió un accidente de tránsito en el que resultaron involucrados los vehículos de placa KME03E (conducido en el </w:t>
      </w:r>
      <w:r w:rsidRPr="00200E72">
        <w:rPr>
          <w:rFonts w:ascii="Arial" w:eastAsia="Times New Roman" w:hAnsi="Arial" w:cs="Arial"/>
          <w:bdr w:val="none" w:sz="0" w:space="0" w:color="auto" w:frame="1"/>
          <w:lang w:val="es-CO"/>
        </w:rPr>
        <w:lastRenderedPageBreak/>
        <w:t>momento de los hechos por Jimmy Andrés Gómez) y de placa IVO794 (conducido por el señor Víctor Vicente Moreno Galvis). </w:t>
      </w:r>
    </w:p>
    <w:p w14:paraId="0C68DC4D"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2DD832E4"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Para la fecha de los hechos, el vehículo de placa IVO794 era propiedad de la señora Elizabeth Perea Martínez y tenía vigente una póliza de responsabilidad civil extracontractual suscrita con la compañía HDI SEGUROS S.A.  </w:t>
      </w:r>
    </w:p>
    <w:p w14:paraId="5A252227" w14:textId="77777777" w:rsidR="00D044B7" w:rsidRPr="00200E72" w:rsidRDefault="00D044B7" w:rsidP="00200E72">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70667CA5" w14:textId="77777777" w:rsidR="00CF0B6D" w:rsidRDefault="00D044B7" w:rsidP="00200E72">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t xml:space="preserve">Como consecuencia del accidente, el señor Jimmy Gómez sufrió varias lesiones físicas, por lo que, el 05 de marzo 2022, el Instituto Nacional de Medicina Legal y Ciencias Forenses estableció que tenía una deformidad física de carácter permanente, pérdida funcional de miembro inferior derecho por amputación a nivel de tobillo de carácter permanente y perturbación funcional de órgano de sistema de locomoción por amputación a nivel de tobillo derecho de carácter permanente. </w:t>
      </w:r>
    </w:p>
    <w:p w14:paraId="7CA04B0E" w14:textId="77777777" w:rsidR="00CF0B6D" w:rsidRDefault="00CF0B6D" w:rsidP="00200E72">
      <w:pPr>
        <w:shd w:val="clear" w:color="auto" w:fill="FFFFFF"/>
        <w:spacing w:after="0" w:line="360" w:lineRule="auto"/>
        <w:jc w:val="both"/>
        <w:rPr>
          <w:rFonts w:ascii="Arial" w:eastAsia="Times New Roman" w:hAnsi="Arial" w:cs="Arial"/>
          <w:bdr w:val="none" w:sz="0" w:space="0" w:color="auto" w:frame="1"/>
          <w:lang w:val="es-CO"/>
        </w:rPr>
      </w:pPr>
    </w:p>
    <w:p w14:paraId="49205C65" w14:textId="50CF7AC6" w:rsidR="00D044B7" w:rsidRPr="00200E72" w:rsidRDefault="00CF0B6D" w:rsidP="00200E72">
      <w:pPr>
        <w:shd w:val="clear" w:color="auto" w:fill="FFFFFF"/>
        <w:spacing w:after="0"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C</w:t>
      </w:r>
      <w:r w:rsidR="00D60E83">
        <w:rPr>
          <w:rFonts w:ascii="Arial" w:eastAsia="Times New Roman" w:hAnsi="Arial" w:cs="Arial"/>
          <w:bdr w:val="none" w:sz="0" w:space="0" w:color="auto" w:frame="1"/>
          <w:lang w:val="es-CO"/>
        </w:rPr>
        <w:t>on la reforma de la demanda y e</w:t>
      </w:r>
      <w:r>
        <w:rPr>
          <w:rFonts w:ascii="Arial" w:eastAsia="Times New Roman" w:hAnsi="Arial" w:cs="Arial"/>
          <w:bdr w:val="none" w:sz="0" w:space="0" w:color="auto" w:frame="1"/>
          <w:lang w:val="es-CO"/>
        </w:rPr>
        <w:t>l descorre a las excepciones la demandante aportó:</w:t>
      </w:r>
      <w:r w:rsidR="00980292">
        <w:rPr>
          <w:rFonts w:ascii="Arial" w:eastAsia="Times New Roman" w:hAnsi="Arial" w:cs="Arial"/>
          <w:bdr w:val="none" w:sz="0" w:space="0" w:color="auto" w:frame="1"/>
          <w:lang w:val="es-CO"/>
        </w:rPr>
        <w:t xml:space="preserve">(i) </w:t>
      </w:r>
      <w:r w:rsidR="00980292" w:rsidRPr="00200E72">
        <w:rPr>
          <w:rFonts w:ascii="Arial" w:eastAsia="Times New Roman" w:hAnsi="Arial" w:cs="Arial"/>
          <w:bdr w:val="none" w:sz="0" w:space="0" w:color="auto" w:frame="1"/>
          <w:lang w:val="es-CO"/>
        </w:rPr>
        <w:t xml:space="preserve">la certificación emitida por la empresa </w:t>
      </w:r>
      <w:proofErr w:type="spellStart"/>
      <w:r w:rsidR="00980292" w:rsidRPr="00200E72">
        <w:rPr>
          <w:rFonts w:ascii="Arial" w:eastAsia="Times New Roman" w:hAnsi="Arial" w:cs="Arial"/>
          <w:bdr w:val="none" w:sz="0" w:space="0" w:color="auto" w:frame="1"/>
          <w:lang w:val="es-CO"/>
        </w:rPr>
        <w:t>Fortox</w:t>
      </w:r>
      <w:proofErr w:type="spellEnd"/>
      <w:r w:rsidR="00980292" w:rsidRPr="00200E72">
        <w:rPr>
          <w:rFonts w:ascii="Arial" w:eastAsia="Times New Roman" w:hAnsi="Arial" w:cs="Arial"/>
          <w:bdr w:val="none" w:sz="0" w:space="0" w:color="auto" w:frame="1"/>
          <w:lang w:val="es-CO"/>
        </w:rPr>
        <w:t xml:space="preserve"> S.A.</w:t>
      </w:r>
      <w:r w:rsidR="00980292">
        <w:rPr>
          <w:rFonts w:ascii="Arial" w:eastAsia="Times New Roman" w:hAnsi="Arial" w:cs="Arial"/>
          <w:bdr w:val="none" w:sz="0" w:space="0" w:color="auto" w:frame="1"/>
          <w:lang w:val="es-CO"/>
        </w:rPr>
        <w:t xml:space="preserve">, en la cual se certifica que </w:t>
      </w:r>
      <w:r w:rsidR="00980292" w:rsidRPr="00E94FCC">
        <w:rPr>
          <w:rFonts w:ascii="Arial" w:eastAsia="Times New Roman" w:hAnsi="Arial" w:cs="Arial"/>
          <w:bdr w:val="none" w:sz="0" w:space="0" w:color="auto" w:frame="1"/>
          <w:lang w:val="es-CO"/>
        </w:rPr>
        <w:t>el señor Jimmy Andrés Gómez devengaba para la fecha del accidente un salario que a</w:t>
      </w:r>
      <w:r w:rsidR="00980292">
        <w:rPr>
          <w:rFonts w:ascii="Arial" w:eastAsia="Times New Roman" w:hAnsi="Arial" w:cs="Arial"/>
          <w:bdr w:val="none" w:sz="0" w:space="0" w:color="auto" w:frame="1"/>
          <w:lang w:val="es-CO"/>
        </w:rPr>
        <w:t>scendía a la suma de $1.423.565; (</w:t>
      </w:r>
      <w:proofErr w:type="spellStart"/>
      <w:r w:rsidR="00980292">
        <w:rPr>
          <w:rFonts w:ascii="Arial" w:eastAsia="Times New Roman" w:hAnsi="Arial" w:cs="Arial"/>
          <w:bdr w:val="none" w:sz="0" w:space="0" w:color="auto" w:frame="1"/>
          <w:lang w:val="es-CO"/>
        </w:rPr>
        <w:t>ii</w:t>
      </w:r>
      <w:proofErr w:type="spellEnd"/>
      <w:r w:rsidR="00980292">
        <w:rPr>
          <w:rFonts w:ascii="Arial" w:eastAsia="Times New Roman" w:hAnsi="Arial" w:cs="Arial"/>
          <w:bdr w:val="none" w:sz="0" w:space="0" w:color="auto" w:frame="1"/>
          <w:lang w:val="es-CO"/>
        </w:rPr>
        <w:t>) el</w:t>
      </w:r>
      <w:r w:rsidR="00980292" w:rsidRPr="00E94FCC">
        <w:rPr>
          <w:rFonts w:ascii="Arial" w:eastAsia="Times New Roman" w:hAnsi="Arial" w:cs="Arial"/>
          <w:bdr w:val="none" w:sz="0" w:space="0" w:color="auto" w:frame="1"/>
          <w:lang w:val="es-CO"/>
        </w:rPr>
        <w:t xml:space="preserve"> </w:t>
      </w:r>
      <w:r w:rsidR="00980292">
        <w:rPr>
          <w:rFonts w:ascii="Arial" w:eastAsia="Times New Roman" w:hAnsi="Arial" w:cs="Arial"/>
          <w:bdr w:val="none" w:sz="0" w:space="0" w:color="auto" w:frame="1"/>
          <w:lang w:val="es-CO"/>
        </w:rPr>
        <w:t>dictamen de pérdida de capacidad laboral emitido por la Junta Regional de Calificación de Invalidez del Valle del Cauca, el cual dictaminó un 42.20% de PCL, con origen; accidente, y con fecha de estructuración del 08 de junio del 2023 (</w:t>
      </w:r>
      <w:r w:rsidR="00980292" w:rsidRPr="000B7428">
        <w:rPr>
          <w:rFonts w:ascii="Arial" w:eastAsia="Times New Roman" w:hAnsi="Arial" w:cs="Arial"/>
          <w:bdr w:val="none" w:sz="0" w:space="0" w:color="auto" w:frame="1"/>
          <w:lang w:val="es-CO"/>
        </w:rPr>
        <w:t>estructura calificación con la fecha de valoración de Medicina</w:t>
      </w:r>
      <w:r w:rsidR="00980292">
        <w:rPr>
          <w:rFonts w:ascii="Arial" w:eastAsia="Times New Roman" w:hAnsi="Arial" w:cs="Arial"/>
          <w:bdr w:val="none" w:sz="0" w:space="0" w:color="auto" w:frame="1"/>
          <w:lang w:val="es-CO"/>
        </w:rPr>
        <w:t xml:space="preserve"> </w:t>
      </w:r>
      <w:r w:rsidR="00980292" w:rsidRPr="000B7428">
        <w:rPr>
          <w:rFonts w:ascii="Arial" w:eastAsia="Times New Roman" w:hAnsi="Arial" w:cs="Arial"/>
          <w:bdr w:val="none" w:sz="0" w:space="0" w:color="auto" w:frame="1"/>
          <w:lang w:val="es-CO"/>
        </w:rPr>
        <w:t>del Trabajo. Otorgado por SEGUROS ALFA</w:t>
      </w:r>
      <w:r w:rsidR="00980292">
        <w:rPr>
          <w:rFonts w:ascii="Arial" w:eastAsia="Times New Roman" w:hAnsi="Arial" w:cs="Arial"/>
          <w:bdr w:val="none" w:sz="0" w:space="0" w:color="auto" w:frame="1"/>
          <w:lang w:val="es-CO"/>
        </w:rPr>
        <w:t>); y (</w:t>
      </w:r>
      <w:proofErr w:type="spellStart"/>
      <w:r w:rsidR="00980292">
        <w:rPr>
          <w:rFonts w:ascii="Arial" w:eastAsia="Times New Roman" w:hAnsi="Arial" w:cs="Arial"/>
          <w:bdr w:val="none" w:sz="0" w:space="0" w:color="auto" w:frame="1"/>
          <w:lang w:val="es-CO"/>
        </w:rPr>
        <w:t>iii</w:t>
      </w:r>
      <w:proofErr w:type="spellEnd"/>
      <w:r w:rsidR="00980292">
        <w:rPr>
          <w:rFonts w:ascii="Arial" w:eastAsia="Times New Roman" w:hAnsi="Arial" w:cs="Arial"/>
          <w:bdr w:val="none" w:sz="0" w:space="0" w:color="auto" w:frame="1"/>
          <w:lang w:val="es-CO"/>
        </w:rPr>
        <w:t>) el informe ejecutivo FPJ-3 correspondiente al reporte de iniciación de la conducta penal derivada de la ocurrencia del accidente: lesiones personales culposas.</w:t>
      </w:r>
      <w:r w:rsidR="00980292">
        <w:rPr>
          <w:rFonts w:ascii="Arial" w:eastAsia="Times New Roman" w:hAnsi="Arial" w:cs="Arial"/>
          <w:bdr w:val="none" w:sz="0" w:space="0" w:color="auto" w:frame="1"/>
          <w:lang w:val="es-CO"/>
        </w:rPr>
        <w:t xml:space="preserve"> </w:t>
      </w:r>
      <w:r w:rsidR="00D044B7" w:rsidRPr="00200E72">
        <w:rPr>
          <w:rFonts w:ascii="Arial" w:eastAsia="Times New Roman" w:hAnsi="Arial" w:cs="Arial"/>
          <w:bdr w:val="none" w:sz="0" w:space="0" w:color="auto" w:frame="1"/>
          <w:lang w:val="es-CO"/>
        </w:rPr>
        <w:t> </w:t>
      </w:r>
    </w:p>
    <w:p w14:paraId="79856B13" w14:textId="77777777" w:rsidR="008B54D0" w:rsidRPr="00200E72" w:rsidRDefault="008B54D0" w:rsidP="00200E72">
      <w:pPr>
        <w:shd w:val="clear" w:color="auto" w:fill="FFFFFF"/>
        <w:spacing w:after="0" w:line="360" w:lineRule="auto"/>
        <w:jc w:val="both"/>
        <w:rPr>
          <w:rFonts w:ascii="Arial" w:eastAsia="Times New Roman" w:hAnsi="Arial" w:cs="Arial"/>
          <w:lang w:val="es-CO"/>
        </w:rPr>
      </w:pPr>
    </w:p>
    <w:p w14:paraId="4202965F" w14:textId="6909751D" w:rsidR="0010483E" w:rsidRPr="00200E72" w:rsidRDefault="00D044B7" w:rsidP="00980292">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
          <w:bCs/>
          <w:bdr w:val="none" w:sz="0" w:space="0" w:color="auto" w:frame="1"/>
          <w:lang w:val="es-CO"/>
        </w:rPr>
        <w:t> </w:t>
      </w:r>
      <w:r w:rsidR="0010483E" w:rsidRPr="00200E72">
        <w:rPr>
          <w:rFonts w:ascii="Arial" w:eastAsia="Times New Roman" w:hAnsi="Arial" w:cs="Arial"/>
          <w:b/>
          <w:bCs/>
          <w:u w:val="single"/>
          <w:bdr w:val="none" w:sz="0" w:space="0" w:color="auto" w:frame="1"/>
          <w:lang w:val="es-CO"/>
        </w:rPr>
        <w:t>PRETENSIONES DE LA REFORMA DE LA DEMANDA</w:t>
      </w:r>
    </w:p>
    <w:p w14:paraId="49019CC5" w14:textId="77777777" w:rsidR="0010483E" w:rsidRPr="00200E72" w:rsidRDefault="0010483E" w:rsidP="00200E72">
      <w:pPr>
        <w:shd w:val="clear" w:color="auto" w:fill="FFFFFF"/>
        <w:tabs>
          <w:tab w:val="left" w:pos="6009"/>
        </w:tabs>
        <w:spacing w:after="0" w:line="360" w:lineRule="auto"/>
        <w:jc w:val="both"/>
        <w:rPr>
          <w:rFonts w:ascii="Arial" w:eastAsia="Times New Roman" w:hAnsi="Arial" w:cs="Arial"/>
          <w:b/>
          <w:bCs/>
          <w:u w:val="single"/>
          <w:bdr w:val="none" w:sz="0" w:space="0" w:color="auto" w:frame="1"/>
          <w:lang w:val="es-CO"/>
        </w:rPr>
      </w:pPr>
    </w:p>
    <w:p w14:paraId="4CA0553E" w14:textId="03DFA0E8" w:rsidR="0010483E" w:rsidRPr="00200E72" w:rsidRDefault="0010483E" w:rsidP="00200E72">
      <w:p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t xml:space="preserve">Se pretende la suma global de </w:t>
      </w:r>
      <w:r w:rsidR="00AE652C" w:rsidRPr="00200E72">
        <w:rPr>
          <w:rFonts w:ascii="Arial" w:eastAsia="Times New Roman" w:hAnsi="Arial" w:cs="Arial"/>
          <w:b/>
          <w:bCs/>
          <w:bdr w:val="none" w:sz="0" w:space="0" w:color="auto" w:frame="1"/>
          <w:lang w:val="es-CO"/>
        </w:rPr>
        <w:t>$3.846.482.188</w:t>
      </w:r>
      <w:r w:rsidRPr="00200E72">
        <w:rPr>
          <w:rFonts w:ascii="Arial" w:eastAsia="Times New Roman" w:hAnsi="Arial" w:cs="Arial"/>
          <w:bdr w:val="none" w:sz="0" w:space="0" w:color="auto" w:frame="1"/>
          <w:lang w:val="es-CO"/>
        </w:rPr>
        <w:t xml:space="preserve">, discriminados de la siguiente manera: </w:t>
      </w:r>
    </w:p>
    <w:p w14:paraId="4D5BF81D" w14:textId="77777777" w:rsidR="0010483E" w:rsidRPr="00200E72" w:rsidRDefault="0010483E" w:rsidP="00200E72">
      <w:pPr>
        <w:shd w:val="clear" w:color="auto" w:fill="FFFFFF"/>
        <w:tabs>
          <w:tab w:val="left" w:pos="6009"/>
        </w:tabs>
        <w:spacing w:after="0" w:line="360" w:lineRule="auto"/>
        <w:jc w:val="both"/>
        <w:rPr>
          <w:rFonts w:ascii="Arial" w:eastAsia="Times New Roman" w:hAnsi="Arial" w:cs="Arial"/>
          <w:bdr w:val="none" w:sz="0" w:space="0" w:color="auto" w:frame="1"/>
          <w:lang w:val="es-CO"/>
        </w:rPr>
      </w:pPr>
    </w:p>
    <w:p w14:paraId="3DB1E50F" w14:textId="21DD8601" w:rsidR="00AE652C" w:rsidRPr="00200E72" w:rsidRDefault="00AE652C" w:rsidP="00200E72">
      <w:pPr>
        <w:pStyle w:val="Prrafodelista"/>
        <w:numPr>
          <w:ilvl w:val="0"/>
          <w:numId w:val="6"/>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t xml:space="preserve">Daños patrimoniales: Se pretende el valor de </w:t>
      </w:r>
      <w:r w:rsidRPr="00200E72">
        <w:rPr>
          <w:rFonts w:ascii="Arial" w:eastAsia="Times New Roman" w:hAnsi="Arial" w:cs="Arial"/>
          <w:b/>
          <w:bCs/>
          <w:bdr w:val="none" w:sz="0" w:space="0" w:color="auto" w:frame="1"/>
          <w:lang w:val="es-CO"/>
        </w:rPr>
        <w:t xml:space="preserve">$206.482.188, </w:t>
      </w:r>
      <w:r w:rsidRPr="00200E72">
        <w:rPr>
          <w:rFonts w:ascii="Arial" w:eastAsia="Times New Roman" w:hAnsi="Arial" w:cs="Arial"/>
          <w:bdr w:val="none" w:sz="0" w:space="0" w:color="auto" w:frame="1"/>
          <w:lang w:val="es-CO"/>
        </w:rPr>
        <w:t>discriminado de la siguiente manera:</w:t>
      </w:r>
    </w:p>
    <w:p w14:paraId="7B3CB068" w14:textId="4C326B17" w:rsidR="0010483E" w:rsidRPr="00200E72" w:rsidRDefault="0010483E" w:rsidP="00200E72">
      <w:pPr>
        <w:pStyle w:val="Prrafodelista"/>
        <w:numPr>
          <w:ilvl w:val="0"/>
          <w:numId w:val="8"/>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980292">
        <w:rPr>
          <w:rFonts w:ascii="Arial" w:eastAsia="Times New Roman" w:hAnsi="Arial" w:cs="Arial"/>
          <w:b/>
          <w:bdr w:val="none" w:sz="0" w:space="0" w:color="auto" w:frame="1"/>
          <w:lang w:val="es-CO"/>
        </w:rPr>
        <w:t>Lucro cesante</w:t>
      </w:r>
      <w:r w:rsidRPr="00200E72">
        <w:rPr>
          <w:rFonts w:ascii="Arial" w:eastAsia="Times New Roman" w:hAnsi="Arial" w:cs="Arial"/>
          <w:bdr w:val="none" w:sz="0" w:space="0" w:color="auto" w:frame="1"/>
          <w:lang w:val="es-CO"/>
        </w:rPr>
        <w:t xml:space="preserve"> en favor de Jimmy Andrés Gómez: $206.482.188</w:t>
      </w:r>
    </w:p>
    <w:p w14:paraId="6534941D" w14:textId="77777777" w:rsidR="00AE652C" w:rsidRPr="00200E72" w:rsidRDefault="00AE652C" w:rsidP="00200E72">
      <w:pPr>
        <w:shd w:val="clear" w:color="auto" w:fill="FFFFFF"/>
        <w:tabs>
          <w:tab w:val="left" w:pos="6009"/>
        </w:tabs>
        <w:spacing w:after="0" w:line="360" w:lineRule="auto"/>
        <w:jc w:val="both"/>
        <w:rPr>
          <w:rFonts w:ascii="Arial" w:eastAsia="Times New Roman" w:hAnsi="Arial" w:cs="Arial"/>
          <w:bdr w:val="none" w:sz="0" w:space="0" w:color="auto" w:frame="1"/>
          <w:lang w:val="es-CO"/>
        </w:rPr>
      </w:pPr>
    </w:p>
    <w:p w14:paraId="3D1EC8E3" w14:textId="17330764" w:rsidR="00AE652C" w:rsidRPr="00200E72" w:rsidRDefault="00AE652C" w:rsidP="00200E72">
      <w:pPr>
        <w:pStyle w:val="Prrafodelista"/>
        <w:numPr>
          <w:ilvl w:val="0"/>
          <w:numId w:val="6"/>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lastRenderedPageBreak/>
        <w:t xml:space="preserve">Daños extrapatrimoniales: Se pretende el valor de </w:t>
      </w:r>
      <w:r w:rsidRPr="00200E72">
        <w:rPr>
          <w:rFonts w:ascii="Arial" w:eastAsia="Times New Roman" w:hAnsi="Arial" w:cs="Arial"/>
          <w:b/>
          <w:bCs/>
          <w:bdr w:val="none" w:sz="0" w:space="0" w:color="auto" w:frame="1"/>
          <w:lang w:val="es-CO"/>
        </w:rPr>
        <w:t>$2.470.000.000</w:t>
      </w:r>
      <w:r w:rsidRPr="00200E72">
        <w:rPr>
          <w:rFonts w:ascii="Arial" w:eastAsia="Times New Roman" w:hAnsi="Arial" w:cs="Arial"/>
          <w:bdr w:val="none" w:sz="0" w:space="0" w:color="auto" w:frame="1"/>
          <w:lang w:val="es-CO"/>
        </w:rPr>
        <w:t xml:space="preserve">, discriminado de la siguiente manera: </w:t>
      </w:r>
    </w:p>
    <w:p w14:paraId="7E260E3B" w14:textId="77777777" w:rsidR="00AE652C" w:rsidRPr="00200E72" w:rsidRDefault="00AE652C" w:rsidP="00200E72">
      <w:pPr>
        <w:pStyle w:val="Prrafodelista"/>
        <w:shd w:val="clear" w:color="auto" w:fill="FFFFFF"/>
        <w:tabs>
          <w:tab w:val="left" w:pos="6009"/>
        </w:tabs>
        <w:spacing w:after="0" w:line="360" w:lineRule="auto"/>
        <w:jc w:val="both"/>
        <w:rPr>
          <w:rFonts w:ascii="Arial" w:eastAsia="Times New Roman" w:hAnsi="Arial" w:cs="Arial"/>
          <w:bdr w:val="none" w:sz="0" w:space="0" w:color="auto" w:frame="1"/>
          <w:lang w:val="es-CO"/>
        </w:rPr>
      </w:pPr>
    </w:p>
    <w:p w14:paraId="0680CEB3" w14:textId="02042387" w:rsidR="0010483E" w:rsidRPr="00200E72" w:rsidRDefault="0010483E" w:rsidP="00200E72">
      <w:pPr>
        <w:pStyle w:val="Prrafodelista"/>
        <w:numPr>
          <w:ilvl w:val="0"/>
          <w:numId w:val="9"/>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980292">
        <w:rPr>
          <w:rFonts w:ascii="Arial" w:eastAsia="Times New Roman" w:hAnsi="Arial" w:cs="Arial"/>
          <w:b/>
          <w:bdr w:val="none" w:sz="0" w:space="0" w:color="auto" w:frame="1"/>
          <w:lang w:val="es-CO"/>
        </w:rPr>
        <w:t>Perjuicios morales</w:t>
      </w:r>
      <w:r w:rsidRPr="00200E72">
        <w:rPr>
          <w:rFonts w:ascii="Arial" w:eastAsia="Times New Roman" w:hAnsi="Arial" w:cs="Arial"/>
          <w:bdr w:val="none" w:sz="0" w:space="0" w:color="auto" w:frame="1"/>
          <w:lang w:val="es-CO"/>
        </w:rPr>
        <w:t xml:space="preserve"> en favor de cada demandante (9): 100 SMLMV (Total: </w:t>
      </w:r>
      <w:r w:rsidR="00AE652C" w:rsidRPr="00200E72">
        <w:rPr>
          <w:rFonts w:ascii="Arial" w:eastAsia="Times New Roman" w:hAnsi="Arial" w:cs="Arial"/>
          <w:bdr w:val="none" w:sz="0" w:space="0" w:color="auto" w:frame="1"/>
          <w:lang w:val="es-CO"/>
        </w:rPr>
        <w:t>$</w:t>
      </w:r>
      <w:r w:rsidRPr="00200E72">
        <w:rPr>
          <w:rFonts w:ascii="Arial" w:eastAsia="Times New Roman" w:hAnsi="Arial" w:cs="Arial"/>
          <w:color w:val="000000"/>
          <w:lang w:val="es-CO" w:eastAsia="es-MX"/>
        </w:rPr>
        <w:t>1.170.000.000)</w:t>
      </w:r>
    </w:p>
    <w:p w14:paraId="2FAFEF80" w14:textId="77777777" w:rsidR="00AE652C" w:rsidRPr="00200E72" w:rsidRDefault="00AE652C" w:rsidP="00200E72">
      <w:pPr>
        <w:pStyle w:val="Prrafodelista"/>
        <w:shd w:val="clear" w:color="auto" w:fill="FFFFFF"/>
        <w:tabs>
          <w:tab w:val="left" w:pos="6009"/>
        </w:tabs>
        <w:spacing w:after="0" w:line="360" w:lineRule="auto"/>
        <w:ind w:left="1440"/>
        <w:jc w:val="both"/>
        <w:rPr>
          <w:rFonts w:ascii="Arial" w:eastAsia="Times New Roman" w:hAnsi="Arial" w:cs="Arial"/>
          <w:bdr w:val="none" w:sz="0" w:space="0" w:color="auto" w:frame="1"/>
          <w:lang w:val="es-CO"/>
        </w:rPr>
      </w:pPr>
    </w:p>
    <w:p w14:paraId="1C01A2E2" w14:textId="77777777" w:rsidR="00AE652C" w:rsidRPr="00200E72" w:rsidRDefault="0010483E" w:rsidP="00200E72">
      <w:pPr>
        <w:pStyle w:val="Prrafodelista"/>
        <w:numPr>
          <w:ilvl w:val="0"/>
          <w:numId w:val="9"/>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980292">
        <w:rPr>
          <w:rFonts w:ascii="Arial" w:eastAsia="Times New Roman" w:hAnsi="Arial" w:cs="Arial"/>
          <w:b/>
          <w:bdr w:val="none" w:sz="0" w:space="0" w:color="auto" w:frame="1"/>
          <w:lang w:val="es-CO"/>
        </w:rPr>
        <w:t>Daño a la vida de relación</w:t>
      </w:r>
      <w:r w:rsidRPr="00200E72">
        <w:rPr>
          <w:rFonts w:ascii="Arial" w:eastAsia="Times New Roman" w:hAnsi="Arial" w:cs="Arial"/>
          <w:bdr w:val="none" w:sz="0" w:space="0" w:color="auto" w:frame="1"/>
          <w:lang w:val="es-CO"/>
        </w:rPr>
        <w:t xml:space="preserve"> en favor de cada demandante (9): 100 SMLMV (Total: </w:t>
      </w:r>
      <w:r w:rsidR="00AE652C" w:rsidRPr="00200E72">
        <w:rPr>
          <w:rFonts w:ascii="Arial" w:eastAsia="Times New Roman" w:hAnsi="Arial" w:cs="Arial"/>
          <w:bdr w:val="none" w:sz="0" w:space="0" w:color="auto" w:frame="1"/>
          <w:lang w:val="es-CO"/>
        </w:rPr>
        <w:t>$</w:t>
      </w:r>
      <w:r w:rsidRPr="00200E72">
        <w:rPr>
          <w:rFonts w:ascii="Arial" w:eastAsia="Times New Roman" w:hAnsi="Arial" w:cs="Arial"/>
          <w:color w:val="000000"/>
          <w:lang w:val="es-CO" w:eastAsia="es-MX"/>
        </w:rPr>
        <w:t>1.170.000.000)</w:t>
      </w:r>
    </w:p>
    <w:p w14:paraId="05D27B3E" w14:textId="77777777" w:rsidR="00AE652C" w:rsidRPr="00200E72" w:rsidRDefault="00AE652C" w:rsidP="00980292">
      <w:pPr>
        <w:pStyle w:val="Prrafodelista"/>
        <w:spacing w:after="0" w:line="360" w:lineRule="auto"/>
        <w:rPr>
          <w:rFonts w:ascii="Arial" w:eastAsia="Times New Roman" w:hAnsi="Arial" w:cs="Arial"/>
          <w:color w:val="000000"/>
          <w:lang w:val="es-CO" w:eastAsia="es-MX"/>
        </w:rPr>
      </w:pPr>
    </w:p>
    <w:p w14:paraId="34E26158" w14:textId="4DFBD198" w:rsidR="0010483E" w:rsidRPr="00200E72" w:rsidRDefault="000F6125">
      <w:pPr>
        <w:pStyle w:val="Prrafodelista"/>
        <w:numPr>
          <w:ilvl w:val="0"/>
          <w:numId w:val="9"/>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980292">
        <w:rPr>
          <w:rFonts w:ascii="Arial" w:eastAsia="Times New Roman" w:hAnsi="Arial" w:cs="Arial"/>
          <w:b/>
          <w:bdr w:val="none" w:sz="0" w:space="0" w:color="auto" w:frame="1"/>
          <w:lang w:val="es-CO"/>
        </w:rPr>
        <w:t>Daño a los bienes jurídicos de especial protección constitucional</w:t>
      </w:r>
      <w:r w:rsidRPr="00200E72">
        <w:rPr>
          <w:rFonts w:ascii="Arial" w:eastAsia="Times New Roman" w:hAnsi="Arial" w:cs="Arial"/>
          <w:color w:val="000000"/>
          <w:lang w:val="es-CO" w:eastAsia="es-MX"/>
        </w:rPr>
        <w:t xml:space="preserve"> (</w:t>
      </w:r>
      <w:r w:rsidR="0010483E" w:rsidRPr="00200E72">
        <w:rPr>
          <w:rFonts w:ascii="Arial" w:eastAsia="Times New Roman" w:hAnsi="Arial" w:cs="Arial"/>
          <w:color w:val="000000"/>
          <w:lang w:val="es-CO" w:eastAsia="es-MX"/>
        </w:rPr>
        <w:t>Daño a la salud</w:t>
      </w:r>
      <w:r w:rsidRPr="00200E72">
        <w:rPr>
          <w:rFonts w:ascii="Arial" w:eastAsia="Times New Roman" w:hAnsi="Arial" w:cs="Arial"/>
          <w:color w:val="000000"/>
          <w:lang w:val="es-CO" w:eastAsia="es-MX"/>
        </w:rPr>
        <w:t xml:space="preserve">) </w:t>
      </w:r>
      <w:r w:rsidR="0010483E" w:rsidRPr="00200E72">
        <w:rPr>
          <w:rFonts w:ascii="Arial" w:eastAsia="Times New Roman" w:hAnsi="Arial" w:cs="Arial"/>
          <w:color w:val="000000"/>
          <w:lang w:val="es-CO" w:eastAsia="es-MX"/>
        </w:rPr>
        <w:t>en favor de Jimmy Acosta Gómez: $130.000.000</w:t>
      </w:r>
    </w:p>
    <w:p w14:paraId="17E198CF" w14:textId="77777777" w:rsidR="00AE652C" w:rsidRPr="00200E72" w:rsidRDefault="00AE652C">
      <w:pPr>
        <w:shd w:val="clear" w:color="auto" w:fill="FFFFFF"/>
        <w:tabs>
          <w:tab w:val="left" w:pos="6009"/>
        </w:tabs>
        <w:spacing w:after="0" w:line="360" w:lineRule="auto"/>
        <w:jc w:val="both"/>
        <w:rPr>
          <w:rFonts w:ascii="Arial" w:eastAsia="Times New Roman" w:hAnsi="Arial" w:cs="Arial"/>
          <w:color w:val="000000"/>
          <w:lang w:val="es-CO" w:eastAsia="es-MX"/>
        </w:rPr>
      </w:pPr>
    </w:p>
    <w:p w14:paraId="0D86EDE6" w14:textId="6DA45B39" w:rsidR="0010483E" w:rsidRPr="00200E72" w:rsidRDefault="00AE652C">
      <w:pPr>
        <w:pStyle w:val="Prrafodelista"/>
        <w:numPr>
          <w:ilvl w:val="0"/>
          <w:numId w:val="6"/>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980292">
        <w:rPr>
          <w:rFonts w:ascii="Arial" w:eastAsia="Times New Roman" w:hAnsi="Arial" w:cs="Arial"/>
          <w:b/>
          <w:color w:val="000000"/>
          <w:lang w:val="es-CO" w:eastAsia="es-MX"/>
        </w:rPr>
        <w:t>Pérdida de oportunidad</w:t>
      </w:r>
      <w:r w:rsidRPr="00200E72">
        <w:rPr>
          <w:rFonts w:ascii="Arial" w:eastAsia="Times New Roman" w:hAnsi="Arial" w:cs="Arial"/>
          <w:color w:val="000000"/>
          <w:lang w:val="es-CO" w:eastAsia="es-MX"/>
        </w:rPr>
        <w:t xml:space="preserve"> en favor de cada demandante (9): </w:t>
      </w:r>
      <w:r w:rsidRPr="00200E72">
        <w:rPr>
          <w:rFonts w:ascii="Arial" w:eastAsia="Times New Roman" w:hAnsi="Arial" w:cs="Arial"/>
          <w:bdr w:val="none" w:sz="0" w:space="0" w:color="auto" w:frame="1"/>
          <w:lang w:val="es-CO"/>
        </w:rPr>
        <w:t xml:space="preserve">100 SMLMV (Total: </w:t>
      </w:r>
      <w:r w:rsidRPr="00200E72">
        <w:rPr>
          <w:rFonts w:ascii="Arial" w:eastAsia="Times New Roman" w:hAnsi="Arial" w:cs="Arial"/>
          <w:b/>
          <w:bCs/>
          <w:bdr w:val="none" w:sz="0" w:space="0" w:color="auto" w:frame="1"/>
          <w:lang w:val="es-CO"/>
        </w:rPr>
        <w:t>$</w:t>
      </w:r>
      <w:r w:rsidRPr="00200E72">
        <w:rPr>
          <w:rFonts w:ascii="Arial" w:eastAsia="Times New Roman" w:hAnsi="Arial" w:cs="Arial"/>
          <w:b/>
          <w:bCs/>
          <w:color w:val="000000"/>
          <w:lang w:val="es-CO" w:eastAsia="es-MX"/>
        </w:rPr>
        <w:t>1.170.000.000</w:t>
      </w:r>
      <w:r w:rsidRPr="00200E72">
        <w:rPr>
          <w:rFonts w:ascii="Arial" w:eastAsia="Times New Roman" w:hAnsi="Arial" w:cs="Arial"/>
          <w:color w:val="000000"/>
          <w:lang w:val="es-CO" w:eastAsia="es-MX"/>
        </w:rPr>
        <w:t>)</w:t>
      </w:r>
    </w:p>
    <w:p w14:paraId="71AA177F" w14:textId="77777777" w:rsidR="0010483E" w:rsidRPr="00200E72" w:rsidRDefault="0010483E">
      <w:pPr>
        <w:shd w:val="clear" w:color="auto" w:fill="FFFFFF"/>
        <w:spacing w:after="0" w:line="360" w:lineRule="auto"/>
        <w:jc w:val="both"/>
        <w:rPr>
          <w:rFonts w:ascii="Arial" w:eastAsia="Times New Roman" w:hAnsi="Arial" w:cs="Arial"/>
          <w:b/>
          <w:bCs/>
          <w:u w:val="single"/>
          <w:bdr w:val="none" w:sz="0" w:space="0" w:color="auto" w:frame="1"/>
          <w:lang w:val="es-CO"/>
        </w:rPr>
      </w:pPr>
    </w:p>
    <w:p w14:paraId="5C4D2048" w14:textId="787C4F46" w:rsidR="00D044B7" w:rsidRPr="00200E72" w:rsidRDefault="00CF553F">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
          <w:bCs/>
          <w:u w:val="single"/>
          <w:bdr w:val="none" w:sz="0" w:space="0" w:color="auto" w:frame="1"/>
          <w:lang w:val="es-CO"/>
        </w:rPr>
        <w:t xml:space="preserve">ACTUALIZACIÓN </w:t>
      </w:r>
      <w:r w:rsidR="00D044B7" w:rsidRPr="00200E72">
        <w:rPr>
          <w:rFonts w:ascii="Arial" w:eastAsia="Times New Roman" w:hAnsi="Arial" w:cs="Arial"/>
          <w:b/>
          <w:bCs/>
          <w:u w:val="single"/>
          <w:bdr w:val="none" w:sz="0" w:space="0" w:color="auto" w:frame="1"/>
          <w:lang w:val="es-CO"/>
        </w:rPr>
        <w:t>LIQUIDACIÓN OBJETIVADA</w:t>
      </w:r>
      <w:r w:rsidR="00D044B7" w:rsidRPr="00200E72">
        <w:rPr>
          <w:rFonts w:ascii="Arial" w:eastAsia="Times New Roman" w:hAnsi="Arial" w:cs="Arial"/>
          <w:bdr w:val="none" w:sz="0" w:space="0" w:color="auto" w:frame="1"/>
          <w:lang w:val="es-CO"/>
        </w:rPr>
        <w:t>  </w:t>
      </w:r>
    </w:p>
    <w:p w14:paraId="15DC5921" w14:textId="77777777" w:rsidR="00D044B7" w:rsidRPr="00200E72" w:rsidRDefault="00D044B7">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34B8D99C" w14:textId="14FDFA30" w:rsidR="00CF553F" w:rsidRPr="00200E72" w:rsidRDefault="00CF553F">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t>Se procede a actualizar la liquidación con ocasión a</w:t>
      </w:r>
      <w:r w:rsidR="000B7428">
        <w:rPr>
          <w:rFonts w:ascii="Arial" w:eastAsia="Times New Roman" w:hAnsi="Arial" w:cs="Arial"/>
          <w:bdr w:val="none" w:sz="0" w:space="0" w:color="auto" w:frame="1"/>
          <w:lang w:val="es-CO"/>
        </w:rPr>
        <w:t xml:space="preserve"> los documentos radicados por el extremo accionante con el descorre de traslado a las excepciones de mérito formuladas por la pasiva. Entre los documentos se encuentra: (i) </w:t>
      </w:r>
      <w:r w:rsidRPr="00200E72">
        <w:rPr>
          <w:rFonts w:ascii="Arial" w:eastAsia="Times New Roman" w:hAnsi="Arial" w:cs="Arial"/>
          <w:bdr w:val="none" w:sz="0" w:space="0" w:color="auto" w:frame="1"/>
          <w:lang w:val="es-CO"/>
        </w:rPr>
        <w:t xml:space="preserve">la certificación emitida por la empresa </w:t>
      </w:r>
      <w:proofErr w:type="spellStart"/>
      <w:r w:rsidRPr="00200E72">
        <w:rPr>
          <w:rFonts w:ascii="Arial" w:eastAsia="Times New Roman" w:hAnsi="Arial" w:cs="Arial"/>
          <w:bdr w:val="none" w:sz="0" w:space="0" w:color="auto" w:frame="1"/>
          <w:lang w:val="es-CO"/>
        </w:rPr>
        <w:t>Fortox</w:t>
      </w:r>
      <w:proofErr w:type="spellEnd"/>
      <w:r w:rsidRPr="00200E72">
        <w:rPr>
          <w:rFonts w:ascii="Arial" w:eastAsia="Times New Roman" w:hAnsi="Arial" w:cs="Arial"/>
          <w:bdr w:val="none" w:sz="0" w:space="0" w:color="auto" w:frame="1"/>
          <w:lang w:val="es-CO"/>
        </w:rPr>
        <w:t xml:space="preserve"> S.A.</w:t>
      </w:r>
      <w:r w:rsidR="000B7428">
        <w:rPr>
          <w:rFonts w:ascii="Arial" w:eastAsia="Times New Roman" w:hAnsi="Arial" w:cs="Arial"/>
          <w:bdr w:val="none" w:sz="0" w:space="0" w:color="auto" w:frame="1"/>
          <w:lang w:val="es-CO"/>
        </w:rPr>
        <w:t xml:space="preserve">, en la cual se certifica que </w:t>
      </w:r>
      <w:r w:rsidR="000B7428" w:rsidRPr="00E94FCC">
        <w:rPr>
          <w:rFonts w:ascii="Arial" w:eastAsia="Times New Roman" w:hAnsi="Arial" w:cs="Arial"/>
          <w:bdr w:val="none" w:sz="0" w:space="0" w:color="auto" w:frame="1"/>
          <w:lang w:val="es-CO"/>
        </w:rPr>
        <w:t>el señor Jimmy Andrés Gómez devengaba para la fecha del accidente un salario que a</w:t>
      </w:r>
      <w:r w:rsidR="000B7428">
        <w:rPr>
          <w:rFonts w:ascii="Arial" w:eastAsia="Times New Roman" w:hAnsi="Arial" w:cs="Arial"/>
          <w:bdr w:val="none" w:sz="0" w:space="0" w:color="auto" w:frame="1"/>
          <w:lang w:val="es-CO"/>
        </w:rPr>
        <w:t>scendía a la suma de $1.423.565; (ii) el</w:t>
      </w:r>
      <w:r w:rsidR="000B7428" w:rsidRPr="00E94FCC">
        <w:rPr>
          <w:rFonts w:ascii="Arial" w:eastAsia="Times New Roman" w:hAnsi="Arial" w:cs="Arial"/>
          <w:bdr w:val="none" w:sz="0" w:space="0" w:color="auto" w:frame="1"/>
          <w:lang w:val="es-CO"/>
        </w:rPr>
        <w:t xml:space="preserve"> </w:t>
      </w:r>
      <w:r w:rsidR="000B7428">
        <w:rPr>
          <w:rFonts w:ascii="Arial" w:eastAsia="Times New Roman" w:hAnsi="Arial" w:cs="Arial"/>
          <w:bdr w:val="none" w:sz="0" w:space="0" w:color="auto" w:frame="1"/>
          <w:lang w:val="es-CO"/>
        </w:rPr>
        <w:t>dictamen de pérdida de capacidad laboral emitido por la Junta Regional de Calificación de Invalidez del Valle del Cauca, el cual dictaminó un 42.20% de PCL, con origen; accidente, y con fecha de estructuración del 08 de junio del 2023 (</w:t>
      </w:r>
      <w:r w:rsidR="000B7428" w:rsidRPr="000B7428">
        <w:rPr>
          <w:rFonts w:ascii="Arial" w:eastAsia="Times New Roman" w:hAnsi="Arial" w:cs="Arial"/>
          <w:bdr w:val="none" w:sz="0" w:space="0" w:color="auto" w:frame="1"/>
          <w:lang w:val="es-CO"/>
        </w:rPr>
        <w:t>estructura calificación con la fecha de valoración de Medicina</w:t>
      </w:r>
      <w:r w:rsidR="000B7428">
        <w:rPr>
          <w:rFonts w:ascii="Arial" w:eastAsia="Times New Roman" w:hAnsi="Arial" w:cs="Arial"/>
          <w:bdr w:val="none" w:sz="0" w:space="0" w:color="auto" w:frame="1"/>
          <w:lang w:val="es-CO"/>
        </w:rPr>
        <w:t xml:space="preserve"> </w:t>
      </w:r>
      <w:r w:rsidR="000B7428" w:rsidRPr="000B7428">
        <w:rPr>
          <w:rFonts w:ascii="Arial" w:eastAsia="Times New Roman" w:hAnsi="Arial" w:cs="Arial"/>
          <w:bdr w:val="none" w:sz="0" w:space="0" w:color="auto" w:frame="1"/>
          <w:lang w:val="es-CO"/>
        </w:rPr>
        <w:t>del Trabajo. Otorgado por SEGUROS ALFA</w:t>
      </w:r>
      <w:r w:rsidR="000B7428">
        <w:rPr>
          <w:rFonts w:ascii="Arial" w:eastAsia="Times New Roman" w:hAnsi="Arial" w:cs="Arial"/>
          <w:bdr w:val="none" w:sz="0" w:space="0" w:color="auto" w:frame="1"/>
          <w:lang w:val="es-CO"/>
        </w:rPr>
        <w:t>); y (iii) el informe ejecutivo FPJ-3 correspondiente al reporte de iniciación de la conducta penal derivada de la ocurrencia del accidente: lesiones personales culposas.</w:t>
      </w:r>
    </w:p>
    <w:p w14:paraId="1D175C6F" w14:textId="77777777" w:rsidR="00CF553F" w:rsidRPr="00200E72" w:rsidRDefault="00CF553F">
      <w:pPr>
        <w:shd w:val="clear" w:color="auto" w:fill="FFFFFF"/>
        <w:spacing w:after="0" w:line="360" w:lineRule="auto"/>
        <w:jc w:val="both"/>
        <w:rPr>
          <w:rFonts w:ascii="Arial" w:eastAsia="Times New Roman" w:hAnsi="Arial" w:cs="Arial"/>
          <w:bdr w:val="none" w:sz="0" w:space="0" w:color="auto" w:frame="1"/>
          <w:lang w:val="es-CO"/>
        </w:rPr>
      </w:pPr>
    </w:p>
    <w:p w14:paraId="4153FAD7" w14:textId="37638599" w:rsidR="00D044B7" w:rsidRPr="00200E72" w:rsidRDefault="00D60E83">
      <w:pPr>
        <w:shd w:val="clear" w:color="auto" w:fill="FFFFFF"/>
        <w:spacing w:after="0" w:line="360" w:lineRule="auto"/>
        <w:jc w:val="both"/>
        <w:rPr>
          <w:rFonts w:ascii="Arial" w:eastAsia="Times New Roman" w:hAnsi="Arial" w:cs="Arial"/>
          <w:lang w:val="es-CO"/>
        </w:rPr>
      </w:pPr>
      <w:r>
        <w:rPr>
          <w:rFonts w:ascii="Arial" w:eastAsia="Times New Roman" w:hAnsi="Arial" w:cs="Arial"/>
          <w:bdr w:val="none" w:sz="0" w:space="0" w:color="auto" w:frame="1"/>
          <w:lang w:val="es-CO"/>
        </w:rPr>
        <w:t xml:space="preserve">De acuerdo con los anteriores documentos, fue necesario actualizar la liquidación </w:t>
      </w:r>
      <w:r w:rsidR="00D044B7" w:rsidRPr="00200E72">
        <w:rPr>
          <w:rFonts w:ascii="Arial" w:eastAsia="Times New Roman" w:hAnsi="Arial" w:cs="Arial"/>
          <w:bdr w:val="none" w:sz="0" w:space="0" w:color="auto" w:frame="1"/>
          <w:lang w:val="es-CO"/>
        </w:rPr>
        <w:t>objetiva de perjuicios</w:t>
      </w:r>
      <w:r>
        <w:rPr>
          <w:rFonts w:ascii="Arial" w:eastAsia="Times New Roman" w:hAnsi="Arial" w:cs="Arial"/>
          <w:bdr w:val="none" w:sz="0" w:space="0" w:color="auto" w:frame="1"/>
          <w:lang w:val="es-CO"/>
        </w:rPr>
        <w:t xml:space="preserve">, la cual ahora asciende a </w:t>
      </w:r>
      <w:r w:rsidR="002838A5" w:rsidRPr="004B6164">
        <w:rPr>
          <w:rFonts w:ascii="Arial" w:eastAsia="Times New Roman" w:hAnsi="Arial" w:cs="Arial"/>
          <w:b/>
          <w:bCs/>
          <w:u w:val="single"/>
          <w:bdr w:val="none" w:sz="0" w:space="0" w:color="auto" w:frame="1"/>
          <w:lang w:val="es-CO"/>
        </w:rPr>
        <w:t>$</w:t>
      </w:r>
      <w:r w:rsidR="00655290" w:rsidRPr="004B6164">
        <w:rPr>
          <w:rFonts w:ascii="Arial" w:eastAsia="Times New Roman" w:hAnsi="Arial" w:cs="Arial"/>
          <w:b/>
          <w:bCs/>
          <w:u w:val="single"/>
          <w:bdr w:val="none" w:sz="0" w:space="0" w:color="auto" w:frame="1"/>
          <w:lang w:val="es-CO"/>
        </w:rPr>
        <w:t>3</w:t>
      </w:r>
      <w:r w:rsidR="00697419" w:rsidRPr="004B6164">
        <w:rPr>
          <w:rFonts w:ascii="Arial" w:eastAsia="Times New Roman" w:hAnsi="Arial" w:cs="Arial"/>
          <w:b/>
          <w:bCs/>
          <w:u w:val="single"/>
          <w:bdr w:val="none" w:sz="0" w:space="0" w:color="auto" w:frame="1"/>
          <w:lang w:val="es-CO"/>
        </w:rPr>
        <w:t>8</w:t>
      </w:r>
      <w:r w:rsidR="00655290" w:rsidRPr="004B6164">
        <w:rPr>
          <w:rFonts w:ascii="Arial" w:eastAsia="Times New Roman" w:hAnsi="Arial" w:cs="Arial"/>
          <w:b/>
          <w:bCs/>
          <w:u w:val="single"/>
          <w:bdr w:val="none" w:sz="0" w:space="0" w:color="auto" w:frame="1"/>
          <w:lang w:val="es-CO"/>
        </w:rPr>
        <w:t>5</w:t>
      </w:r>
      <w:r w:rsidR="00673D81" w:rsidRPr="004B6164">
        <w:rPr>
          <w:rFonts w:ascii="Arial" w:eastAsia="Times New Roman" w:hAnsi="Arial" w:cs="Arial"/>
          <w:b/>
          <w:bCs/>
          <w:u w:val="single"/>
          <w:bdr w:val="none" w:sz="0" w:space="0" w:color="auto" w:frame="1"/>
          <w:lang w:val="es-CO"/>
        </w:rPr>
        <w:t>.442.000.</w:t>
      </w:r>
      <w:r w:rsidR="00673D81" w:rsidRPr="00200E72">
        <w:rPr>
          <w:rFonts w:ascii="Arial" w:eastAsia="Times New Roman" w:hAnsi="Arial" w:cs="Arial"/>
          <w:bdr w:val="none" w:sz="0" w:space="0" w:color="auto" w:frame="1"/>
          <w:lang w:val="es-CO"/>
        </w:rPr>
        <w:t xml:space="preserve"> </w:t>
      </w:r>
      <w:r w:rsidR="00D044B7" w:rsidRPr="00200E72">
        <w:rPr>
          <w:rFonts w:ascii="Arial" w:eastAsia="Times New Roman" w:hAnsi="Arial" w:cs="Arial"/>
          <w:bdr w:val="none" w:sz="0" w:space="0" w:color="auto" w:frame="1"/>
          <w:lang w:val="es-CO"/>
        </w:rPr>
        <w:t>A este valor se llegó de la siguiente manera:  </w:t>
      </w:r>
    </w:p>
    <w:p w14:paraId="4DCAD841" w14:textId="77777777" w:rsidR="00D044B7" w:rsidRPr="00200E72" w:rsidRDefault="00D044B7">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79D720C2" w14:textId="0F47A6AE" w:rsidR="00D044B7" w:rsidRPr="00200E72" w:rsidRDefault="00D044B7">
      <w:pPr>
        <w:pStyle w:val="Prrafodelista"/>
        <w:numPr>
          <w:ilvl w:val="0"/>
          <w:numId w:val="3"/>
        </w:num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
          <w:bCs/>
          <w:bdr w:val="none" w:sz="0" w:space="0" w:color="auto" w:frame="1"/>
          <w:lang w:val="es-CO"/>
        </w:rPr>
        <w:t>Lucro cesante:</w:t>
      </w:r>
      <w:r w:rsidRPr="00200E72">
        <w:rPr>
          <w:rFonts w:ascii="Arial" w:eastAsia="Times New Roman" w:hAnsi="Arial" w:cs="Arial"/>
          <w:bdr w:val="none" w:sz="0" w:space="0" w:color="auto" w:frame="1"/>
          <w:lang w:val="es-CO"/>
        </w:rPr>
        <w:t>  </w:t>
      </w:r>
    </w:p>
    <w:p w14:paraId="4D10A8F0" w14:textId="77777777" w:rsidR="00EA7858" w:rsidRPr="00200E72" w:rsidRDefault="00EA7858">
      <w:pPr>
        <w:shd w:val="clear" w:color="auto" w:fill="FFFFFF"/>
        <w:spacing w:after="0" w:line="360" w:lineRule="auto"/>
        <w:ind w:left="360"/>
        <w:jc w:val="both"/>
        <w:rPr>
          <w:rFonts w:ascii="Arial" w:eastAsia="Times New Roman" w:hAnsi="Arial" w:cs="Arial"/>
          <w:lang w:val="es-CO"/>
        </w:rPr>
      </w:pPr>
    </w:p>
    <w:p w14:paraId="779C716C" w14:textId="4EDC4FA2" w:rsidR="000A3100" w:rsidRPr="00200E72" w:rsidRDefault="00A269A6">
      <w:pPr>
        <w:shd w:val="clear" w:color="auto" w:fill="FFFFFF"/>
        <w:spacing w:after="0" w:line="360" w:lineRule="auto"/>
        <w:jc w:val="both"/>
        <w:rPr>
          <w:rFonts w:ascii="Arial" w:eastAsia="Times New Roman" w:hAnsi="Arial" w:cs="Arial"/>
          <w:lang w:val="es-CO"/>
        </w:rPr>
      </w:pPr>
      <w:r>
        <w:rPr>
          <w:rFonts w:ascii="Arial" w:eastAsia="Times New Roman" w:hAnsi="Arial" w:cs="Arial"/>
          <w:bdr w:val="none" w:sz="0" w:space="0" w:color="auto" w:frame="1"/>
          <w:lang w:val="es-CO"/>
        </w:rPr>
        <w:t>De acuerdo con el</w:t>
      </w:r>
      <w:r w:rsidR="000A3100" w:rsidRPr="00200E72">
        <w:rPr>
          <w:rFonts w:ascii="Arial" w:eastAsia="Times New Roman" w:hAnsi="Arial" w:cs="Arial"/>
          <w:bdr w:val="none" w:sz="0" w:space="0" w:color="auto" w:frame="1"/>
          <w:lang w:val="es-CO"/>
        </w:rPr>
        <w:t xml:space="preserve"> dictamen de pérdida de capacidad laboral expedido por la Junta Regional de Invalidez del Valle del Cauca, se determinó que la </w:t>
      </w:r>
      <w:r w:rsidR="00132A85" w:rsidRPr="00200E72">
        <w:rPr>
          <w:rFonts w:ascii="Arial" w:eastAsia="Times New Roman" w:hAnsi="Arial" w:cs="Arial"/>
          <w:bdr w:val="none" w:sz="0" w:space="0" w:color="auto" w:frame="1"/>
          <w:lang w:val="es-CO"/>
        </w:rPr>
        <w:t>pérdida</w:t>
      </w:r>
      <w:r w:rsidR="000A3100" w:rsidRPr="00200E72">
        <w:rPr>
          <w:rFonts w:ascii="Arial" w:eastAsia="Times New Roman" w:hAnsi="Arial" w:cs="Arial"/>
          <w:bdr w:val="none" w:sz="0" w:space="0" w:color="auto" w:frame="1"/>
          <w:lang w:val="es-CO"/>
        </w:rPr>
        <w:t xml:space="preserve"> de capacidad laboral sufrida por el señor Jimmy Andrés Gómez</w:t>
      </w:r>
      <w:r w:rsidR="000A3100" w:rsidRPr="00200E72" w:rsidDel="007849F5">
        <w:rPr>
          <w:rFonts w:ascii="Arial" w:eastAsia="Times New Roman" w:hAnsi="Arial" w:cs="Arial"/>
          <w:bdr w:val="none" w:sz="0" w:space="0" w:color="auto" w:frame="1"/>
          <w:lang w:val="es-CO"/>
        </w:rPr>
        <w:t xml:space="preserve"> </w:t>
      </w:r>
      <w:r w:rsidR="000A3100" w:rsidRPr="00200E72">
        <w:rPr>
          <w:rFonts w:ascii="Arial" w:eastAsia="Times New Roman" w:hAnsi="Arial" w:cs="Arial"/>
          <w:bdr w:val="none" w:sz="0" w:space="0" w:color="auto" w:frame="1"/>
          <w:lang w:val="es-CO"/>
        </w:rPr>
        <w:t>correspondía al 42.20%</w:t>
      </w:r>
      <w:r>
        <w:rPr>
          <w:rFonts w:ascii="Arial" w:eastAsia="Times New Roman" w:hAnsi="Arial" w:cs="Arial"/>
          <w:bdr w:val="none" w:sz="0" w:space="0" w:color="auto" w:frame="1"/>
          <w:lang w:val="es-CO"/>
        </w:rPr>
        <w:t>, y medicina legal estableció como secuelas</w:t>
      </w:r>
      <w:r w:rsidRPr="00A269A6">
        <w:rPr>
          <w:rFonts w:ascii="Arial" w:eastAsia="Times New Roman" w:hAnsi="Arial" w:cs="Arial"/>
          <w:bdr w:val="none" w:sz="0" w:space="0" w:color="auto" w:frame="1"/>
          <w:lang w:val="es-CO"/>
        </w:rPr>
        <w:t xml:space="preserve"> </w:t>
      </w:r>
      <w:r w:rsidRPr="00200E72">
        <w:rPr>
          <w:rFonts w:ascii="Arial" w:eastAsia="Times New Roman" w:hAnsi="Arial" w:cs="Arial"/>
          <w:bdr w:val="none" w:sz="0" w:space="0" w:color="auto" w:frame="1"/>
          <w:lang w:val="es-CO"/>
        </w:rPr>
        <w:t>deformidad física de carácter permanente, pérdida funcional de miembro inferior derecho por amputación a nivel de tobillo de carácter permanente y perturbación funcional de órgano de sistema de locomoción por amputación a nivel de tobillo derecho de carácter permanente.</w:t>
      </w:r>
    </w:p>
    <w:p w14:paraId="25695CEB" w14:textId="77777777" w:rsidR="00396937" w:rsidRPr="00200E72" w:rsidRDefault="00396937">
      <w:pPr>
        <w:shd w:val="clear" w:color="auto" w:fill="FFFFFF"/>
        <w:spacing w:after="0" w:line="360" w:lineRule="auto"/>
        <w:jc w:val="both"/>
        <w:rPr>
          <w:rFonts w:ascii="Arial" w:eastAsia="Times New Roman" w:hAnsi="Arial" w:cs="Arial"/>
          <w:bdr w:val="none" w:sz="0" w:space="0" w:color="auto" w:frame="1"/>
          <w:lang w:val="es-CO"/>
        </w:rPr>
      </w:pPr>
    </w:p>
    <w:p w14:paraId="347CC727" w14:textId="0D5D4317" w:rsidR="002838A5" w:rsidRPr="00200E72" w:rsidRDefault="00B714E2">
      <w:pPr>
        <w:shd w:val="clear" w:color="auto" w:fill="FFFFFF"/>
        <w:spacing w:after="0" w:line="360" w:lineRule="auto"/>
        <w:jc w:val="both"/>
        <w:rPr>
          <w:rFonts w:ascii="Arial" w:hAnsi="Arial" w:cs="Arial"/>
          <w:lang w:val="es-CO"/>
        </w:rPr>
      </w:pPr>
      <w:r>
        <w:rPr>
          <w:rFonts w:ascii="Arial" w:hAnsi="Arial" w:cs="Arial"/>
          <w:lang w:val="es-CO"/>
        </w:rPr>
        <w:t>Así las cosas, p</w:t>
      </w:r>
      <w:r w:rsidR="0077705D" w:rsidRPr="00200E72">
        <w:rPr>
          <w:rFonts w:ascii="Arial" w:hAnsi="Arial" w:cs="Arial"/>
          <w:lang w:val="es-CO"/>
        </w:rPr>
        <w:t>ara tasar el lucro cesante consolidado, se tendrá en cuenta</w:t>
      </w:r>
      <w:r w:rsidR="00717B5E" w:rsidRPr="00200E72">
        <w:rPr>
          <w:rFonts w:ascii="Arial" w:hAnsi="Arial" w:cs="Arial"/>
          <w:lang w:val="es-CO"/>
        </w:rPr>
        <w:t xml:space="preserve">: (i) </w:t>
      </w:r>
      <w:r w:rsidR="0077705D" w:rsidRPr="00200E72">
        <w:rPr>
          <w:rFonts w:ascii="Arial" w:hAnsi="Arial" w:cs="Arial"/>
          <w:lang w:val="es-CO"/>
        </w:rPr>
        <w:t>el salario acreditado por el demandante de $1.</w:t>
      </w:r>
      <w:r w:rsidR="00BD566A" w:rsidRPr="00200E72">
        <w:rPr>
          <w:rFonts w:ascii="Arial" w:hAnsi="Arial" w:cs="Arial"/>
          <w:lang w:val="es-CO"/>
        </w:rPr>
        <w:t>423.565</w:t>
      </w:r>
      <w:r w:rsidR="008D0FA7" w:rsidRPr="00200E72">
        <w:rPr>
          <w:rFonts w:ascii="Arial" w:hAnsi="Arial" w:cs="Arial"/>
          <w:lang w:val="es-CO"/>
        </w:rPr>
        <w:t xml:space="preserve"> más 25% de prestaciones sociales</w:t>
      </w:r>
      <w:r w:rsidR="00980292">
        <w:rPr>
          <w:rFonts w:ascii="Arial" w:hAnsi="Arial" w:cs="Arial"/>
          <w:lang w:val="es-CO"/>
        </w:rPr>
        <w:t xml:space="preserve"> ($355.891), </w:t>
      </w:r>
      <w:r w:rsidR="008D0FA7" w:rsidRPr="00200E72">
        <w:rPr>
          <w:rFonts w:ascii="Arial" w:hAnsi="Arial" w:cs="Arial"/>
          <w:lang w:val="es-CO"/>
        </w:rPr>
        <w:t xml:space="preserve">toda vez que, </w:t>
      </w:r>
      <w:r w:rsidR="008D0FA7" w:rsidRPr="00200E72">
        <w:rPr>
          <w:rFonts w:ascii="Arial" w:eastAsia="Times New Roman" w:hAnsi="Arial" w:cs="Arial"/>
          <w:bdr w:val="none" w:sz="0" w:space="0" w:color="auto" w:frame="1"/>
          <w:lang w:val="es-CO"/>
        </w:rPr>
        <w:t>según consulta realizada en ADRES, el demandante figuraba como cotizante para la fecha de los hechos</w:t>
      </w:r>
      <w:r w:rsidR="00980292">
        <w:rPr>
          <w:rFonts w:ascii="Arial" w:eastAsia="Times New Roman" w:hAnsi="Arial" w:cs="Arial"/>
          <w:bdr w:val="none" w:sz="0" w:space="0" w:color="auto" w:frame="1"/>
          <w:lang w:val="es-CO"/>
        </w:rPr>
        <w:t>. Así las cosas, para efectos de la liquidación se estima que el demandante devengaba la suma $1.779.456, so</w:t>
      </w:r>
      <w:r w:rsidR="00EF6574">
        <w:rPr>
          <w:rFonts w:ascii="Arial" w:eastAsia="Times New Roman" w:hAnsi="Arial" w:cs="Arial"/>
          <w:bdr w:val="none" w:sz="0" w:space="0" w:color="auto" w:frame="1"/>
          <w:lang w:val="es-CO"/>
        </w:rPr>
        <w:t>b</w:t>
      </w:r>
      <w:r w:rsidR="00980292">
        <w:rPr>
          <w:rFonts w:ascii="Arial" w:eastAsia="Times New Roman" w:hAnsi="Arial" w:cs="Arial"/>
          <w:bdr w:val="none" w:sz="0" w:space="0" w:color="auto" w:frame="1"/>
          <w:lang w:val="es-CO"/>
        </w:rPr>
        <w:t xml:space="preserve">re la cual se </w:t>
      </w:r>
      <w:r w:rsidR="004B6164">
        <w:rPr>
          <w:rFonts w:ascii="Arial" w:eastAsia="Times New Roman" w:hAnsi="Arial" w:cs="Arial"/>
          <w:bdr w:val="none" w:sz="0" w:space="0" w:color="auto" w:frame="1"/>
          <w:lang w:val="es-CO"/>
        </w:rPr>
        <w:t xml:space="preserve">debe </w:t>
      </w:r>
      <w:r w:rsidR="00980292">
        <w:rPr>
          <w:rFonts w:ascii="Arial" w:eastAsia="Times New Roman" w:hAnsi="Arial" w:cs="Arial"/>
          <w:bdr w:val="none" w:sz="0" w:space="0" w:color="auto" w:frame="1"/>
          <w:lang w:val="es-CO"/>
        </w:rPr>
        <w:t>aplica</w:t>
      </w:r>
      <w:r w:rsidR="004B6164">
        <w:rPr>
          <w:rFonts w:ascii="Arial" w:eastAsia="Times New Roman" w:hAnsi="Arial" w:cs="Arial"/>
          <w:bdr w:val="none" w:sz="0" w:space="0" w:color="auto" w:frame="1"/>
          <w:lang w:val="es-CO"/>
        </w:rPr>
        <w:t>r</w:t>
      </w:r>
      <w:r w:rsidR="00980292">
        <w:rPr>
          <w:rFonts w:ascii="Arial" w:eastAsia="Times New Roman" w:hAnsi="Arial" w:cs="Arial"/>
          <w:bdr w:val="none" w:sz="0" w:space="0" w:color="auto" w:frame="1"/>
          <w:lang w:val="es-CO"/>
        </w:rPr>
        <w:t xml:space="preserve"> el porcentaje de pérdida de capacidad laboral (42.20%), determinando que </w:t>
      </w:r>
      <w:r w:rsidR="008D0FA7" w:rsidRPr="00200E72">
        <w:rPr>
          <w:rFonts w:ascii="Arial" w:eastAsia="Times New Roman" w:hAnsi="Arial" w:cs="Arial"/>
          <w:bdr w:val="none" w:sz="0" w:space="0" w:color="auto" w:frame="1"/>
          <w:lang w:val="es-CO"/>
        </w:rPr>
        <w:t>el valor de la Renta</w:t>
      </w:r>
      <w:r w:rsidR="008D0FA7" w:rsidRPr="00200E72">
        <w:rPr>
          <w:rFonts w:ascii="Arial" w:hAnsi="Arial" w:cs="Arial"/>
          <w:lang w:val="es-CO"/>
        </w:rPr>
        <w:t xml:space="preserve"> corresponde a $</w:t>
      </w:r>
      <w:r w:rsidR="004913D8" w:rsidRPr="00200E72">
        <w:rPr>
          <w:rFonts w:ascii="Arial" w:hAnsi="Arial" w:cs="Arial"/>
          <w:lang w:val="es-CO"/>
        </w:rPr>
        <w:t>750.930</w:t>
      </w:r>
      <w:r w:rsidR="007849F5" w:rsidRPr="00200E72">
        <w:rPr>
          <w:rFonts w:ascii="Arial" w:hAnsi="Arial" w:cs="Arial"/>
          <w:lang w:val="es-CO"/>
        </w:rPr>
        <w:t>,</w:t>
      </w:r>
      <w:r w:rsidR="004913D8" w:rsidRPr="00200E72">
        <w:rPr>
          <w:rFonts w:ascii="Arial" w:hAnsi="Arial" w:cs="Arial"/>
          <w:lang w:val="es-CO"/>
        </w:rPr>
        <w:t>43</w:t>
      </w:r>
      <w:r w:rsidR="008D0FA7" w:rsidRPr="00200E72">
        <w:rPr>
          <w:rFonts w:ascii="Arial" w:hAnsi="Arial" w:cs="Arial"/>
          <w:lang w:val="es-CO"/>
        </w:rPr>
        <w:t xml:space="preserve">. </w:t>
      </w:r>
      <w:r w:rsidR="00717B5E" w:rsidRPr="00200E72">
        <w:rPr>
          <w:rFonts w:ascii="Arial" w:hAnsi="Arial" w:cs="Arial"/>
          <w:lang w:val="es-CO"/>
        </w:rPr>
        <w:t>(ii) C</w:t>
      </w:r>
      <w:r w:rsidR="0077705D" w:rsidRPr="00200E72">
        <w:rPr>
          <w:rFonts w:ascii="Arial" w:hAnsi="Arial" w:cs="Arial"/>
          <w:lang w:val="es-CO"/>
        </w:rPr>
        <w:t xml:space="preserve">omo el valor aludido corresponde al porcentaje del salario presuntamente devengado en diciembre del 2021, dicho valor debe ser actualizado teniendo en cuenta el IPC, </w:t>
      </w:r>
      <w:r w:rsidR="0060235B" w:rsidRPr="00200E72">
        <w:rPr>
          <w:rFonts w:ascii="Arial" w:hAnsi="Arial" w:cs="Arial"/>
          <w:lang w:val="es-CO"/>
        </w:rPr>
        <w:t>dando un resultado de: $</w:t>
      </w:r>
      <w:r w:rsidR="004913D8" w:rsidRPr="00200E72">
        <w:rPr>
          <w:rFonts w:ascii="Arial" w:hAnsi="Arial" w:cs="Arial"/>
          <w:lang w:val="es-CO"/>
        </w:rPr>
        <w:t>959</w:t>
      </w:r>
      <w:r w:rsidR="007849F5" w:rsidRPr="00200E72">
        <w:rPr>
          <w:rFonts w:ascii="Arial" w:hAnsi="Arial" w:cs="Arial"/>
          <w:lang w:val="es-CO"/>
        </w:rPr>
        <w:t>.</w:t>
      </w:r>
      <w:r w:rsidR="004913D8" w:rsidRPr="00200E72">
        <w:rPr>
          <w:rFonts w:ascii="Arial" w:hAnsi="Arial" w:cs="Arial"/>
          <w:lang w:val="es-CO"/>
        </w:rPr>
        <w:t>270.78</w:t>
      </w:r>
      <w:r w:rsidR="00717B5E" w:rsidRPr="00200E72">
        <w:rPr>
          <w:rFonts w:ascii="Arial" w:hAnsi="Arial" w:cs="Arial"/>
          <w:lang w:val="es-CO"/>
        </w:rPr>
        <w:t xml:space="preserve"> (iii) Q</w:t>
      </w:r>
      <w:r w:rsidR="002838A5" w:rsidRPr="00200E72">
        <w:rPr>
          <w:rFonts w:ascii="Arial" w:hAnsi="Arial" w:cs="Arial"/>
          <w:lang w:val="es-CO"/>
        </w:rPr>
        <w:t xml:space="preserve">ue el demandante tenía 30 años para la fecha del evento dañoso. </w:t>
      </w:r>
    </w:p>
    <w:p w14:paraId="31F0EB66" w14:textId="77777777" w:rsidR="0077705D" w:rsidRPr="00200E72" w:rsidRDefault="0077705D">
      <w:pPr>
        <w:shd w:val="clear" w:color="auto" w:fill="FFFFFF"/>
        <w:spacing w:after="0" w:line="360" w:lineRule="auto"/>
        <w:jc w:val="both"/>
        <w:rPr>
          <w:rFonts w:ascii="Arial" w:hAnsi="Arial" w:cs="Arial"/>
          <w:lang w:val="es-CO"/>
        </w:rPr>
      </w:pPr>
    </w:p>
    <w:p w14:paraId="028385CB" w14:textId="38085447" w:rsidR="0077705D" w:rsidRPr="00200E72" w:rsidRDefault="0060235B">
      <w:pPr>
        <w:shd w:val="clear" w:color="auto" w:fill="FFFFFF"/>
        <w:spacing w:after="0" w:line="360" w:lineRule="auto"/>
        <w:jc w:val="both"/>
        <w:rPr>
          <w:rFonts w:ascii="Arial" w:hAnsi="Arial" w:cs="Arial"/>
          <w:lang w:val="es-CO"/>
        </w:rPr>
      </w:pPr>
      <w:r w:rsidRPr="00200E72">
        <w:rPr>
          <w:rFonts w:ascii="Arial" w:hAnsi="Arial" w:cs="Arial"/>
          <w:lang w:val="es-CO"/>
        </w:rPr>
        <w:t>R: $</w:t>
      </w:r>
      <w:r w:rsidR="004913D8" w:rsidRPr="00200E72">
        <w:rPr>
          <w:rFonts w:ascii="Arial" w:hAnsi="Arial" w:cs="Arial"/>
          <w:lang w:val="es-CO"/>
        </w:rPr>
        <w:t>959</w:t>
      </w:r>
      <w:r w:rsidR="008A51D7" w:rsidRPr="00200E72">
        <w:rPr>
          <w:rFonts w:ascii="Arial" w:hAnsi="Arial" w:cs="Arial"/>
          <w:lang w:val="es-CO"/>
        </w:rPr>
        <w:t>.</w:t>
      </w:r>
      <w:r w:rsidR="004913D8" w:rsidRPr="00200E72">
        <w:rPr>
          <w:rFonts w:ascii="Arial" w:hAnsi="Arial" w:cs="Arial"/>
          <w:lang w:val="es-CO"/>
        </w:rPr>
        <w:t>270.78</w:t>
      </w:r>
    </w:p>
    <w:p w14:paraId="0AB07924" w14:textId="77777777" w:rsidR="0060235B" w:rsidRPr="00200E72" w:rsidRDefault="0060235B">
      <w:pPr>
        <w:shd w:val="clear" w:color="auto" w:fill="FFFFFF"/>
        <w:spacing w:after="0" w:line="360" w:lineRule="auto"/>
        <w:jc w:val="both"/>
        <w:rPr>
          <w:rFonts w:ascii="Arial" w:hAnsi="Arial" w:cs="Arial"/>
          <w:lang w:val="es-CO"/>
        </w:rPr>
      </w:pPr>
      <w:r w:rsidRPr="00200E72">
        <w:rPr>
          <w:rFonts w:ascii="Arial" w:hAnsi="Arial" w:cs="Arial"/>
          <w:lang w:val="es-CO"/>
        </w:rPr>
        <w:t xml:space="preserve">Expectativa de vida del demandante: de acuerdo a la Resolución </w:t>
      </w:r>
      <w:r w:rsidR="00373BAD" w:rsidRPr="00200E72">
        <w:rPr>
          <w:rFonts w:ascii="Arial" w:hAnsi="Arial" w:cs="Arial"/>
          <w:lang w:val="es-CO"/>
        </w:rPr>
        <w:t xml:space="preserve">1555 de 2010 corresponde a 50,3 años o 603,6 </w:t>
      </w:r>
      <w:r w:rsidRPr="00200E72">
        <w:rPr>
          <w:rFonts w:ascii="Arial" w:hAnsi="Arial" w:cs="Arial"/>
          <w:lang w:val="es-CO"/>
        </w:rPr>
        <w:t xml:space="preserve">meses. </w:t>
      </w:r>
    </w:p>
    <w:p w14:paraId="4B7EAF53" w14:textId="58A7F9E8" w:rsidR="00620E6B" w:rsidRPr="00200E72" w:rsidRDefault="00373BAD">
      <w:pPr>
        <w:shd w:val="clear" w:color="auto" w:fill="FFFFFF"/>
        <w:spacing w:after="0" w:line="360" w:lineRule="auto"/>
        <w:jc w:val="both"/>
        <w:rPr>
          <w:rFonts w:ascii="Arial" w:eastAsia="Times New Roman" w:hAnsi="Arial" w:cs="Arial"/>
          <w:b/>
          <w:bCs/>
          <w:bdr w:val="none" w:sz="0" w:space="0" w:color="auto" w:frame="1"/>
          <w:lang w:val="es-CO"/>
        </w:rPr>
      </w:pPr>
      <w:r w:rsidRPr="00200E72">
        <w:rPr>
          <w:rFonts w:ascii="Arial" w:hAnsi="Arial" w:cs="Arial"/>
          <w:lang w:val="es-CO"/>
        </w:rPr>
        <w:t xml:space="preserve">Fecha liquidación: </w:t>
      </w:r>
      <w:r w:rsidR="00A85A81" w:rsidRPr="00200E72">
        <w:rPr>
          <w:rFonts w:ascii="Arial" w:hAnsi="Arial" w:cs="Arial"/>
          <w:lang w:val="es-CO"/>
        </w:rPr>
        <w:t>5</w:t>
      </w:r>
      <w:r w:rsidRPr="00200E72">
        <w:rPr>
          <w:rFonts w:ascii="Arial" w:hAnsi="Arial" w:cs="Arial"/>
          <w:lang w:val="es-CO"/>
        </w:rPr>
        <w:t>0/</w:t>
      </w:r>
      <w:r w:rsidR="008A51D7" w:rsidRPr="00200E72">
        <w:rPr>
          <w:rFonts w:ascii="Arial" w:hAnsi="Arial" w:cs="Arial"/>
          <w:lang w:val="es-CO"/>
        </w:rPr>
        <w:t>0</w:t>
      </w:r>
      <w:r w:rsidR="00A85A81" w:rsidRPr="00200E72">
        <w:rPr>
          <w:rFonts w:ascii="Arial" w:hAnsi="Arial" w:cs="Arial"/>
          <w:lang w:val="es-CO"/>
        </w:rPr>
        <w:t>6</w:t>
      </w:r>
      <w:r w:rsidRPr="00200E72">
        <w:rPr>
          <w:rFonts w:ascii="Arial" w:hAnsi="Arial" w:cs="Arial"/>
          <w:lang w:val="es-CO"/>
        </w:rPr>
        <w:t>/202</w:t>
      </w:r>
      <w:r w:rsidR="008A51D7" w:rsidRPr="00200E72">
        <w:rPr>
          <w:rFonts w:ascii="Arial" w:hAnsi="Arial" w:cs="Arial"/>
          <w:lang w:val="es-CO"/>
        </w:rPr>
        <w:t>4</w:t>
      </w:r>
      <w:r w:rsidR="00B714E2">
        <w:rPr>
          <w:rFonts w:ascii="Arial" w:hAnsi="Arial" w:cs="Arial"/>
          <w:lang w:val="es-CO"/>
        </w:rPr>
        <w:t xml:space="preserve"> </w:t>
      </w:r>
    </w:p>
    <w:p w14:paraId="2E7EEA32" w14:textId="55EB4E3D" w:rsidR="00620E6B" w:rsidRPr="00200E72" w:rsidRDefault="00620E6B">
      <w:pPr>
        <w:shd w:val="clear" w:color="auto" w:fill="FFFFFF"/>
        <w:spacing w:after="0" w:line="360" w:lineRule="auto"/>
        <w:jc w:val="both"/>
        <w:rPr>
          <w:rFonts w:ascii="Arial" w:eastAsia="Times New Roman" w:hAnsi="Arial" w:cs="Arial"/>
          <w:b/>
          <w:bCs/>
          <w:bdr w:val="none" w:sz="0" w:space="0" w:color="auto" w:frame="1"/>
          <w:lang w:val="es-CO"/>
        </w:rPr>
      </w:pPr>
    </w:p>
    <w:p w14:paraId="7B7E809E" w14:textId="08A96FBE" w:rsidR="00620E6B" w:rsidRPr="00200E72" w:rsidRDefault="00D044B7" w:rsidP="00980292">
      <w:pPr>
        <w:pStyle w:val="Prrafodelista"/>
        <w:numPr>
          <w:ilvl w:val="0"/>
          <w:numId w:val="4"/>
        </w:numPr>
        <w:spacing w:after="0" w:line="360" w:lineRule="auto"/>
        <w:rPr>
          <w:rFonts w:ascii="Arial" w:hAnsi="Arial" w:cs="Arial"/>
          <w:lang w:val="es-CO"/>
        </w:rPr>
      </w:pPr>
      <w:r w:rsidRPr="00200E72">
        <w:rPr>
          <w:rFonts w:ascii="Arial" w:hAnsi="Arial" w:cs="Arial"/>
          <w:b/>
          <w:bCs/>
          <w:bdr w:val="none" w:sz="0" w:space="0" w:color="auto" w:frame="1"/>
          <w:lang w:val="es-CO"/>
        </w:rPr>
        <w:t>Consolidado:</w:t>
      </w:r>
      <w:r w:rsidRPr="00200E72">
        <w:rPr>
          <w:rFonts w:ascii="Arial" w:hAnsi="Arial" w:cs="Arial"/>
          <w:bdr w:val="none" w:sz="0" w:space="0" w:color="auto" w:frame="1"/>
          <w:lang w:val="es-CO"/>
        </w:rPr>
        <w:t> </w:t>
      </w:r>
      <w:r w:rsidR="002838A5" w:rsidRPr="00200E72">
        <w:rPr>
          <w:rFonts w:ascii="Arial" w:hAnsi="Arial" w:cs="Arial"/>
          <w:bdr w:val="none" w:sz="0" w:space="0" w:color="auto" w:frame="1"/>
          <w:lang w:val="es-CO"/>
        </w:rPr>
        <w:t>$</w:t>
      </w:r>
      <w:r w:rsidR="00F10CCB" w:rsidRPr="00200E72">
        <w:rPr>
          <w:rFonts w:ascii="Arial" w:hAnsi="Arial" w:cs="Arial"/>
          <w:bdr w:val="none" w:sz="0" w:space="0" w:color="auto" w:frame="1"/>
          <w:lang w:val="es-CO"/>
        </w:rPr>
        <w:t>30</w:t>
      </w:r>
      <w:r w:rsidR="002838A5" w:rsidRPr="00200E72">
        <w:rPr>
          <w:rFonts w:ascii="Arial" w:hAnsi="Arial" w:cs="Arial"/>
          <w:bdr w:val="none" w:sz="0" w:space="0" w:color="auto" w:frame="1"/>
          <w:lang w:val="es-CO"/>
        </w:rPr>
        <w:t>.</w:t>
      </w:r>
      <w:r w:rsidR="00F10CCB" w:rsidRPr="00200E72">
        <w:rPr>
          <w:rFonts w:ascii="Arial" w:hAnsi="Arial" w:cs="Arial"/>
          <w:bdr w:val="none" w:sz="0" w:space="0" w:color="auto" w:frame="1"/>
          <w:lang w:val="es-CO"/>
        </w:rPr>
        <w:t>263</w:t>
      </w:r>
      <w:r w:rsidR="002838A5" w:rsidRPr="00200E72">
        <w:rPr>
          <w:rFonts w:ascii="Arial" w:hAnsi="Arial" w:cs="Arial"/>
          <w:bdr w:val="none" w:sz="0" w:space="0" w:color="auto" w:frame="1"/>
          <w:lang w:val="es-CO"/>
        </w:rPr>
        <w:t>.</w:t>
      </w:r>
      <w:r w:rsidR="008A51D7" w:rsidRPr="00200E72">
        <w:rPr>
          <w:rFonts w:ascii="Arial" w:hAnsi="Arial" w:cs="Arial"/>
          <w:bdr w:val="none" w:sz="0" w:space="0" w:color="auto" w:frame="1"/>
          <w:lang w:val="es-CO"/>
        </w:rPr>
        <w:t>000</w:t>
      </w:r>
      <w:r w:rsidR="002838A5" w:rsidRPr="00200E72">
        <w:rPr>
          <w:rFonts w:ascii="Arial" w:hAnsi="Arial" w:cs="Arial"/>
          <w:lang w:val="es-CO"/>
        </w:rPr>
        <w:t xml:space="preserve"> </w:t>
      </w:r>
    </w:p>
    <w:p w14:paraId="18938454" w14:textId="5205CE8C" w:rsidR="00686067" w:rsidRPr="00980292" w:rsidRDefault="00D044B7" w:rsidP="00980292">
      <w:pPr>
        <w:pStyle w:val="Prrafodelista"/>
        <w:numPr>
          <w:ilvl w:val="0"/>
          <w:numId w:val="4"/>
        </w:numPr>
        <w:spacing w:after="0" w:line="360" w:lineRule="auto"/>
        <w:rPr>
          <w:rFonts w:ascii="Arial" w:hAnsi="Arial" w:cs="Arial"/>
          <w:lang w:val="es-CO"/>
        </w:rPr>
      </w:pPr>
      <w:r w:rsidRPr="00200E72">
        <w:rPr>
          <w:rFonts w:ascii="Arial" w:hAnsi="Arial" w:cs="Arial"/>
          <w:b/>
          <w:bCs/>
          <w:bdr w:val="none" w:sz="0" w:space="0" w:color="auto" w:frame="1"/>
          <w:lang w:val="es-CO"/>
        </w:rPr>
        <w:t>Futuro</w:t>
      </w:r>
      <w:r w:rsidR="001A7F7F" w:rsidRPr="00200E72">
        <w:rPr>
          <w:rFonts w:ascii="Arial" w:hAnsi="Arial" w:cs="Arial"/>
          <w:bdr w:val="none" w:sz="0" w:space="0" w:color="auto" w:frame="1"/>
          <w:lang w:val="es-CO"/>
        </w:rPr>
        <w:t xml:space="preserve">: </w:t>
      </w:r>
      <w:r w:rsidR="002838A5" w:rsidRPr="00200E72">
        <w:rPr>
          <w:rFonts w:ascii="Arial" w:hAnsi="Arial" w:cs="Arial"/>
          <w:bdr w:val="none" w:sz="0" w:space="0" w:color="auto" w:frame="1"/>
          <w:lang w:val="es-CO"/>
        </w:rPr>
        <w:t>$</w:t>
      </w:r>
      <w:r w:rsidR="008A51D7" w:rsidRPr="00200E72">
        <w:rPr>
          <w:rFonts w:ascii="Arial" w:hAnsi="Arial" w:cs="Arial"/>
          <w:bdr w:val="none" w:sz="0" w:space="0" w:color="auto" w:frame="1"/>
          <w:lang w:val="es-CO"/>
        </w:rPr>
        <w:t>1</w:t>
      </w:r>
      <w:r w:rsidR="00673D81" w:rsidRPr="00200E72">
        <w:rPr>
          <w:rFonts w:ascii="Arial" w:hAnsi="Arial" w:cs="Arial"/>
          <w:bdr w:val="none" w:sz="0" w:space="0" w:color="auto" w:frame="1"/>
          <w:lang w:val="es-CO"/>
        </w:rPr>
        <w:t>47</w:t>
      </w:r>
      <w:r w:rsidR="008A51D7" w:rsidRPr="00200E72">
        <w:rPr>
          <w:rFonts w:ascii="Arial" w:hAnsi="Arial" w:cs="Arial"/>
          <w:bdr w:val="none" w:sz="0" w:space="0" w:color="auto" w:frame="1"/>
          <w:lang w:val="es-CO"/>
        </w:rPr>
        <w:t>.</w:t>
      </w:r>
      <w:r w:rsidR="004E28F4" w:rsidRPr="00200E72">
        <w:rPr>
          <w:rFonts w:ascii="Arial" w:hAnsi="Arial" w:cs="Arial"/>
          <w:bdr w:val="none" w:sz="0" w:space="0" w:color="auto" w:frame="1"/>
          <w:lang w:val="es-CO"/>
        </w:rPr>
        <w:t>179</w:t>
      </w:r>
      <w:r w:rsidR="008A51D7" w:rsidRPr="00200E72">
        <w:rPr>
          <w:rFonts w:ascii="Arial" w:hAnsi="Arial" w:cs="Arial"/>
          <w:bdr w:val="none" w:sz="0" w:space="0" w:color="auto" w:frame="1"/>
          <w:lang w:val="es-CO"/>
        </w:rPr>
        <w:t>.000</w:t>
      </w:r>
    </w:p>
    <w:p w14:paraId="43D1AF6B" w14:textId="77777777" w:rsidR="001069C4" w:rsidRPr="00200E72" w:rsidRDefault="001069C4" w:rsidP="00980292">
      <w:pPr>
        <w:pStyle w:val="Prrafodelista"/>
        <w:spacing w:after="0" w:line="360" w:lineRule="auto"/>
        <w:rPr>
          <w:rFonts w:ascii="Arial" w:hAnsi="Arial" w:cs="Arial"/>
          <w:lang w:val="es-CO"/>
        </w:rPr>
      </w:pPr>
    </w:p>
    <w:p w14:paraId="6E484119" w14:textId="7B12E2C7" w:rsidR="002838A5" w:rsidRPr="00200E72" w:rsidRDefault="002838A5">
      <w:pPr>
        <w:shd w:val="clear" w:color="auto" w:fill="FFFFFF"/>
        <w:spacing w:after="0" w:line="360" w:lineRule="auto"/>
        <w:jc w:val="both"/>
        <w:rPr>
          <w:rFonts w:ascii="Arial" w:eastAsia="Times New Roman" w:hAnsi="Arial" w:cs="Arial"/>
          <w:b/>
          <w:u w:val="single"/>
          <w:bdr w:val="none" w:sz="0" w:space="0" w:color="auto" w:frame="1"/>
          <w:lang w:val="es-CO"/>
        </w:rPr>
      </w:pPr>
      <w:r w:rsidRPr="00200E72">
        <w:rPr>
          <w:rFonts w:ascii="Arial" w:eastAsia="Times New Roman" w:hAnsi="Arial" w:cs="Arial"/>
          <w:b/>
          <w:u w:val="single"/>
          <w:bdr w:val="none" w:sz="0" w:space="0" w:color="auto" w:frame="1"/>
          <w:lang w:val="es-CO"/>
        </w:rPr>
        <w:t xml:space="preserve">Total, Lucro Cesante: $ </w:t>
      </w:r>
      <w:r w:rsidR="00673D81" w:rsidRPr="00200E72">
        <w:rPr>
          <w:rFonts w:ascii="Arial" w:eastAsia="Times New Roman" w:hAnsi="Arial" w:cs="Arial"/>
          <w:b/>
          <w:u w:val="single"/>
          <w:bdr w:val="none" w:sz="0" w:space="0" w:color="auto" w:frame="1"/>
          <w:lang w:val="es-CO"/>
        </w:rPr>
        <w:t>177.442.000</w:t>
      </w:r>
    </w:p>
    <w:p w14:paraId="2D75A128" w14:textId="3F191E04" w:rsidR="00620E6B" w:rsidRPr="00200E72" w:rsidRDefault="00620E6B">
      <w:pPr>
        <w:shd w:val="clear" w:color="auto" w:fill="FFFFFF"/>
        <w:spacing w:after="0" w:line="360" w:lineRule="auto"/>
        <w:jc w:val="both"/>
        <w:rPr>
          <w:rFonts w:ascii="Arial" w:eastAsia="Times New Roman" w:hAnsi="Arial" w:cs="Arial"/>
          <w:lang w:val="es-CO"/>
        </w:rPr>
      </w:pPr>
    </w:p>
    <w:p w14:paraId="64F65594" w14:textId="4221BE25" w:rsidR="00D044B7" w:rsidRPr="00200E72" w:rsidRDefault="00D044B7">
      <w:pPr>
        <w:pStyle w:val="Prrafodelista"/>
        <w:numPr>
          <w:ilvl w:val="0"/>
          <w:numId w:val="3"/>
        </w:num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
          <w:bCs/>
          <w:bdr w:val="none" w:sz="0" w:space="0" w:color="auto" w:frame="1"/>
          <w:lang w:val="es-CO"/>
        </w:rPr>
        <w:t>Daño Moral:</w:t>
      </w:r>
      <w:r w:rsidRPr="00200E72">
        <w:rPr>
          <w:rFonts w:ascii="Arial" w:eastAsia="Times New Roman" w:hAnsi="Arial" w:cs="Arial"/>
          <w:bdr w:val="none" w:sz="0" w:space="0" w:color="auto" w:frame="1"/>
          <w:lang w:val="es-CO"/>
        </w:rPr>
        <w:t> El daño moral se reconoce a la víctima y a sus familiares. Se calcula un monto de: (i)$</w:t>
      </w:r>
      <w:r w:rsidR="00EF6574">
        <w:rPr>
          <w:rFonts w:ascii="Arial" w:eastAsia="Times New Roman" w:hAnsi="Arial" w:cs="Arial"/>
          <w:bdr w:val="none" w:sz="0" w:space="0" w:color="auto" w:frame="1"/>
          <w:lang w:val="es-CO"/>
        </w:rPr>
        <w:t>4</w:t>
      </w:r>
      <w:r w:rsidRPr="00200E72">
        <w:rPr>
          <w:rFonts w:ascii="Arial" w:eastAsia="Times New Roman" w:hAnsi="Arial" w:cs="Arial"/>
          <w:bdr w:val="none" w:sz="0" w:space="0" w:color="auto" w:frame="1"/>
          <w:lang w:val="es-CO"/>
        </w:rPr>
        <w:t>0.000.000 a la víctima</w:t>
      </w:r>
      <w:r w:rsidR="00510180" w:rsidRPr="00200E72">
        <w:rPr>
          <w:rFonts w:ascii="Arial" w:eastAsia="Times New Roman" w:hAnsi="Arial" w:cs="Arial"/>
          <w:bdr w:val="none" w:sz="0" w:space="0" w:color="auto" w:frame="1"/>
          <w:lang w:val="es-CO"/>
        </w:rPr>
        <w:t xml:space="preserve"> directa</w:t>
      </w:r>
      <w:r w:rsidRPr="00200E72">
        <w:rPr>
          <w:rFonts w:ascii="Arial" w:eastAsia="Times New Roman" w:hAnsi="Arial" w:cs="Arial"/>
          <w:bdr w:val="none" w:sz="0" w:space="0" w:color="auto" w:frame="1"/>
          <w:lang w:val="es-CO"/>
        </w:rPr>
        <w:t xml:space="preserve">, </w:t>
      </w:r>
      <w:r w:rsidR="00801601" w:rsidRPr="00200E72">
        <w:rPr>
          <w:rFonts w:ascii="Arial" w:eastAsia="Times New Roman" w:hAnsi="Arial" w:cs="Arial"/>
          <w:bdr w:val="none" w:sz="0" w:space="0" w:color="auto" w:frame="1"/>
          <w:lang w:val="es-CO"/>
        </w:rPr>
        <w:t xml:space="preserve">(i)$20.000.000 a </w:t>
      </w:r>
      <w:r w:rsidRPr="00200E72">
        <w:rPr>
          <w:rFonts w:ascii="Arial" w:eastAsia="Times New Roman" w:hAnsi="Arial" w:cs="Arial"/>
          <w:bdr w:val="none" w:sz="0" w:space="0" w:color="auto" w:frame="1"/>
          <w:lang w:val="es-CO"/>
        </w:rPr>
        <w:t>la compañera permanente y los hijos de la víctima y</w:t>
      </w:r>
      <w:r w:rsidR="007509C3" w:rsidRPr="00200E72">
        <w:rPr>
          <w:rFonts w:ascii="Arial" w:eastAsia="Times New Roman" w:hAnsi="Arial" w:cs="Arial"/>
          <w:bdr w:val="none" w:sz="0" w:space="0" w:color="auto" w:frame="1"/>
          <w:lang w:val="es-CO"/>
        </w:rPr>
        <w:t xml:space="preserve"> </w:t>
      </w:r>
      <w:r w:rsidRPr="00200E72">
        <w:rPr>
          <w:rFonts w:ascii="Arial" w:eastAsia="Times New Roman" w:hAnsi="Arial" w:cs="Arial"/>
          <w:bdr w:val="none" w:sz="0" w:space="0" w:color="auto" w:frame="1"/>
          <w:lang w:val="es-CO"/>
        </w:rPr>
        <w:t xml:space="preserve">(i) $8.000.000 para la hermana de la víctima. A la madre de crianza de la víctima no se le reconoce suma alguna por no probarse </w:t>
      </w:r>
      <w:r w:rsidR="00801601" w:rsidRPr="00200E72">
        <w:rPr>
          <w:rFonts w:ascii="Arial" w:eastAsia="Times New Roman" w:hAnsi="Arial" w:cs="Arial"/>
          <w:bdr w:val="none" w:sz="0" w:space="0" w:color="auto" w:frame="1"/>
          <w:lang w:val="es-CO"/>
        </w:rPr>
        <w:lastRenderedPageBreak/>
        <w:t xml:space="preserve">de manera idónea </w:t>
      </w:r>
      <w:r w:rsidRPr="00200E72">
        <w:rPr>
          <w:rFonts w:ascii="Arial" w:eastAsia="Times New Roman" w:hAnsi="Arial" w:cs="Arial"/>
          <w:bdr w:val="none" w:sz="0" w:space="0" w:color="auto" w:frame="1"/>
          <w:lang w:val="es-CO"/>
        </w:rPr>
        <w:t>tal filiación. Por ende, se reconoce a título de perjuicio moral la suma de $88.000.000. Ello en atención a</w:t>
      </w:r>
      <w:r w:rsidR="003753A1">
        <w:rPr>
          <w:rFonts w:ascii="Arial" w:eastAsia="Times New Roman" w:hAnsi="Arial" w:cs="Arial"/>
          <w:bdr w:val="none" w:sz="0" w:space="0" w:color="auto" w:frame="1"/>
          <w:lang w:val="es-CO"/>
        </w:rPr>
        <w:t xml:space="preserve"> (i)</w:t>
      </w:r>
      <w:r w:rsidRPr="00200E72">
        <w:rPr>
          <w:rFonts w:ascii="Arial" w:eastAsia="Times New Roman" w:hAnsi="Arial" w:cs="Arial"/>
          <w:bdr w:val="none" w:sz="0" w:space="0" w:color="auto" w:frame="1"/>
          <w:lang w:val="es-CO"/>
        </w:rPr>
        <w:t xml:space="preserve"> el demandado sufrió una amputación a nivel de tobillo derecho produciendo una perturbación del órgano de sistema de locomoción permanente</w:t>
      </w:r>
      <w:r w:rsidR="003753A1">
        <w:rPr>
          <w:rFonts w:ascii="Arial" w:eastAsia="Times New Roman" w:hAnsi="Arial" w:cs="Arial"/>
          <w:bdr w:val="none" w:sz="0" w:space="0" w:color="auto" w:frame="1"/>
          <w:lang w:val="es-CO"/>
        </w:rPr>
        <w:t xml:space="preserve"> y (</w:t>
      </w:r>
      <w:proofErr w:type="spellStart"/>
      <w:r w:rsidR="003753A1">
        <w:rPr>
          <w:rFonts w:ascii="Arial" w:eastAsia="Times New Roman" w:hAnsi="Arial" w:cs="Arial"/>
          <w:bdr w:val="none" w:sz="0" w:space="0" w:color="auto" w:frame="1"/>
          <w:lang w:val="es-CO"/>
        </w:rPr>
        <w:t>ii</w:t>
      </w:r>
      <w:proofErr w:type="spellEnd"/>
      <w:r w:rsidR="003753A1">
        <w:rPr>
          <w:rFonts w:ascii="Arial" w:eastAsia="Times New Roman" w:hAnsi="Arial" w:cs="Arial"/>
          <w:bdr w:val="none" w:sz="0" w:space="0" w:color="auto" w:frame="1"/>
          <w:lang w:val="es-CO"/>
        </w:rPr>
        <w:t xml:space="preserve">) el </w:t>
      </w:r>
      <w:r w:rsidR="003753A1" w:rsidRPr="00200E72">
        <w:rPr>
          <w:rFonts w:ascii="Arial" w:eastAsia="Times New Roman" w:hAnsi="Arial" w:cs="Arial"/>
          <w:bdr w:val="none" w:sz="0" w:space="0" w:color="auto" w:frame="1"/>
          <w:lang w:val="es-CO"/>
        </w:rPr>
        <w:t>dictamen de pérdida de capacidad laboral expedido por la Junta Regional de Invalidez del Valle del Cauca, se determinó que la pérdida de capacidad laboral sufrida por el señor Jimmy Andrés Gómez</w:t>
      </w:r>
      <w:r w:rsidR="003753A1" w:rsidRPr="00200E72" w:rsidDel="007849F5">
        <w:rPr>
          <w:rFonts w:ascii="Arial" w:eastAsia="Times New Roman" w:hAnsi="Arial" w:cs="Arial"/>
          <w:bdr w:val="none" w:sz="0" w:space="0" w:color="auto" w:frame="1"/>
          <w:lang w:val="es-CO"/>
        </w:rPr>
        <w:t xml:space="preserve"> </w:t>
      </w:r>
      <w:r w:rsidR="003753A1" w:rsidRPr="00200E72">
        <w:rPr>
          <w:rFonts w:ascii="Arial" w:eastAsia="Times New Roman" w:hAnsi="Arial" w:cs="Arial"/>
          <w:bdr w:val="none" w:sz="0" w:space="0" w:color="auto" w:frame="1"/>
          <w:lang w:val="es-CO"/>
        </w:rPr>
        <w:t>correspondía al 42.20%</w:t>
      </w:r>
      <w:r w:rsidRPr="00200E72">
        <w:rPr>
          <w:rFonts w:ascii="Arial" w:eastAsia="Times New Roman" w:hAnsi="Arial" w:cs="Arial"/>
          <w:bdr w:val="none" w:sz="0" w:space="0" w:color="auto" w:frame="1"/>
          <w:lang w:val="es-CO"/>
        </w:rPr>
        <w:t xml:space="preserve">. En ese entendido, se tasa en el valor en mención, en atención a la sentencia </w:t>
      </w:r>
      <w:r w:rsidR="00D336D9" w:rsidRPr="00200E72">
        <w:rPr>
          <w:rFonts w:ascii="Arial" w:eastAsia="Times New Roman" w:hAnsi="Arial" w:cs="Arial"/>
          <w:lang w:val="es-CO"/>
        </w:rPr>
        <w:t xml:space="preserve">SC12994-2016-2010-00111-01 </w:t>
      </w:r>
      <w:r w:rsidRPr="00200E72">
        <w:rPr>
          <w:rFonts w:ascii="Arial" w:eastAsia="Times New Roman" w:hAnsi="Arial" w:cs="Arial"/>
          <w:bdr w:val="none" w:sz="0" w:space="0" w:color="auto" w:frame="1"/>
          <w:lang w:val="es-CO"/>
        </w:rPr>
        <w:t xml:space="preserve">de la Corte Suprema de Justicia donde se reconoció el valor de </w:t>
      </w:r>
      <w:r w:rsidR="00D336D9" w:rsidRPr="00200E72">
        <w:rPr>
          <w:rFonts w:ascii="Arial" w:eastAsia="Times New Roman" w:hAnsi="Arial" w:cs="Arial"/>
          <w:bdr w:val="none" w:sz="0" w:space="0" w:color="auto" w:frame="1"/>
          <w:lang w:val="es-CO"/>
        </w:rPr>
        <w:t>$30.000.000</w:t>
      </w:r>
      <w:r w:rsidRPr="00200E72">
        <w:rPr>
          <w:rFonts w:ascii="Arial" w:eastAsia="Times New Roman" w:hAnsi="Arial" w:cs="Arial"/>
          <w:bdr w:val="none" w:sz="0" w:space="0" w:color="auto" w:frame="1"/>
          <w:lang w:val="es-CO"/>
        </w:rPr>
        <w:t xml:space="preserve"> a la víctima directa por una lesión que generó </w:t>
      </w:r>
      <w:r w:rsidR="00D336D9" w:rsidRPr="00200E72">
        <w:rPr>
          <w:rFonts w:ascii="Arial" w:eastAsia="Times New Roman" w:hAnsi="Arial" w:cs="Arial"/>
          <w:bdr w:val="none" w:sz="0" w:space="0" w:color="auto" w:frame="1"/>
          <w:lang w:val="es-CO"/>
        </w:rPr>
        <w:t>6</w:t>
      </w:r>
      <w:r w:rsidRPr="00200E72">
        <w:rPr>
          <w:rFonts w:ascii="Arial" w:eastAsia="Times New Roman" w:hAnsi="Arial" w:cs="Arial"/>
          <w:bdr w:val="none" w:sz="0" w:space="0" w:color="auto" w:frame="1"/>
          <w:lang w:val="es-CO"/>
        </w:rPr>
        <w:t>0 días de incapacidad, con deformidades físicas y perturbaciones funcionales en su</w:t>
      </w:r>
      <w:r w:rsidR="00510180" w:rsidRPr="00200E72">
        <w:rPr>
          <w:rFonts w:ascii="Arial" w:eastAsia="Times New Roman" w:hAnsi="Arial" w:cs="Arial"/>
          <w:bdr w:val="none" w:sz="0" w:space="0" w:color="auto" w:frame="1"/>
          <w:lang w:val="es-CO"/>
        </w:rPr>
        <w:t xml:space="preserve"> brazo </w:t>
      </w:r>
      <w:r w:rsidRPr="00200E72">
        <w:rPr>
          <w:rFonts w:ascii="Arial" w:eastAsia="Times New Roman" w:hAnsi="Arial" w:cs="Arial"/>
          <w:bdr w:val="none" w:sz="0" w:space="0" w:color="auto" w:frame="1"/>
          <w:lang w:val="es-CO"/>
        </w:rPr>
        <w:t>es decir, al igual que el demandante en el proceso en marras, hubo una perturbación en el sistema de locomoción</w:t>
      </w:r>
      <w:r w:rsidR="00510180" w:rsidRPr="00200E72">
        <w:rPr>
          <w:rFonts w:ascii="Arial" w:eastAsia="Times New Roman" w:hAnsi="Arial" w:cs="Arial"/>
          <w:bdr w:val="none" w:sz="0" w:space="0" w:color="auto" w:frame="1"/>
          <w:lang w:val="es-CO"/>
        </w:rPr>
        <w:t xml:space="preserve"> de carácter permanente</w:t>
      </w:r>
      <w:r w:rsidRPr="00200E72">
        <w:rPr>
          <w:rFonts w:ascii="Arial" w:eastAsia="Times New Roman" w:hAnsi="Arial" w:cs="Arial"/>
          <w:bdr w:val="none" w:sz="0" w:space="0" w:color="auto" w:frame="1"/>
          <w:lang w:val="es-CO"/>
        </w:rPr>
        <w:t>. </w:t>
      </w:r>
      <w:r w:rsidRPr="00200E72">
        <w:rPr>
          <w:rFonts w:ascii="Arial" w:eastAsia="Times New Roman" w:hAnsi="Arial" w:cs="Arial"/>
          <w:lang w:val="es-CO"/>
        </w:rPr>
        <w:br/>
      </w:r>
    </w:p>
    <w:p w14:paraId="3F02088A" w14:textId="1ABF85C0" w:rsidR="000F6125" w:rsidRPr="00200E72" w:rsidRDefault="000F6125">
      <w:pPr>
        <w:shd w:val="clear" w:color="auto" w:fill="FFFFFF"/>
        <w:spacing w:after="0" w:line="360" w:lineRule="auto"/>
        <w:ind w:left="360"/>
        <w:jc w:val="both"/>
        <w:rPr>
          <w:rFonts w:ascii="Arial" w:eastAsia="Times New Roman" w:hAnsi="Arial" w:cs="Arial"/>
          <w:b/>
          <w:bCs/>
          <w:u w:val="single"/>
          <w:lang w:val="es-CO"/>
        </w:rPr>
      </w:pPr>
      <w:r w:rsidRPr="00200E72">
        <w:rPr>
          <w:rFonts w:ascii="Arial" w:eastAsia="Times New Roman" w:hAnsi="Arial" w:cs="Arial"/>
          <w:b/>
          <w:bCs/>
          <w:u w:val="single"/>
          <w:lang w:val="es-CO"/>
        </w:rPr>
        <w:t>Total daño moral: $1</w:t>
      </w:r>
      <w:r w:rsidR="003753A1">
        <w:rPr>
          <w:rFonts w:ascii="Arial" w:eastAsia="Times New Roman" w:hAnsi="Arial" w:cs="Arial"/>
          <w:b/>
          <w:bCs/>
          <w:u w:val="single"/>
          <w:lang w:val="es-CO"/>
        </w:rPr>
        <w:t>2</w:t>
      </w:r>
      <w:r w:rsidRPr="00200E72">
        <w:rPr>
          <w:rFonts w:ascii="Arial" w:eastAsia="Times New Roman" w:hAnsi="Arial" w:cs="Arial"/>
          <w:b/>
          <w:bCs/>
          <w:u w:val="single"/>
          <w:lang w:val="es-CO"/>
        </w:rPr>
        <w:t>8.000.000</w:t>
      </w:r>
    </w:p>
    <w:p w14:paraId="62FF95CB" w14:textId="77777777" w:rsidR="000F6125" w:rsidRPr="00200E72" w:rsidRDefault="000F6125">
      <w:pPr>
        <w:shd w:val="clear" w:color="auto" w:fill="FFFFFF"/>
        <w:spacing w:after="0" w:line="360" w:lineRule="auto"/>
        <w:ind w:left="360"/>
        <w:jc w:val="both"/>
        <w:rPr>
          <w:rFonts w:ascii="Arial" w:eastAsia="Times New Roman" w:hAnsi="Arial" w:cs="Arial"/>
          <w:lang w:val="es-CO"/>
        </w:rPr>
      </w:pPr>
    </w:p>
    <w:p w14:paraId="593DE9CD" w14:textId="77777777" w:rsidR="00D044B7" w:rsidRPr="00200E72" w:rsidRDefault="00D044B7">
      <w:pPr>
        <w:shd w:val="clear" w:color="auto" w:fill="FFFFFF"/>
        <w:spacing w:after="0" w:line="360" w:lineRule="auto"/>
        <w:ind w:left="360" w:hanging="360"/>
        <w:jc w:val="both"/>
        <w:rPr>
          <w:rFonts w:ascii="Arial" w:eastAsia="Times New Roman" w:hAnsi="Arial" w:cs="Arial"/>
          <w:lang w:val="es-CO"/>
        </w:rPr>
      </w:pPr>
      <w:r w:rsidRPr="00200E72">
        <w:rPr>
          <w:rFonts w:ascii="Arial" w:eastAsia="Times New Roman" w:hAnsi="Arial" w:cs="Arial"/>
          <w:b/>
          <w:bCs/>
          <w:bdr w:val="none" w:sz="0" w:space="0" w:color="auto" w:frame="1"/>
          <w:lang w:val="es-CO"/>
        </w:rPr>
        <w:t>3.     Daño a la vida de relación:</w:t>
      </w:r>
      <w:r w:rsidRPr="00200E72">
        <w:rPr>
          <w:rFonts w:ascii="Arial" w:eastAsia="Times New Roman" w:hAnsi="Arial" w:cs="Arial"/>
          <w:bdr w:val="none" w:sz="0" w:space="0" w:color="auto" w:frame="1"/>
          <w:lang w:val="es-CO"/>
        </w:rPr>
        <w:t>   </w:t>
      </w:r>
    </w:p>
    <w:p w14:paraId="7A021814" w14:textId="77777777" w:rsidR="008E2F04" w:rsidRPr="00200E72" w:rsidRDefault="008E2F04">
      <w:pPr>
        <w:shd w:val="clear" w:color="auto" w:fill="FFFFFF"/>
        <w:spacing w:after="0" w:line="360" w:lineRule="auto"/>
        <w:jc w:val="both"/>
        <w:rPr>
          <w:rFonts w:ascii="Arial" w:eastAsia="Times New Roman" w:hAnsi="Arial" w:cs="Arial"/>
          <w:bdr w:val="none" w:sz="0" w:space="0" w:color="auto" w:frame="1"/>
          <w:lang w:val="es-CO"/>
        </w:rPr>
      </w:pPr>
    </w:p>
    <w:p w14:paraId="373F51E9" w14:textId="6A753DD1" w:rsidR="00D044B7" w:rsidRPr="00200E72" w:rsidRDefault="00D044B7">
      <w:pPr>
        <w:pStyle w:val="Prrafodelista"/>
        <w:numPr>
          <w:ilvl w:val="0"/>
          <w:numId w:val="5"/>
        </w:num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Frente a Jimmy Andrés Gómez se</w:t>
      </w:r>
      <w:r w:rsidRPr="00200E72">
        <w:rPr>
          <w:rFonts w:ascii="Arial" w:eastAsia="Times New Roman" w:hAnsi="Arial" w:cs="Arial"/>
          <w:b/>
          <w:bCs/>
          <w:bdr w:val="none" w:sz="0" w:space="0" w:color="auto" w:frame="1"/>
          <w:lang w:val="es-CO"/>
        </w:rPr>
        <w:t> </w:t>
      </w:r>
      <w:r w:rsidRPr="00200E72">
        <w:rPr>
          <w:rFonts w:ascii="Arial" w:eastAsia="Times New Roman" w:hAnsi="Arial" w:cs="Arial"/>
          <w:bdr w:val="none" w:sz="0" w:space="0" w:color="auto" w:frame="1"/>
          <w:lang w:val="es-CO"/>
        </w:rPr>
        <w:t>reconocerá la suma total de $</w:t>
      </w:r>
      <w:r w:rsidR="003753A1">
        <w:rPr>
          <w:rFonts w:ascii="Arial" w:eastAsia="Times New Roman" w:hAnsi="Arial" w:cs="Arial"/>
          <w:bdr w:val="none" w:sz="0" w:space="0" w:color="auto" w:frame="1"/>
          <w:lang w:val="es-CO"/>
        </w:rPr>
        <w:t>4</w:t>
      </w:r>
      <w:r w:rsidRPr="00200E72">
        <w:rPr>
          <w:rFonts w:ascii="Arial" w:eastAsia="Times New Roman" w:hAnsi="Arial" w:cs="Arial"/>
          <w:bdr w:val="none" w:sz="0" w:space="0" w:color="auto" w:frame="1"/>
          <w:lang w:val="es-CO"/>
        </w:rPr>
        <w:t xml:space="preserve">0.000.000, ello teniendo en cuenta la sentencia de la Corte Suprema de Justicia con radicado </w:t>
      </w:r>
      <w:r w:rsidR="00D336D9" w:rsidRPr="00200E72">
        <w:rPr>
          <w:rFonts w:ascii="Arial" w:hAnsi="Arial" w:cs="Arial"/>
          <w:lang w:val="es-CO"/>
        </w:rPr>
        <w:t>11001-31-03-032-2009-00282-01</w:t>
      </w:r>
      <w:r w:rsidR="00D336D9" w:rsidRPr="00200E72" w:rsidDel="00D336D9">
        <w:rPr>
          <w:rFonts w:ascii="Arial" w:eastAsia="Times New Roman" w:hAnsi="Arial" w:cs="Arial"/>
          <w:bdr w:val="none" w:sz="0" w:space="0" w:color="auto" w:frame="1"/>
          <w:lang w:val="es-CO"/>
        </w:rPr>
        <w:t xml:space="preserve"> </w:t>
      </w:r>
      <w:r w:rsidRPr="00200E72">
        <w:rPr>
          <w:rFonts w:ascii="Arial" w:eastAsia="Times New Roman" w:hAnsi="Arial" w:cs="Arial"/>
          <w:bdr w:val="none" w:sz="0" w:space="0" w:color="auto" w:frame="1"/>
          <w:lang w:val="es-CO"/>
        </w:rPr>
        <w:t>en la que se reconoció dicha suma a un hombre que tuvo</w:t>
      </w:r>
      <w:r w:rsidR="00D336D9" w:rsidRPr="00200E72">
        <w:rPr>
          <w:rFonts w:ascii="Arial" w:hAnsi="Arial" w:cs="Arial"/>
          <w:lang w:val="es-CO"/>
        </w:rPr>
        <w:t xml:space="preserve"> amputación de miembro superior que generan pérdida de capacidad laboral</w:t>
      </w:r>
      <w:r w:rsidRPr="00200E72">
        <w:rPr>
          <w:rFonts w:ascii="Arial" w:eastAsia="Times New Roman" w:hAnsi="Arial" w:cs="Arial"/>
          <w:bdr w:val="none" w:sz="0" w:space="0" w:color="auto" w:frame="1"/>
          <w:lang w:val="es-CO"/>
        </w:rPr>
        <w:t xml:space="preserve">. En ese sentido, </w:t>
      </w:r>
      <w:r w:rsidR="00D336D9" w:rsidRPr="00200E72">
        <w:rPr>
          <w:rFonts w:ascii="Arial" w:eastAsia="Times New Roman" w:hAnsi="Arial" w:cs="Arial"/>
          <w:bdr w:val="none" w:sz="0" w:space="0" w:color="auto" w:frame="1"/>
          <w:lang w:val="es-CO"/>
        </w:rPr>
        <w:t>se logra homogenizar este caso con el anterior, toda vez que, ambos tuvieron perturbación funcional permanente de un órgano de la locomoción</w:t>
      </w:r>
      <w:r w:rsidR="003B1BAB">
        <w:rPr>
          <w:rFonts w:ascii="Arial" w:eastAsia="Times New Roman" w:hAnsi="Arial" w:cs="Arial"/>
          <w:bdr w:val="none" w:sz="0" w:space="0" w:color="auto" w:frame="1"/>
          <w:lang w:val="es-CO"/>
        </w:rPr>
        <w:t xml:space="preserve">. Adicionalmente, se itera que </w:t>
      </w:r>
      <w:r w:rsidR="003B1BAB" w:rsidRPr="00200E72">
        <w:rPr>
          <w:rFonts w:ascii="Arial" w:eastAsia="Times New Roman" w:hAnsi="Arial" w:cs="Arial"/>
          <w:bdr w:val="none" w:sz="0" w:space="0" w:color="auto" w:frame="1"/>
          <w:lang w:val="es-CO"/>
        </w:rPr>
        <w:t>se determinó que la pérdida de capacidad laboral sufrida por el señor Jimmy Andrés Gómez</w:t>
      </w:r>
      <w:r w:rsidR="003B1BAB" w:rsidRPr="00200E72" w:rsidDel="007849F5">
        <w:rPr>
          <w:rFonts w:ascii="Arial" w:eastAsia="Times New Roman" w:hAnsi="Arial" w:cs="Arial"/>
          <w:bdr w:val="none" w:sz="0" w:space="0" w:color="auto" w:frame="1"/>
          <w:lang w:val="es-CO"/>
        </w:rPr>
        <w:t xml:space="preserve"> </w:t>
      </w:r>
      <w:r w:rsidR="003B1BAB" w:rsidRPr="00200E72">
        <w:rPr>
          <w:rFonts w:ascii="Arial" w:eastAsia="Times New Roman" w:hAnsi="Arial" w:cs="Arial"/>
          <w:bdr w:val="none" w:sz="0" w:space="0" w:color="auto" w:frame="1"/>
          <w:lang w:val="es-CO"/>
        </w:rPr>
        <w:t>correspondía al 42.20%.</w:t>
      </w:r>
    </w:p>
    <w:p w14:paraId="13363BD4" w14:textId="3C91580E" w:rsidR="00D044B7" w:rsidRPr="00200E72" w:rsidRDefault="008D0296">
      <w:pPr>
        <w:pStyle w:val="Prrafodelista"/>
        <w:numPr>
          <w:ilvl w:val="0"/>
          <w:numId w:val="5"/>
        </w:num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xml:space="preserve">Para </w:t>
      </w:r>
      <w:proofErr w:type="spellStart"/>
      <w:r w:rsidR="00D044B7" w:rsidRPr="00200E72">
        <w:rPr>
          <w:rFonts w:ascii="Arial" w:eastAsia="Times New Roman" w:hAnsi="Arial" w:cs="Arial"/>
          <w:bdr w:val="none" w:sz="0" w:space="0" w:color="auto" w:frame="1"/>
          <w:lang w:val="es-CO"/>
        </w:rPr>
        <w:t>Nury</w:t>
      </w:r>
      <w:proofErr w:type="spellEnd"/>
      <w:r w:rsidR="00D044B7" w:rsidRPr="00200E72">
        <w:rPr>
          <w:rFonts w:ascii="Arial" w:eastAsia="Times New Roman" w:hAnsi="Arial" w:cs="Arial"/>
          <w:bdr w:val="none" w:sz="0" w:space="0" w:color="auto" w:frame="1"/>
          <w:lang w:val="es-CO"/>
        </w:rPr>
        <w:t xml:space="preserve"> Alejandra González, compañera permanente del señor Gómez, se reconoce la suma de $10.000.000 a título de daño en la vida de relación ya que se puede afirmar que hay un daño en su proyecto de vida ya que su esposo ahora tiene una incapacidad que limita su movilidad. Ello en atención a la sentencia SC5686-2018 de la corte Suprema de Justicia. </w:t>
      </w:r>
    </w:p>
    <w:p w14:paraId="22A1E1E0" w14:textId="25B23F2B" w:rsidR="00D044B7" w:rsidRPr="00200E72" w:rsidRDefault="008D0296">
      <w:pPr>
        <w:pStyle w:val="Prrafodelista"/>
        <w:numPr>
          <w:ilvl w:val="0"/>
          <w:numId w:val="5"/>
        </w:num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Para e</w:t>
      </w:r>
      <w:r w:rsidR="00D044B7" w:rsidRPr="00200E72">
        <w:rPr>
          <w:rFonts w:ascii="Arial" w:eastAsia="Times New Roman" w:hAnsi="Arial" w:cs="Arial"/>
          <w:bdr w:val="none" w:sz="0" w:space="0" w:color="auto" w:frame="1"/>
          <w:lang w:val="es-CO"/>
        </w:rPr>
        <w:t xml:space="preserve">l menor Juan Felipe Gómez, hijo del señor Gómez, se reconoce la suma de $10.000.000 a título de daño en la vida de relación ya que se puede afirmar que hay un daño en su proyecto de vida ya que su padre ahora tiene una incapacidad que limita su </w:t>
      </w:r>
      <w:r w:rsidR="00D044B7" w:rsidRPr="00200E72">
        <w:rPr>
          <w:rFonts w:ascii="Arial" w:eastAsia="Times New Roman" w:hAnsi="Arial" w:cs="Arial"/>
          <w:bdr w:val="none" w:sz="0" w:space="0" w:color="auto" w:frame="1"/>
          <w:lang w:val="es-CO"/>
        </w:rPr>
        <w:lastRenderedPageBreak/>
        <w:t>movilidad. Ello en atención a la sentencia SC5686-2018 de la corte Suprema de Justicia. </w:t>
      </w:r>
    </w:p>
    <w:p w14:paraId="2D927428" w14:textId="524A0362" w:rsidR="000F6125" w:rsidRPr="00200E72" w:rsidRDefault="000F6125">
      <w:pPr>
        <w:pStyle w:val="Prrafodelista"/>
        <w:numPr>
          <w:ilvl w:val="0"/>
          <w:numId w:val="5"/>
        </w:num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Para el menor Johan Andrés Gómez Gaviria, hijo del señor Gómez, se reconoce la suma de $10.000.000 a título de daño en la vida de relación ya que se puede afirmar que hay un daño en su proyecto de vida ya que su padre ahora tiene una incapacidad que limita su movilidad. Ello en atención a la sentencia SC5686-2018 de la corte Suprema de Justicia. </w:t>
      </w:r>
    </w:p>
    <w:p w14:paraId="37630825" w14:textId="422E2492" w:rsidR="00D044B7" w:rsidRPr="00200E72" w:rsidRDefault="008D0296">
      <w:pPr>
        <w:pStyle w:val="Prrafodelista"/>
        <w:numPr>
          <w:ilvl w:val="0"/>
          <w:numId w:val="5"/>
        </w:num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Para</w:t>
      </w:r>
      <w:r w:rsidR="00D044B7" w:rsidRPr="00200E72">
        <w:rPr>
          <w:rFonts w:ascii="Arial" w:eastAsia="Times New Roman" w:hAnsi="Arial" w:cs="Arial"/>
          <w:bdr w:val="none" w:sz="0" w:space="0" w:color="auto" w:frame="1"/>
          <w:lang w:val="es-CO"/>
        </w:rPr>
        <w:t xml:space="preserve"> la menor María Juliana Gómez, hija del señor Gómez, se reconoce la suma de $10.000.000 a título de daño en la vida de relación ya que se puede afirmar que hay un daño en su proyecto de vida ya que su padre ahora tiene una incapacidad que limita su movilidad. Ello en atención a la sentencia SC5686-2018 de la corte Suprema de Justicia. </w:t>
      </w:r>
    </w:p>
    <w:p w14:paraId="6D3C4F00" w14:textId="7F3DC79B" w:rsidR="00D044B7" w:rsidRPr="00200E72" w:rsidRDefault="008D0296">
      <w:pPr>
        <w:pStyle w:val="Prrafodelista"/>
        <w:numPr>
          <w:ilvl w:val="0"/>
          <w:numId w:val="5"/>
        </w:num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xml:space="preserve">Para </w:t>
      </w:r>
      <w:r w:rsidR="00D044B7" w:rsidRPr="00200E72">
        <w:rPr>
          <w:rFonts w:ascii="Arial" w:eastAsia="Times New Roman" w:hAnsi="Arial" w:cs="Arial"/>
          <w:bdr w:val="none" w:sz="0" w:space="0" w:color="auto" w:frame="1"/>
          <w:lang w:val="es-CO"/>
        </w:rPr>
        <w:t>la señora Emma Esperanza Gómez, madre de crianza del señor Gómez, no se reconoce rubro alguno al no probarse su convivencia con la víctima directa. </w:t>
      </w:r>
    </w:p>
    <w:p w14:paraId="3DAFB1DB" w14:textId="001F8BF5" w:rsidR="00D044B7" w:rsidRPr="00200E72" w:rsidRDefault="008D0296">
      <w:pPr>
        <w:pStyle w:val="Prrafodelista"/>
        <w:numPr>
          <w:ilvl w:val="0"/>
          <w:numId w:val="5"/>
        </w:num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xml:space="preserve">Para </w:t>
      </w:r>
      <w:r w:rsidR="00D044B7" w:rsidRPr="00200E72">
        <w:rPr>
          <w:rFonts w:ascii="Arial" w:eastAsia="Times New Roman" w:hAnsi="Arial" w:cs="Arial"/>
          <w:bdr w:val="none" w:sz="0" w:space="0" w:color="auto" w:frame="1"/>
          <w:lang w:val="es-CO"/>
        </w:rPr>
        <w:t xml:space="preserve">la señora Nilsa </w:t>
      </w:r>
      <w:proofErr w:type="spellStart"/>
      <w:r w:rsidR="00D044B7" w:rsidRPr="00200E72">
        <w:rPr>
          <w:rFonts w:ascii="Arial" w:eastAsia="Times New Roman" w:hAnsi="Arial" w:cs="Arial"/>
          <w:bdr w:val="none" w:sz="0" w:space="0" w:color="auto" w:frame="1"/>
          <w:lang w:val="es-CO"/>
        </w:rPr>
        <w:t>Yurlany</w:t>
      </w:r>
      <w:proofErr w:type="spellEnd"/>
      <w:r w:rsidR="00D044B7" w:rsidRPr="00200E72">
        <w:rPr>
          <w:rFonts w:ascii="Arial" w:eastAsia="Times New Roman" w:hAnsi="Arial" w:cs="Arial"/>
          <w:bdr w:val="none" w:sz="0" w:space="0" w:color="auto" w:frame="1"/>
          <w:lang w:val="es-CO"/>
        </w:rPr>
        <w:t xml:space="preserve"> </w:t>
      </w:r>
      <w:proofErr w:type="spellStart"/>
      <w:r w:rsidR="00D044B7" w:rsidRPr="00200E72">
        <w:rPr>
          <w:rFonts w:ascii="Arial" w:eastAsia="Times New Roman" w:hAnsi="Arial" w:cs="Arial"/>
          <w:bdr w:val="none" w:sz="0" w:space="0" w:color="auto" w:frame="1"/>
          <w:lang w:val="es-CO"/>
        </w:rPr>
        <w:t>Nupán</w:t>
      </w:r>
      <w:proofErr w:type="spellEnd"/>
      <w:r w:rsidR="00D044B7" w:rsidRPr="00200E72">
        <w:rPr>
          <w:rFonts w:ascii="Arial" w:eastAsia="Times New Roman" w:hAnsi="Arial" w:cs="Arial"/>
          <w:bdr w:val="none" w:sz="0" w:space="0" w:color="auto" w:frame="1"/>
          <w:lang w:val="es-CO"/>
        </w:rPr>
        <w:t xml:space="preserve"> Gómez, hermana de la víctima, no se reconoce rubro alguno al no ser víctima directa. </w:t>
      </w:r>
    </w:p>
    <w:p w14:paraId="1846E5F8" w14:textId="77777777" w:rsidR="00D044B7" w:rsidRPr="00200E72" w:rsidRDefault="00D044B7">
      <w:pPr>
        <w:shd w:val="clear" w:color="auto" w:fill="FFFFFF"/>
        <w:spacing w:after="0" w:line="360" w:lineRule="auto"/>
        <w:ind w:left="1440"/>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72F1128A" w14:textId="3266660F" w:rsidR="00D044B7" w:rsidRPr="00200E72" w:rsidRDefault="000F6125">
      <w:pPr>
        <w:shd w:val="clear" w:color="auto" w:fill="FFFFFF"/>
        <w:spacing w:after="0" w:line="360" w:lineRule="auto"/>
        <w:jc w:val="both"/>
        <w:rPr>
          <w:rFonts w:ascii="Arial" w:eastAsia="Times New Roman" w:hAnsi="Arial" w:cs="Arial"/>
          <w:b/>
          <w:bCs/>
          <w:u w:val="single"/>
          <w:lang w:val="es-CO"/>
        </w:rPr>
      </w:pPr>
      <w:r w:rsidRPr="00200E72">
        <w:rPr>
          <w:rFonts w:ascii="Arial" w:eastAsia="Times New Roman" w:hAnsi="Arial" w:cs="Arial"/>
          <w:b/>
          <w:bCs/>
          <w:u w:val="single"/>
          <w:bdr w:val="none" w:sz="0" w:space="0" w:color="auto" w:frame="1"/>
          <w:lang w:val="es-CO"/>
        </w:rPr>
        <w:t>Total daño a la vida de relación</w:t>
      </w:r>
      <w:r w:rsidR="00D044B7" w:rsidRPr="00200E72">
        <w:rPr>
          <w:rFonts w:ascii="Arial" w:eastAsia="Times New Roman" w:hAnsi="Arial" w:cs="Arial"/>
          <w:b/>
          <w:bCs/>
          <w:u w:val="single"/>
          <w:bdr w:val="none" w:sz="0" w:space="0" w:color="auto" w:frame="1"/>
          <w:lang w:val="es-CO"/>
        </w:rPr>
        <w:t xml:space="preserve"> </w:t>
      </w:r>
      <w:r w:rsidRPr="00200E72">
        <w:rPr>
          <w:rFonts w:ascii="Arial" w:eastAsia="Times New Roman" w:hAnsi="Arial" w:cs="Arial"/>
          <w:b/>
          <w:bCs/>
          <w:u w:val="single"/>
          <w:bdr w:val="none" w:sz="0" w:space="0" w:color="auto" w:frame="1"/>
          <w:lang w:val="es-CO"/>
        </w:rPr>
        <w:t xml:space="preserve">: </w:t>
      </w:r>
      <w:r w:rsidR="00D044B7" w:rsidRPr="00200E72">
        <w:rPr>
          <w:rFonts w:ascii="Arial" w:eastAsia="Times New Roman" w:hAnsi="Arial" w:cs="Arial"/>
          <w:b/>
          <w:bCs/>
          <w:u w:val="single"/>
          <w:bdr w:val="none" w:sz="0" w:space="0" w:color="auto" w:frame="1"/>
          <w:lang w:val="es-CO"/>
        </w:rPr>
        <w:t>$</w:t>
      </w:r>
      <w:r w:rsidR="003753A1">
        <w:rPr>
          <w:rFonts w:ascii="Arial" w:eastAsia="Times New Roman" w:hAnsi="Arial" w:cs="Arial"/>
          <w:b/>
          <w:bCs/>
          <w:u w:val="single"/>
          <w:bdr w:val="none" w:sz="0" w:space="0" w:color="auto" w:frame="1"/>
          <w:lang w:val="es-CO"/>
        </w:rPr>
        <w:t>8</w:t>
      </w:r>
      <w:r w:rsidR="00D044B7" w:rsidRPr="00200E72">
        <w:rPr>
          <w:rFonts w:ascii="Arial" w:eastAsia="Times New Roman" w:hAnsi="Arial" w:cs="Arial"/>
          <w:b/>
          <w:bCs/>
          <w:u w:val="single"/>
          <w:bdr w:val="none" w:sz="0" w:space="0" w:color="auto" w:frame="1"/>
          <w:lang w:val="es-CO"/>
        </w:rPr>
        <w:t>0.000.000. </w:t>
      </w:r>
    </w:p>
    <w:p w14:paraId="256121DC" w14:textId="77777777" w:rsidR="00D044B7" w:rsidRPr="00200E72" w:rsidRDefault="00D044B7">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1A5CB3CA" w14:textId="7D79588C" w:rsidR="00D044B7" w:rsidRPr="00200E72" w:rsidRDefault="00D044B7">
      <w:pPr>
        <w:shd w:val="clear" w:color="auto" w:fill="FFFFFF"/>
        <w:spacing w:after="0" w:line="360" w:lineRule="auto"/>
        <w:ind w:left="360" w:hanging="360"/>
        <w:jc w:val="both"/>
        <w:rPr>
          <w:rFonts w:ascii="Arial" w:eastAsia="Times New Roman" w:hAnsi="Arial" w:cs="Arial"/>
          <w:lang w:val="es-CO"/>
        </w:rPr>
      </w:pPr>
      <w:r w:rsidRPr="00200E72">
        <w:rPr>
          <w:rFonts w:ascii="Arial" w:eastAsia="Times New Roman" w:hAnsi="Arial" w:cs="Arial"/>
          <w:b/>
          <w:bCs/>
          <w:bdr w:val="none" w:sz="0" w:space="0" w:color="auto" w:frame="1"/>
          <w:lang w:val="es-CO"/>
        </w:rPr>
        <w:t>4.     Daño a los bienes jurídicos de especial protección constitucional: </w:t>
      </w:r>
      <w:r w:rsidR="00673D81" w:rsidRPr="00200E72">
        <w:rPr>
          <w:rFonts w:ascii="Arial" w:eastAsia="Times New Roman" w:hAnsi="Arial" w:cs="Arial"/>
          <w:bdr w:val="none" w:sz="0" w:space="0" w:color="auto" w:frame="1"/>
          <w:lang w:val="es-CO"/>
        </w:rPr>
        <w:t>N</w:t>
      </w:r>
      <w:r w:rsidRPr="00200E72">
        <w:rPr>
          <w:rFonts w:ascii="Arial" w:eastAsia="Times New Roman" w:hAnsi="Arial" w:cs="Arial"/>
          <w:bdr w:val="none" w:sz="0" w:space="0" w:color="auto" w:frame="1"/>
          <w:lang w:val="es-CO"/>
        </w:rPr>
        <w:t>o se reconoce suma alguna, porque la sentencia SP6029-2017 proferida por la corte suprema de justicia establece que el objetivo de esta tipología de perjuicio es restablecer plenamente a la víctima en el ejercicio de sus derechos lo cual implica una reparación simbólica y no de carácter patrimonial. </w:t>
      </w:r>
    </w:p>
    <w:p w14:paraId="716A0F11" w14:textId="77777777" w:rsidR="00D044B7" w:rsidRPr="00200E72" w:rsidRDefault="00D044B7">
      <w:pPr>
        <w:shd w:val="clear" w:color="auto" w:fill="FFFFFF"/>
        <w:spacing w:after="0" w:line="360" w:lineRule="auto"/>
        <w:ind w:left="720"/>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0CD0F258" w14:textId="05007BE4" w:rsidR="00D044B7" w:rsidRPr="00200E72" w:rsidRDefault="00D044B7">
      <w:pPr>
        <w:shd w:val="clear" w:color="auto" w:fill="FFFFFF"/>
        <w:spacing w:after="0" w:line="360" w:lineRule="auto"/>
        <w:ind w:left="360" w:hanging="360"/>
        <w:jc w:val="both"/>
        <w:rPr>
          <w:rFonts w:ascii="Arial" w:eastAsia="Times New Roman" w:hAnsi="Arial" w:cs="Arial"/>
          <w:lang w:val="es-CO"/>
        </w:rPr>
      </w:pPr>
      <w:r w:rsidRPr="00200E72">
        <w:rPr>
          <w:rFonts w:ascii="Arial" w:eastAsia="Times New Roman" w:hAnsi="Arial" w:cs="Arial"/>
          <w:b/>
          <w:bCs/>
          <w:bdr w:val="none" w:sz="0" w:space="0" w:color="auto" w:frame="1"/>
          <w:lang w:val="es-CO"/>
        </w:rPr>
        <w:t>5.     Daño a la pérdida de oportunidad: </w:t>
      </w:r>
      <w:r w:rsidR="00673D81" w:rsidRPr="00200E72">
        <w:rPr>
          <w:rFonts w:ascii="Arial" w:eastAsia="Times New Roman" w:hAnsi="Arial" w:cs="Arial"/>
          <w:bdr w:val="none" w:sz="0" w:space="0" w:color="auto" w:frame="1"/>
          <w:lang w:val="es-CO"/>
        </w:rPr>
        <w:t>N</w:t>
      </w:r>
      <w:r w:rsidRPr="00200E72">
        <w:rPr>
          <w:rFonts w:ascii="Arial" w:eastAsia="Times New Roman" w:hAnsi="Arial" w:cs="Arial"/>
          <w:bdr w:val="none" w:sz="0" w:space="0" w:color="auto" w:frame="1"/>
          <w:lang w:val="es-CO"/>
        </w:rPr>
        <w:t>o se reconoce suma alguna pues no es una tipología de perjuicio autónomo, toda vez que, la Corte Suprema de Justicia en sentencia proferida al interior del expediente 08001-3103-008-1994-26630-0 el 28 de agosto de 2013, estableció que no hay 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solicitud de las tipologías de perjuicio reconocidas por la Corte </w:t>
      </w:r>
    </w:p>
    <w:p w14:paraId="46EDD47D" w14:textId="77777777" w:rsidR="00D044B7" w:rsidRPr="00200E72" w:rsidRDefault="00D044B7">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2CFD93EE" w14:textId="77777777" w:rsidR="00D044B7" w:rsidRPr="00200E72" w:rsidRDefault="00D044B7">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
          <w:bCs/>
          <w:bdr w:val="none" w:sz="0" w:space="0" w:color="auto" w:frame="1"/>
          <w:lang w:val="es-CO"/>
        </w:rPr>
        <w:lastRenderedPageBreak/>
        <w:t>Análisis en relación con la póliza:</w:t>
      </w:r>
      <w:r w:rsidRPr="00200E72">
        <w:rPr>
          <w:rFonts w:ascii="Arial" w:eastAsia="Times New Roman" w:hAnsi="Arial" w:cs="Arial"/>
          <w:bdr w:val="none" w:sz="0" w:space="0" w:color="auto" w:frame="1"/>
          <w:lang w:val="es-CO"/>
        </w:rPr>
        <w:t> El monto asegurado pa</w:t>
      </w:r>
      <w:r w:rsidR="00B335E4" w:rsidRPr="00200E72">
        <w:rPr>
          <w:rFonts w:ascii="Arial" w:eastAsia="Times New Roman" w:hAnsi="Arial" w:cs="Arial"/>
          <w:bdr w:val="none" w:sz="0" w:space="0" w:color="auto" w:frame="1"/>
          <w:lang w:val="es-CO"/>
        </w:rPr>
        <w:t xml:space="preserve">ra el amparo de responsabilidad </w:t>
      </w:r>
      <w:r w:rsidRPr="00200E72">
        <w:rPr>
          <w:rFonts w:ascii="Arial" w:eastAsia="Times New Roman" w:hAnsi="Arial" w:cs="Arial"/>
          <w:bdr w:val="none" w:sz="0" w:space="0" w:color="auto" w:frame="1"/>
          <w:lang w:val="es-CO"/>
        </w:rPr>
        <w:t>civil extracontractual es de $3.000.000.000, sin deducible o sublímite. En ese sentido, el valor asegurado cubre en su totalidad la liquidación objetiva de perjuicios.</w:t>
      </w:r>
      <w:r w:rsidRPr="00200E72">
        <w:rPr>
          <w:rFonts w:ascii="Arial" w:eastAsia="Times New Roman" w:hAnsi="Arial" w:cs="Arial"/>
          <w:b/>
          <w:bCs/>
          <w:bdr w:val="none" w:sz="0" w:space="0" w:color="auto" w:frame="1"/>
          <w:lang w:val="es-CO"/>
        </w:rPr>
        <w:t>  </w:t>
      </w:r>
    </w:p>
    <w:p w14:paraId="1720E71B" w14:textId="06122EBE" w:rsidR="00D044B7" w:rsidRDefault="00D044B7">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ES"/>
        </w:rPr>
        <w:t> </w:t>
      </w:r>
      <w:r w:rsidRPr="00200E72">
        <w:rPr>
          <w:rFonts w:ascii="Arial" w:eastAsia="Times New Roman" w:hAnsi="Arial" w:cs="Arial"/>
          <w:bdr w:val="none" w:sz="0" w:space="0" w:color="auto" w:frame="1"/>
          <w:lang w:val="es-CO"/>
        </w:rPr>
        <w:t> </w:t>
      </w:r>
    </w:p>
    <w:p w14:paraId="0297D83D" w14:textId="77777777" w:rsidR="00F142EE" w:rsidRPr="00200E72" w:rsidRDefault="00F142EE">
      <w:pPr>
        <w:shd w:val="clear" w:color="auto" w:fill="FFFFFF"/>
        <w:spacing w:after="0" w:line="360" w:lineRule="auto"/>
        <w:jc w:val="both"/>
        <w:rPr>
          <w:rFonts w:ascii="Arial" w:eastAsia="Times New Roman" w:hAnsi="Arial" w:cs="Arial"/>
          <w:lang w:val="es-CO"/>
        </w:rPr>
      </w:pPr>
    </w:p>
    <w:p w14:paraId="0A1F06A1" w14:textId="77777777" w:rsidR="00F142EE" w:rsidRPr="00200E72" w:rsidRDefault="00F142EE" w:rsidP="00F142EE">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
          <w:bCs/>
          <w:u w:val="single"/>
          <w:bdr w:val="none" w:sz="0" w:space="0" w:color="auto" w:frame="1"/>
          <w:lang w:val="es-CO"/>
        </w:rPr>
        <w:t>CALIFICACIÓN DE LA CONTINGENCIA</w:t>
      </w:r>
    </w:p>
    <w:p w14:paraId="634E0C61" w14:textId="77777777" w:rsidR="00F142EE" w:rsidRPr="00200E72" w:rsidRDefault="00F142EE" w:rsidP="00F142EE">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443DC06D" w14:textId="77777777" w:rsidR="00F142EE" w:rsidRPr="00200E72" w:rsidRDefault="00F142EE" w:rsidP="00F142EE">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La contingencia se califica como probable, ya que el contrato de seguro presta cobertura material y temporal, y además la responsabilidad de asegurado está demostrada.  </w:t>
      </w:r>
    </w:p>
    <w:p w14:paraId="100BF19D" w14:textId="77777777" w:rsidR="00F142EE" w:rsidRPr="00200E72" w:rsidRDefault="00F142EE" w:rsidP="00F142EE">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3540C99C" w14:textId="77777777" w:rsidR="00F142EE" w:rsidRPr="00200E72" w:rsidRDefault="00F142EE" w:rsidP="00F142EE">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Lo primero que debe tenerse en cuenta es que, la póliza No. 4216729 cuya tomadora y asegurada es la señora Elizabeth Perea Martínez, presta cobertura material y temporal de conformidad con los hechos y pretensiones expuestas en el escrito de demanda. Frente a la </w:t>
      </w:r>
      <w:r w:rsidRPr="00200E72">
        <w:rPr>
          <w:rFonts w:ascii="Arial" w:eastAsia="Times New Roman" w:hAnsi="Arial" w:cs="Arial"/>
          <w:b/>
          <w:bCs/>
          <w:u w:val="single"/>
          <w:bdr w:val="none" w:sz="0" w:space="0" w:color="auto" w:frame="1"/>
          <w:lang w:val="es-CO"/>
        </w:rPr>
        <w:t>cobertura temporal,</w:t>
      </w:r>
      <w:r w:rsidRPr="00200E72">
        <w:rPr>
          <w:rFonts w:ascii="Arial" w:eastAsia="Times New Roman" w:hAnsi="Arial" w:cs="Arial"/>
          <w:bdr w:val="none" w:sz="0" w:space="0" w:color="auto" w:frame="1"/>
          <w:lang w:val="es-CO"/>
        </w:rPr>
        <w:t> debe decirse que, la misma tenía una vigencia comprendida entre el 06 de octubre de 2021 y el 06 de octubre de 2022 en modalidad ocurrencia, y los hechos objeto de la presente demanda se presentaron el 23 de diciembre de 2021, es decir durante la vigencia del aseguramiento. Respecto a la </w:t>
      </w:r>
      <w:r w:rsidRPr="00200E72">
        <w:rPr>
          <w:rFonts w:ascii="Arial" w:eastAsia="Times New Roman" w:hAnsi="Arial" w:cs="Arial"/>
          <w:b/>
          <w:bCs/>
          <w:u w:val="single"/>
          <w:bdr w:val="none" w:sz="0" w:space="0" w:color="auto" w:frame="1"/>
          <w:lang w:val="es-CO"/>
        </w:rPr>
        <w:t>cobertura material</w:t>
      </w:r>
      <w:r w:rsidRPr="00200E72">
        <w:rPr>
          <w:rFonts w:ascii="Arial" w:eastAsia="Times New Roman" w:hAnsi="Arial" w:cs="Arial"/>
          <w:bdr w:val="none" w:sz="0" w:space="0" w:color="auto" w:frame="1"/>
          <w:lang w:val="es-CO"/>
        </w:rPr>
        <w:t>, también se presenta en este caso, ya que ampara la responsabilidad civil extracontractual, la cual se circunscribe a lo pretendido por el demandante al incoar la presente demanda.  </w:t>
      </w:r>
    </w:p>
    <w:p w14:paraId="11833AA5" w14:textId="77777777" w:rsidR="00F142EE" w:rsidRPr="00200E72" w:rsidRDefault="00F142EE" w:rsidP="00F142EE">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  </w:t>
      </w:r>
    </w:p>
    <w:p w14:paraId="726D7EAA" w14:textId="77777777" w:rsidR="00F142EE" w:rsidRPr="00200E72" w:rsidRDefault="00F142EE" w:rsidP="00F142EE">
      <w:pPr>
        <w:shd w:val="clear" w:color="auto" w:fill="FFFFFF"/>
        <w:spacing w:after="0" w:line="360" w:lineRule="auto"/>
        <w:jc w:val="both"/>
        <w:rPr>
          <w:rFonts w:ascii="Arial" w:eastAsia="Times New Roman" w:hAnsi="Arial" w:cs="Arial"/>
          <w:bdr w:val="none" w:sz="0" w:space="0" w:color="auto" w:frame="1"/>
          <w:lang w:val="es-CO"/>
        </w:rPr>
      </w:pPr>
      <w:r w:rsidRPr="00200E72">
        <w:rPr>
          <w:rFonts w:ascii="Arial" w:eastAsia="Times New Roman" w:hAnsi="Arial" w:cs="Arial"/>
          <w:bdr w:val="none" w:sz="0" w:space="0" w:color="auto" w:frame="1"/>
          <w:lang w:val="es-CO"/>
        </w:rPr>
        <w:t>En segundo lugar, lo anterior debe mirarse de forma conjunta con la responsabilidad del asegurado la cual se encuentra demostrada a partir del IPAT y del croquis del accidente. Así las cosas, en el informe de accidente realizado por la autoridad correspondiente, se consignó y atribuyó como causa ÚNICA del accidente de tránsito al conductor del vehículo asegurado el código No. 127 “</w:t>
      </w:r>
      <w:r w:rsidRPr="00200E72">
        <w:rPr>
          <w:rFonts w:ascii="Arial" w:eastAsia="Times New Roman" w:hAnsi="Arial" w:cs="Arial"/>
          <w:i/>
          <w:iCs/>
          <w:bdr w:val="none" w:sz="0" w:space="0" w:color="auto" w:frame="1"/>
          <w:lang w:val="es-CO"/>
        </w:rPr>
        <w:t>transitar en contravía”, </w:t>
      </w:r>
      <w:r w:rsidRPr="00200E72">
        <w:rPr>
          <w:rFonts w:ascii="Arial" w:eastAsia="Times New Roman" w:hAnsi="Arial" w:cs="Arial"/>
          <w:bdr w:val="none" w:sz="0" w:space="0" w:color="auto" w:frame="1"/>
          <w:lang w:val="es-CO"/>
        </w:rPr>
        <w:t>adicionalmente, en el documento actuación del primer responsable -FPJ-04 se deja consignado por el oficial que el vehículo asegurado iba a alta velocidad.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 </w:t>
      </w:r>
    </w:p>
    <w:p w14:paraId="6DA13ED5" w14:textId="77777777" w:rsidR="00F142EE" w:rsidRPr="00200E72" w:rsidRDefault="00F142EE" w:rsidP="00F142EE">
      <w:pPr>
        <w:shd w:val="clear" w:color="auto" w:fill="FFFFFF"/>
        <w:spacing w:after="0" w:line="360" w:lineRule="auto"/>
        <w:jc w:val="both"/>
        <w:rPr>
          <w:rFonts w:ascii="Arial" w:eastAsia="Times New Roman" w:hAnsi="Arial" w:cs="Arial"/>
          <w:lang w:val="es-CO"/>
        </w:rPr>
      </w:pPr>
    </w:p>
    <w:p w14:paraId="5DF473FA" w14:textId="77777777" w:rsidR="00F142EE" w:rsidRPr="00200E72" w:rsidRDefault="00F142EE" w:rsidP="00F142EE">
      <w:pPr>
        <w:shd w:val="clear" w:color="auto" w:fill="FFFFFF"/>
        <w:spacing w:after="0" w:line="360" w:lineRule="auto"/>
        <w:jc w:val="both"/>
        <w:rPr>
          <w:rFonts w:ascii="Arial" w:eastAsia="Times New Roman" w:hAnsi="Arial" w:cs="Arial"/>
          <w:lang w:val="es-CO"/>
        </w:rPr>
      </w:pPr>
      <w:r w:rsidRPr="00200E72">
        <w:rPr>
          <w:rFonts w:ascii="Arial" w:eastAsia="Times New Roman" w:hAnsi="Arial" w:cs="Arial"/>
          <w:bdr w:val="none" w:sz="0" w:space="0" w:color="auto" w:frame="1"/>
          <w:lang w:val="es-CO"/>
        </w:rPr>
        <w:t>Lo esgrimido sin perjuicio del carácter contingente del proceso.  </w:t>
      </w:r>
    </w:p>
    <w:p w14:paraId="644EC1E3" w14:textId="77777777" w:rsidR="007522BE" w:rsidRPr="00200E72" w:rsidRDefault="007522BE">
      <w:pPr>
        <w:spacing w:after="0" w:line="360" w:lineRule="auto"/>
        <w:jc w:val="both"/>
        <w:rPr>
          <w:rFonts w:ascii="Arial" w:hAnsi="Arial" w:cs="Arial"/>
          <w:lang w:val="es-CO"/>
        </w:rPr>
      </w:pPr>
    </w:p>
    <w:sectPr w:rsidR="007522BE" w:rsidRPr="00200E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AC6"/>
    <w:multiLevelType w:val="hybridMultilevel"/>
    <w:tmpl w:val="5C7A22C4"/>
    <w:lvl w:ilvl="0" w:tplc="D926029C">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533364"/>
    <w:multiLevelType w:val="hybridMultilevel"/>
    <w:tmpl w:val="8AFA1BD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6E4BEA"/>
    <w:multiLevelType w:val="hybridMultilevel"/>
    <w:tmpl w:val="CA68A354"/>
    <w:lvl w:ilvl="0" w:tplc="6E6A49C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AE15DD2"/>
    <w:multiLevelType w:val="hybridMultilevel"/>
    <w:tmpl w:val="9D401C6E"/>
    <w:lvl w:ilvl="0" w:tplc="0B58742E">
      <w:start w:val="1"/>
      <w:numFmt w:val="decimal"/>
      <w:lvlText w:val="%1."/>
      <w:lvlJc w:val="left"/>
      <w:pPr>
        <w:ind w:left="855" w:hanging="49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41567B"/>
    <w:multiLevelType w:val="hybridMultilevel"/>
    <w:tmpl w:val="89DAE6CC"/>
    <w:lvl w:ilvl="0" w:tplc="3C80620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D514A2E"/>
    <w:multiLevelType w:val="hybridMultilevel"/>
    <w:tmpl w:val="1F787FB2"/>
    <w:lvl w:ilvl="0" w:tplc="0B669DF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A370BEF"/>
    <w:multiLevelType w:val="multilevel"/>
    <w:tmpl w:val="169A6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A27E7"/>
    <w:multiLevelType w:val="hybridMultilevel"/>
    <w:tmpl w:val="3B686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FF2908"/>
    <w:multiLevelType w:val="multilevel"/>
    <w:tmpl w:val="C7ACC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062317">
    <w:abstractNumId w:val="6"/>
  </w:num>
  <w:num w:numId="2" w16cid:durableId="652758682">
    <w:abstractNumId w:val="8"/>
  </w:num>
  <w:num w:numId="3" w16cid:durableId="1329141128">
    <w:abstractNumId w:val="3"/>
  </w:num>
  <w:num w:numId="4" w16cid:durableId="36664689">
    <w:abstractNumId w:val="7"/>
  </w:num>
  <w:num w:numId="5" w16cid:durableId="633023892">
    <w:abstractNumId w:val="0"/>
  </w:num>
  <w:num w:numId="6" w16cid:durableId="1212960095">
    <w:abstractNumId w:val="1"/>
  </w:num>
  <w:num w:numId="7" w16cid:durableId="2071611638">
    <w:abstractNumId w:val="4"/>
  </w:num>
  <w:num w:numId="8" w16cid:durableId="2067684211">
    <w:abstractNumId w:val="5"/>
  </w:num>
  <w:num w:numId="9" w16cid:durableId="147772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B7"/>
    <w:rsid w:val="000A3100"/>
    <w:rsid w:val="000B5913"/>
    <w:rsid w:val="000B7428"/>
    <w:rsid w:val="000F6125"/>
    <w:rsid w:val="0010483E"/>
    <w:rsid w:val="001069C4"/>
    <w:rsid w:val="00132A85"/>
    <w:rsid w:val="00132AD6"/>
    <w:rsid w:val="00157E13"/>
    <w:rsid w:val="001A7BFE"/>
    <w:rsid w:val="001A7F7F"/>
    <w:rsid w:val="001D1196"/>
    <w:rsid w:val="00200E72"/>
    <w:rsid w:val="00220318"/>
    <w:rsid w:val="0023306D"/>
    <w:rsid w:val="00252C6A"/>
    <w:rsid w:val="002838A5"/>
    <w:rsid w:val="002C59A8"/>
    <w:rsid w:val="00307A20"/>
    <w:rsid w:val="00373BAD"/>
    <w:rsid w:val="003753A1"/>
    <w:rsid w:val="00396937"/>
    <w:rsid w:val="003B1BAB"/>
    <w:rsid w:val="003E1BED"/>
    <w:rsid w:val="00433FD2"/>
    <w:rsid w:val="004913D8"/>
    <w:rsid w:val="004B6164"/>
    <w:rsid w:val="004E28F4"/>
    <w:rsid w:val="00510180"/>
    <w:rsid w:val="00595713"/>
    <w:rsid w:val="005C4CC1"/>
    <w:rsid w:val="0060235B"/>
    <w:rsid w:val="00620E6B"/>
    <w:rsid w:val="00655290"/>
    <w:rsid w:val="00673D81"/>
    <w:rsid w:val="00686067"/>
    <w:rsid w:val="00687307"/>
    <w:rsid w:val="00697419"/>
    <w:rsid w:val="00717B5E"/>
    <w:rsid w:val="007509C3"/>
    <w:rsid w:val="007522BE"/>
    <w:rsid w:val="007630A8"/>
    <w:rsid w:val="0077705D"/>
    <w:rsid w:val="0078444B"/>
    <w:rsid w:val="007849F5"/>
    <w:rsid w:val="00801601"/>
    <w:rsid w:val="00883964"/>
    <w:rsid w:val="008A51D7"/>
    <w:rsid w:val="008B54D0"/>
    <w:rsid w:val="008D0296"/>
    <w:rsid w:val="008D0FA7"/>
    <w:rsid w:val="008D619F"/>
    <w:rsid w:val="008E2F04"/>
    <w:rsid w:val="00980292"/>
    <w:rsid w:val="009F6C93"/>
    <w:rsid w:val="00A04C5F"/>
    <w:rsid w:val="00A2146A"/>
    <w:rsid w:val="00A269A6"/>
    <w:rsid w:val="00A46811"/>
    <w:rsid w:val="00A74C96"/>
    <w:rsid w:val="00A85A81"/>
    <w:rsid w:val="00AE652C"/>
    <w:rsid w:val="00B335E4"/>
    <w:rsid w:val="00B714E2"/>
    <w:rsid w:val="00BD566A"/>
    <w:rsid w:val="00C27067"/>
    <w:rsid w:val="00C83952"/>
    <w:rsid w:val="00C97D2E"/>
    <w:rsid w:val="00CF0B6D"/>
    <w:rsid w:val="00CF553F"/>
    <w:rsid w:val="00D044B7"/>
    <w:rsid w:val="00D05FAC"/>
    <w:rsid w:val="00D336D9"/>
    <w:rsid w:val="00D60E83"/>
    <w:rsid w:val="00D632F4"/>
    <w:rsid w:val="00DD1421"/>
    <w:rsid w:val="00DD6B6C"/>
    <w:rsid w:val="00E37460"/>
    <w:rsid w:val="00EA7858"/>
    <w:rsid w:val="00EF6574"/>
    <w:rsid w:val="00F10CCB"/>
    <w:rsid w:val="00F142EE"/>
    <w:rsid w:val="00F1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D77D"/>
  <w15:chartTrackingRefBased/>
  <w15:docId w15:val="{90256E2F-6C83-4984-B1FF-6D9B581E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msonormal">
    <w:name w:val="x_x_msonormal"/>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Fuentedeprrafopredeter"/>
    <w:rsid w:val="00D044B7"/>
  </w:style>
  <w:style w:type="paragraph" w:customStyle="1" w:styleId="xxmsolistparagraph">
    <w:name w:val="x_x_msolistparagraph"/>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7705D"/>
    <w:pPr>
      <w:ind w:left="720"/>
      <w:contextualSpacing/>
    </w:pPr>
  </w:style>
  <w:style w:type="character" w:styleId="Refdecomentario">
    <w:name w:val="annotation reference"/>
    <w:basedOn w:val="Fuentedeprrafopredeter"/>
    <w:uiPriority w:val="99"/>
    <w:semiHidden/>
    <w:unhideWhenUsed/>
    <w:rsid w:val="00396937"/>
    <w:rPr>
      <w:sz w:val="16"/>
      <w:szCs w:val="16"/>
    </w:rPr>
  </w:style>
  <w:style w:type="paragraph" w:styleId="Textocomentario">
    <w:name w:val="annotation text"/>
    <w:basedOn w:val="Normal"/>
    <w:link w:val="TextocomentarioCar"/>
    <w:uiPriority w:val="99"/>
    <w:semiHidden/>
    <w:unhideWhenUsed/>
    <w:rsid w:val="003969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937"/>
    <w:rPr>
      <w:sz w:val="20"/>
      <w:szCs w:val="20"/>
    </w:rPr>
  </w:style>
  <w:style w:type="paragraph" w:styleId="Asuntodelcomentario">
    <w:name w:val="annotation subject"/>
    <w:basedOn w:val="Textocomentario"/>
    <w:next w:val="Textocomentario"/>
    <w:link w:val="AsuntodelcomentarioCar"/>
    <w:uiPriority w:val="99"/>
    <w:semiHidden/>
    <w:unhideWhenUsed/>
    <w:rsid w:val="00396937"/>
    <w:rPr>
      <w:b/>
      <w:bCs/>
    </w:rPr>
  </w:style>
  <w:style w:type="character" w:customStyle="1" w:styleId="AsuntodelcomentarioCar">
    <w:name w:val="Asunto del comentario Car"/>
    <w:basedOn w:val="TextocomentarioCar"/>
    <w:link w:val="Asuntodelcomentario"/>
    <w:uiPriority w:val="99"/>
    <w:semiHidden/>
    <w:rsid w:val="00396937"/>
    <w:rPr>
      <w:b/>
      <w:bCs/>
      <w:sz w:val="20"/>
      <w:szCs w:val="20"/>
    </w:rPr>
  </w:style>
  <w:style w:type="paragraph" w:styleId="Textodeglobo">
    <w:name w:val="Balloon Text"/>
    <w:basedOn w:val="Normal"/>
    <w:link w:val="TextodegloboCar"/>
    <w:uiPriority w:val="99"/>
    <w:semiHidden/>
    <w:unhideWhenUsed/>
    <w:rsid w:val="003969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937"/>
    <w:rPr>
      <w:rFonts w:ascii="Segoe UI" w:hAnsi="Segoe UI" w:cs="Segoe UI"/>
      <w:sz w:val="18"/>
      <w:szCs w:val="18"/>
    </w:rPr>
  </w:style>
  <w:style w:type="paragraph" w:styleId="Revisin">
    <w:name w:val="Revision"/>
    <w:hidden/>
    <w:uiPriority w:val="99"/>
    <w:semiHidden/>
    <w:rsid w:val="00763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07639">
      <w:bodyDiv w:val="1"/>
      <w:marLeft w:val="0"/>
      <w:marRight w:val="0"/>
      <w:marTop w:val="0"/>
      <w:marBottom w:val="0"/>
      <w:divBdr>
        <w:top w:val="none" w:sz="0" w:space="0" w:color="auto"/>
        <w:left w:val="none" w:sz="0" w:space="0" w:color="auto"/>
        <w:bottom w:val="none" w:sz="0" w:space="0" w:color="auto"/>
        <w:right w:val="none" w:sz="0" w:space="0" w:color="auto"/>
      </w:divBdr>
    </w:div>
    <w:div w:id="13701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C607C-12E7-4C25-81E9-60A655E4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2083</Words>
  <Characters>11461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Mariana Rubio</cp:lastModifiedBy>
  <cp:revision>2</cp:revision>
  <dcterms:created xsi:type="dcterms:W3CDTF">2024-06-06T18:47:00Z</dcterms:created>
  <dcterms:modified xsi:type="dcterms:W3CDTF">2024-06-06T18:47:00Z</dcterms:modified>
</cp:coreProperties>
</file>