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C24E5"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
          <w:bCs/>
          <w:bdr w:val="none" w:sz="0" w:space="0" w:color="auto" w:frame="1"/>
          <w:lang w:val="es-CO"/>
        </w:rPr>
        <w:t>Radicado: </w:t>
      </w:r>
      <w:r w:rsidRPr="00D336D9">
        <w:rPr>
          <w:rFonts w:ascii="Arial" w:eastAsia="Times New Roman" w:hAnsi="Arial" w:cs="Arial"/>
          <w:bdr w:val="none" w:sz="0" w:space="0" w:color="auto" w:frame="1"/>
          <w:lang w:val="es-CO"/>
        </w:rPr>
        <w:t>760013103009</w:t>
      </w:r>
      <w:r w:rsidRPr="00D336D9">
        <w:rPr>
          <w:rFonts w:ascii="Arial" w:eastAsia="Times New Roman" w:hAnsi="Arial" w:cs="Arial"/>
          <w:b/>
          <w:bCs/>
          <w:bdr w:val="none" w:sz="0" w:space="0" w:color="auto" w:frame="1"/>
          <w:lang w:val="es-CO"/>
        </w:rPr>
        <w:t>-</w:t>
      </w:r>
      <w:r w:rsidRPr="00D336D9">
        <w:rPr>
          <w:rFonts w:ascii="Arial" w:eastAsia="Times New Roman" w:hAnsi="Arial" w:cs="Arial"/>
          <w:b/>
          <w:bCs/>
          <w:u w:val="single"/>
          <w:bdr w:val="none" w:sz="0" w:space="0" w:color="auto" w:frame="1"/>
          <w:lang w:val="es-CO"/>
        </w:rPr>
        <w:t>2022-00324</w:t>
      </w:r>
      <w:r w:rsidRPr="00D336D9">
        <w:rPr>
          <w:rFonts w:ascii="Arial" w:eastAsia="Times New Roman" w:hAnsi="Arial" w:cs="Arial"/>
          <w:b/>
          <w:bCs/>
          <w:bdr w:val="none" w:sz="0" w:space="0" w:color="auto" w:frame="1"/>
          <w:lang w:val="es-CO"/>
        </w:rPr>
        <w:t>-</w:t>
      </w:r>
      <w:r w:rsidRPr="00D336D9">
        <w:rPr>
          <w:rFonts w:ascii="Arial" w:eastAsia="Times New Roman" w:hAnsi="Arial" w:cs="Arial"/>
          <w:bdr w:val="none" w:sz="0" w:space="0" w:color="auto" w:frame="1"/>
          <w:lang w:val="es-CO"/>
        </w:rPr>
        <w:t>00 </w:t>
      </w:r>
    </w:p>
    <w:p w14:paraId="5DC008C8"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
          <w:bCs/>
          <w:bdr w:val="none" w:sz="0" w:space="0" w:color="auto" w:frame="1"/>
          <w:lang w:val="es-CO"/>
        </w:rPr>
        <w:t> </w:t>
      </w:r>
      <w:r w:rsidRPr="00D336D9">
        <w:rPr>
          <w:rFonts w:ascii="Arial" w:eastAsia="Times New Roman" w:hAnsi="Arial" w:cs="Arial"/>
          <w:bdr w:val="none" w:sz="0" w:space="0" w:color="auto" w:frame="1"/>
          <w:lang w:val="es-CO"/>
        </w:rPr>
        <w:t>  </w:t>
      </w:r>
    </w:p>
    <w:p w14:paraId="2B1DC536"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
          <w:bCs/>
          <w:bdr w:val="none" w:sz="0" w:space="0" w:color="auto" w:frame="1"/>
          <w:lang w:val="es-CO"/>
        </w:rPr>
        <w:t>Juzgado: Juzgado Noveno (09) Civil del Circuito de Cali</w:t>
      </w:r>
      <w:r w:rsidRPr="00D336D9">
        <w:rPr>
          <w:rFonts w:ascii="Arial" w:eastAsia="Times New Roman" w:hAnsi="Arial" w:cs="Arial"/>
          <w:bdr w:val="none" w:sz="0" w:space="0" w:color="auto" w:frame="1"/>
          <w:lang w:val="es-CO"/>
        </w:rPr>
        <w:t> </w:t>
      </w:r>
    </w:p>
    <w:p w14:paraId="30237951"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ES"/>
        </w:rPr>
        <w:t> </w:t>
      </w:r>
      <w:r w:rsidRPr="00D336D9">
        <w:rPr>
          <w:rFonts w:ascii="Arial" w:eastAsia="Times New Roman" w:hAnsi="Arial" w:cs="Arial"/>
          <w:bdr w:val="none" w:sz="0" w:space="0" w:color="auto" w:frame="1"/>
          <w:lang w:val="es-CO"/>
        </w:rPr>
        <w:t>  </w:t>
      </w:r>
    </w:p>
    <w:p w14:paraId="5BF1E3F4"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
          <w:bCs/>
          <w:bdr w:val="none" w:sz="0" w:space="0" w:color="auto" w:frame="1"/>
          <w:lang w:val="es-ES"/>
        </w:rPr>
        <w:t>Demandante:</w:t>
      </w:r>
      <w:r w:rsidRPr="00D336D9">
        <w:rPr>
          <w:rFonts w:ascii="Arial" w:eastAsia="Times New Roman" w:hAnsi="Arial" w:cs="Arial"/>
          <w:b/>
          <w:bCs/>
          <w:bdr w:val="none" w:sz="0" w:space="0" w:color="auto" w:frame="1"/>
          <w:lang w:val="es-CO"/>
        </w:rPr>
        <w:t> </w:t>
      </w:r>
      <w:r w:rsidRPr="00D336D9">
        <w:rPr>
          <w:rFonts w:ascii="Arial" w:eastAsia="Times New Roman" w:hAnsi="Arial" w:cs="Arial"/>
          <w:bdr w:val="none" w:sz="0" w:space="0" w:color="auto" w:frame="1"/>
          <w:lang w:val="es-CO"/>
        </w:rPr>
        <w:t> </w:t>
      </w:r>
    </w:p>
    <w:p w14:paraId="69C2E513"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
          <w:bCs/>
          <w:bdr w:val="none" w:sz="0" w:space="0" w:color="auto" w:frame="1"/>
          <w:lang w:val="es-CO"/>
        </w:rPr>
        <w:t> </w:t>
      </w:r>
      <w:r w:rsidRPr="00D336D9">
        <w:rPr>
          <w:rFonts w:ascii="Arial" w:eastAsia="Times New Roman" w:hAnsi="Arial" w:cs="Arial"/>
          <w:bdr w:val="none" w:sz="0" w:space="0" w:color="auto" w:frame="1"/>
          <w:lang w:val="es-CO"/>
        </w:rPr>
        <w:t> </w:t>
      </w:r>
    </w:p>
    <w:p w14:paraId="74DAF725"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JIMMY ANDRÉS GÓMEZ (VÍCTIMA) </w:t>
      </w:r>
    </w:p>
    <w:p w14:paraId="0F484034"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MARÍA JULIANA GÓMEZ GONZÁLEZ (HIJA) </w:t>
      </w:r>
    </w:p>
    <w:p w14:paraId="61D3C4CF"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JUÁN FELIPE GÓMEZ GONZÁLEZ (HIJO) </w:t>
      </w:r>
    </w:p>
    <w:p w14:paraId="143222B4"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NURY ALEJANDRA GONZÁLEZ (COMPAÑERA) </w:t>
      </w:r>
    </w:p>
    <w:p w14:paraId="6269FD46"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EMMA ESPERANZA GÓMEZ GÓMEZ (MADRE) </w:t>
      </w:r>
    </w:p>
    <w:p w14:paraId="172654E0"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NILSA YURLANDY NUPAN GÓMEZ (HERMANA) </w:t>
      </w:r>
    </w:p>
    <w:p w14:paraId="3492E52D"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w:t>
      </w:r>
    </w:p>
    <w:p w14:paraId="026EB3FC"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
          <w:bCs/>
          <w:bdr w:val="none" w:sz="0" w:space="0" w:color="auto" w:frame="1"/>
          <w:lang w:val="es-CO"/>
        </w:rPr>
        <w:t>Demandados:  </w:t>
      </w:r>
      <w:r w:rsidRPr="00D336D9">
        <w:rPr>
          <w:rFonts w:ascii="Arial" w:eastAsia="Times New Roman" w:hAnsi="Arial" w:cs="Arial"/>
          <w:bdr w:val="none" w:sz="0" w:space="0" w:color="auto" w:frame="1"/>
          <w:lang w:val="es-CO"/>
        </w:rPr>
        <w:t> </w:t>
      </w:r>
    </w:p>
    <w:p w14:paraId="6BFB8CB5"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w:t>
      </w:r>
    </w:p>
    <w:p w14:paraId="2C51E482"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HDI SEGUROS S.A.   </w:t>
      </w:r>
    </w:p>
    <w:p w14:paraId="5CB8173B"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VÍCTOR VICENTE MORENO GALVIS </w:t>
      </w:r>
    </w:p>
    <w:p w14:paraId="1D6021A1"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ELIZABETH PEREA MARTÍNEZ </w:t>
      </w:r>
    </w:p>
    <w:p w14:paraId="0BF6E63F"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w:t>
      </w:r>
    </w:p>
    <w:p w14:paraId="19EBC0AD"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w:t>
      </w:r>
    </w:p>
    <w:p w14:paraId="044B72C2"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Fecha Hechos: 23 de diciembre de 2021</w:t>
      </w:r>
      <w:r w:rsidRPr="00D336D9">
        <w:rPr>
          <w:rFonts w:ascii="Arial" w:eastAsia="Times New Roman" w:hAnsi="Arial" w:cs="Arial"/>
          <w:bdr w:val="none" w:sz="0" w:space="0" w:color="auto" w:frame="1"/>
          <w:lang w:val="es-ES"/>
        </w:rPr>
        <w:t>.</w:t>
      </w:r>
      <w:r w:rsidRPr="00D336D9">
        <w:rPr>
          <w:rFonts w:ascii="Arial" w:eastAsia="Times New Roman" w:hAnsi="Arial" w:cs="Arial"/>
          <w:bdr w:val="none" w:sz="0" w:space="0" w:color="auto" w:frame="1"/>
          <w:lang w:val="es-CO"/>
        </w:rPr>
        <w:t>  </w:t>
      </w:r>
    </w:p>
    <w:p w14:paraId="5D7E4202"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Fecha de Solicitud Audiencia extrajudicial: Se solicitaron medidas cautelares.  </w:t>
      </w:r>
    </w:p>
    <w:p w14:paraId="4FB73625"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ES"/>
        </w:rPr>
        <w:t>Fecha Audiencia de conciliación: </w:t>
      </w:r>
      <w:r w:rsidRPr="00D336D9">
        <w:rPr>
          <w:rFonts w:ascii="Arial" w:eastAsia="Times New Roman" w:hAnsi="Arial" w:cs="Arial"/>
          <w:bdr w:val="none" w:sz="0" w:space="0" w:color="auto" w:frame="1"/>
          <w:lang w:val="es-CO"/>
        </w:rPr>
        <w:t>Se solicitaron medidas cautelares.  </w:t>
      </w:r>
    </w:p>
    <w:p w14:paraId="42A5071A"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w:t>
      </w:r>
    </w:p>
    <w:p w14:paraId="500E4C3B"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w:t>
      </w:r>
    </w:p>
    <w:p w14:paraId="4F8F60D4"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
          <w:bCs/>
          <w:u w:val="single"/>
          <w:bdr w:val="none" w:sz="0" w:space="0" w:color="auto" w:frame="1"/>
          <w:lang w:val="es-ES"/>
        </w:rPr>
        <w:t>Antecedentes del caso</w:t>
      </w:r>
      <w:r w:rsidRPr="00D336D9">
        <w:rPr>
          <w:rFonts w:ascii="Arial" w:eastAsia="Times New Roman" w:hAnsi="Arial" w:cs="Arial"/>
          <w:bdr w:val="none" w:sz="0" w:space="0" w:color="auto" w:frame="1"/>
          <w:lang w:val="es-ES"/>
        </w:rPr>
        <w:t> </w:t>
      </w:r>
      <w:r w:rsidRPr="00D336D9">
        <w:rPr>
          <w:rFonts w:ascii="Arial" w:eastAsia="Times New Roman" w:hAnsi="Arial" w:cs="Arial"/>
          <w:bdr w:val="none" w:sz="0" w:space="0" w:color="auto" w:frame="1"/>
          <w:lang w:val="es-CO"/>
        </w:rPr>
        <w:t>  </w:t>
      </w:r>
    </w:p>
    <w:p w14:paraId="4A828659"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br/>
        <w:t>De conformidad con lo indicado en los hechos de la demanda, el 23 de diciembre de 2021 en carrera 26 con calle 33C, jurisdicción de Cali, Valle del Cauca, ocurrió un accidente de tránsito en el que resultaron involucrados los vehículos de placa KME03E (conducido en el momento de los hechos por Jimmy Andrés Gómez) y de placa IVO794 (conducido por el señor Víctor Vicente Moreno Galvis). </w:t>
      </w:r>
    </w:p>
    <w:p w14:paraId="0C68DC4D"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w:t>
      </w:r>
    </w:p>
    <w:p w14:paraId="2DD832E4"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lastRenderedPageBreak/>
        <w:t>Para la fecha de los hechos, el vehículo de placa IVO794 era propiedad de la señora Elizabeth Perea Martínez y tenía vigente una póliza de responsabilidad civil extracontractual suscrita con la compañía HDI SEGUROS S.A.  </w:t>
      </w:r>
    </w:p>
    <w:p w14:paraId="5A252227"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w:t>
      </w:r>
    </w:p>
    <w:p w14:paraId="5D9C1D64"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Como consecuencia del accidente, el señor Jimmy Gómez sufrió varias lesiones físicas, por lo que, el 05 de marzo 2022, el Instituto Nacional de Medicina Legal y Ciencias Forenses estableció que tenía una deformidad física de carácter permanente, pérdida funcional de miembro inferior derecho por amputación a nivel de tobillo de carácter permanente y perturbación funcional de órgano de sistema de locomoción por amputación a nivel de tobillo derecho de carácter permanente. No obstante, no se aporta dictamen de pérdida de la capacidad laboral. </w:t>
      </w:r>
    </w:p>
    <w:p w14:paraId="49205C65" w14:textId="77777777" w:rsidR="00D044B7" w:rsidRPr="00D336D9" w:rsidRDefault="00D044B7" w:rsidP="00D336D9">
      <w:pPr>
        <w:shd w:val="clear" w:color="auto" w:fill="FFFFFF"/>
        <w:spacing w:after="0" w:line="360" w:lineRule="auto"/>
        <w:jc w:val="both"/>
        <w:rPr>
          <w:rFonts w:ascii="Arial" w:eastAsia="Times New Roman" w:hAnsi="Arial" w:cs="Arial"/>
          <w:bdr w:val="none" w:sz="0" w:space="0" w:color="auto" w:frame="1"/>
          <w:lang w:val="es-CO"/>
        </w:rPr>
      </w:pPr>
      <w:r w:rsidRPr="00D336D9">
        <w:rPr>
          <w:rFonts w:ascii="Arial" w:eastAsia="Times New Roman" w:hAnsi="Arial" w:cs="Arial"/>
          <w:bdr w:val="none" w:sz="0" w:space="0" w:color="auto" w:frame="1"/>
          <w:lang w:val="es-CO"/>
        </w:rPr>
        <w:t> </w:t>
      </w:r>
    </w:p>
    <w:p w14:paraId="79856B13" w14:textId="77777777" w:rsidR="008B54D0" w:rsidRPr="00D336D9" w:rsidRDefault="008B54D0" w:rsidP="00D336D9">
      <w:pPr>
        <w:shd w:val="clear" w:color="auto" w:fill="FFFFFF"/>
        <w:spacing w:after="0" w:line="360" w:lineRule="auto"/>
        <w:jc w:val="both"/>
        <w:rPr>
          <w:rFonts w:ascii="Arial" w:eastAsia="Times New Roman" w:hAnsi="Arial" w:cs="Arial"/>
          <w:lang w:val="es-CO"/>
        </w:rPr>
      </w:pPr>
    </w:p>
    <w:p w14:paraId="0E69B6AF" w14:textId="5106B979"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
          <w:bCs/>
          <w:u w:val="single"/>
          <w:bdr w:val="none" w:sz="0" w:space="0" w:color="auto" w:frame="1"/>
          <w:lang w:val="es-CO"/>
        </w:rPr>
        <w:t>CALIFICACIÓN DE LA CONTINGENCIA</w:t>
      </w:r>
    </w:p>
    <w:p w14:paraId="089217F1"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w:t>
      </w:r>
    </w:p>
    <w:p w14:paraId="67AD2D26"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La contingencia se califica como probable, ya que el contrato de seguro presta cobertura material y temporal, y además la responsabilidad de asegurado está demostrada.  </w:t>
      </w:r>
    </w:p>
    <w:p w14:paraId="79A9F846"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w:t>
      </w:r>
    </w:p>
    <w:p w14:paraId="08A67DBC" w14:textId="0A062B68"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Lo primero que debe tenerse en cuenta es que, la póliza No. 4216729 cuy</w:t>
      </w:r>
      <w:r w:rsidR="008B54D0" w:rsidRPr="00D336D9">
        <w:rPr>
          <w:rFonts w:ascii="Arial" w:eastAsia="Times New Roman" w:hAnsi="Arial" w:cs="Arial"/>
          <w:bdr w:val="none" w:sz="0" w:space="0" w:color="auto" w:frame="1"/>
          <w:lang w:val="es-CO"/>
        </w:rPr>
        <w:t>a</w:t>
      </w:r>
      <w:r w:rsidRPr="00D336D9">
        <w:rPr>
          <w:rFonts w:ascii="Arial" w:eastAsia="Times New Roman" w:hAnsi="Arial" w:cs="Arial"/>
          <w:bdr w:val="none" w:sz="0" w:space="0" w:color="auto" w:frame="1"/>
          <w:lang w:val="es-CO"/>
        </w:rPr>
        <w:t xml:space="preserve"> tomadora y asegurada es la señora Elizabeth Perea Martínez, presta cobertura material y temporal de conformidad con los hechos y pretensiones expuestas en el escrito de demanda. Frente a la </w:t>
      </w:r>
      <w:r w:rsidRPr="00D336D9">
        <w:rPr>
          <w:rFonts w:ascii="Arial" w:eastAsia="Times New Roman" w:hAnsi="Arial" w:cs="Arial"/>
          <w:b/>
          <w:bCs/>
          <w:u w:val="single"/>
          <w:bdr w:val="none" w:sz="0" w:space="0" w:color="auto" w:frame="1"/>
          <w:lang w:val="es-CO"/>
        </w:rPr>
        <w:t>cobertura temporal,</w:t>
      </w:r>
      <w:r w:rsidRPr="00D336D9">
        <w:rPr>
          <w:rFonts w:ascii="Arial" w:eastAsia="Times New Roman" w:hAnsi="Arial" w:cs="Arial"/>
          <w:bdr w:val="none" w:sz="0" w:space="0" w:color="auto" w:frame="1"/>
          <w:lang w:val="es-CO"/>
        </w:rPr>
        <w:t> debe decirse que, la misma tenía una vigencia comprendida entre el 06 de octubre de 2021 y el 06 de octubre de 2022 en modalidad ocurrencia, y los hechos objeto de la presente demanda se presentaron el 23 de diciembre de 2021, es decir durante la vigencia del aseguramiento. Respecto a la </w:t>
      </w:r>
      <w:r w:rsidRPr="00D336D9">
        <w:rPr>
          <w:rFonts w:ascii="Arial" w:eastAsia="Times New Roman" w:hAnsi="Arial" w:cs="Arial"/>
          <w:b/>
          <w:bCs/>
          <w:u w:val="single"/>
          <w:bdr w:val="none" w:sz="0" w:space="0" w:color="auto" w:frame="1"/>
          <w:lang w:val="es-CO"/>
        </w:rPr>
        <w:t>cobertura material</w:t>
      </w:r>
      <w:r w:rsidRPr="00D336D9">
        <w:rPr>
          <w:rFonts w:ascii="Arial" w:eastAsia="Times New Roman" w:hAnsi="Arial" w:cs="Arial"/>
          <w:bdr w:val="none" w:sz="0" w:space="0" w:color="auto" w:frame="1"/>
          <w:lang w:val="es-CO"/>
        </w:rPr>
        <w:t>, también se presenta en este caso, ya que ampara la responsabilidad civil extracontractual, la cual se circunscribe a lo pretendido por el demandante al incoar la presente demanda.  </w:t>
      </w:r>
    </w:p>
    <w:p w14:paraId="763242C6"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w:t>
      </w:r>
    </w:p>
    <w:p w14:paraId="0138AFF4" w14:textId="271DB0EB" w:rsidR="00D044B7" w:rsidRPr="00D336D9" w:rsidRDefault="00D044B7" w:rsidP="00D336D9">
      <w:pPr>
        <w:shd w:val="clear" w:color="auto" w:fill="FFFFFF"/>
        <w:spacing w:after="0" w:line="360" w:lineRule="auto"/>
        <w:jc w:val="both"/>
        <w:rPr>
          <w:rFonts w:ascii="Arial" w:eastAsia="Times New Roman" w:hAnsi="Arial" w:cs="Arial"/>
          <w:bdr w:val="none" w:sz="0" w:space="0" w:color="auto" w:frame="1"/>
          <w:lang w:val="es-CO"/>
        </w:rPr>
      </w:pPr>
      <w:r w:rsidRPr="00D336D9">
        <w:rPr>
          <w:rFonts w:ascii="Arial" w:eastAsia="Times New Roman" w:hAnsi="Arial" w:cs="Arial"/>
          <w:bdr w:val="none" w:sz="0" w:space="0" w:color="auto" w:frame="1"/>
          <w:lang w:val="es-CO"/>
        </w:rPr>
        <w:t xml:space="preserve">En segundo lugar, lo anterior debe mirarse de forma conjunta con la responsabilidad del asegurado </w:t>
      </w:r>
      <w:r w:rsidR="008B54D0" w:rsidRPr="00D336D9">
        <w:rPr>
          <w:rFonts w:ascii="Arial" w:eastAsia="Times New Roman" w:hAnsi="Arial" w:cs="Arial"/>
          <w:bdr w:val="none" w:sz="0" w:space="0" w:color="auto" w:frame="1"/>
          <w:lang w:val="es-CO"/>
        </w:rPr>
        <w:t>la cual</w:t>
      </w:r>
      <w:r w:rsidRPr="00D336D9">
        <w:rPr>
          <w:rFonts w:ascii="Arial" w:eastAsia="Times New Roman" w:hAnsi="Arial" w:cs="Arial"/>
          <w:bdr w:val="none" w:sz="0" w:space="0" w:color="auto" w:frame="1"/>
          <w:lang w:val="es-CO"/>
        </w:rPr>
        <w:t xml:space="preserve"> se encuentra demostrada a partir del IPAT y del croquis del accidente. Así las cosas, en el informe de accidente realizado por la autoridad correspondiente, se consignó y atribuyó como causa ÚNICA del accidente de tránsito al conductor del vehículo asegurado el código No. 127 “</w:t>
      </w:r>
      <w:r w:rsidRPr="00D336D9">
        <w:rPr>
          <w:rFonts w:ascii="Arial" w:eastAsia="Times New Roman" w:hAnsi="Arial" w:cs="Arial"/>
          <w:i/>
          <w:iCs/>
          <w:bdr w:val="none" w:sz="0" w:space="0" w:color="auto" w:frame="1"/>
          <w:lang w:val="es-CO"/>
        </w:rPr>
        <w:t>transitar en contravía”, </w:t>
      </w:r>
      <w:r w:rsidRPr="00D336D9">
        <w:rPr>
          <w:rFonts w:ascii="Arial" w:eastAsia="Times New Roman" w:hAnsi="Arial" w:cs="Arial"/>
          <w:bdr w:val="none" w:sz="0" w:space="0" w:color="auto" w:frame="1"/>
          <w:lang w:val="es-CO"/>
        </w:rPr>
        <w:t>adicionalmente, en el documento actuación del primer responsable -FPJ-04 se deja consignado por el oficial que el vehículo asegurado iba a alta velocidad. La conducción de vehículos ha sido catalogada como una actividad peligrosa de acuerdo al artículo 2356 del Código Civil, es decir, la culpa de la persona que causó el hecho dañoso se presume y, por lo tanto, sólo puede exonerarse de responsabilidad demostrando una causa extraña. Sin embargo, dentro del caso de marras no se observa configurada una causa extraña, esto es, fuerza mayor, hecho de un tercero o hecho exclusivo de la víctima. Por este motivo dado que estamos ante una actividad peligrosa sin una causa extraña que exonere la responsabilidad, es jurídicamente aceptado llegar a la conclusión de que la responsabilidad del vehículo asegurado está acreditada. </w:t>
      </w:r>
    </w:p>
    <w:p w14:paraId="76C2C73B" w14:textId="77777777" w:rsidR="001A7F7F" w:rsidRPr="00D336D9" w:rsidRDefault="001A7F7F" w:rsidP="00D336D9">
      <w:pPr>
        <w:shd w:val="clear" w:color="auto" w:fill="FFFFFF"/>
        <w:spacing w:after="0" w:line="360" w:lineRule="auto"/>
        <w:jc w:val="both"/>
        <w:rPr>
          <w:rFonts w:ascii="Arial" w:eastAsia="Times New Roman" w:hAnsi="Arial" w:cs="Arial"/>
          <w:lang w:val="es-CO"/>
        </w:rPr>
      </w:pPr>
    </w:p>
    <w:p w14:paraId="296206FE"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Lo esgrimido sin perjuicio del carácter contingente del proceso.  </w:t>
      </w:r>
    </w:p>
    <w:p w14:paraId="30B2F426"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
          <w:bCs/>
          <w:bdr w:val="none" w:sz="0" w:space="0" w:color="auto" w:frame="1"/>
          <w:lang w:val="es-CO"/>
        </w:rPr>
        <w:t> </w:t>
      </w:r>
      <w:r w:rsidRPr="00D336D9">
        <w:rPr>
          <w:rFonts w:ascii="Arial" w:eastAsia="Times New Roman" w:hAnsi="Arial" w:cs="Arial"/>
          <w:bdr w:val="none" w:sz="0" w:space="0" w:color="auto" w:frame="1"/>
          <w:lang w:val="es-CO"/>
        </w:rPr>
        <w:t> </w:t>
      </w:r>
    </w:p>
    <w:p w14:paraId="5C4D2048" w14:textId="77777777" w:rsidR="00D044B7" w:rsidRPr="00D336D9" w:rsidRDefault="00D044B7" w:rsidP="00D336D9">
      <w:pPr>
        <w:shd w:val="clear" w:color="auto" w:fill="FFFFFF"/>
        <w:spacing w:after="0" w:line="360" w:lineRule="auto"/>
        <w:jc w:val="both"/>
        <w:rPr>
          <w:rFonts w:ascii="Arial" w:eastAsia="Times New Roman" w:hAnsi="Arial" w:cs="Arial"/>
          <w:bdr w:val="none" w:sz="0" w:space="0" w:color="auto" w:frame="1"/>
          <w:lang w:val="es-CO"/>
        </w:rPr>
      </w:pPr>
      <w:r w:rsidRPr="00D336D9">
        <w:rPr>
          <w:rFonts w:ascii="Arial" w:eastAsia="Times New Roman" w:hAnsi="Arial" w:cs="Arial"/>
          <w:b/>
          <w:bCs/>
          <w:u w:val="single"/>
          <w:bdr w:val="none" w:sz="0" w:space="0" w:color="auto" w:frame="1"/>
          <w:lang w:val="es-CO"/>
        </w:rPr>
        <w:t>LIQUIDACIÓN OBJETIVADA</w:t>
      </w:r>
      <w:r w:rsidRPr="00D336D9">
        <w:rPr>
          <w:rFonts w:ascii="Arial" w:eastAsia="Times New Roman" w:hAnsi="Arial" w:cs="Arial"/>
          <w:bdr w:val="none" w:sz="0" w:space="0" w:color="auto" w:frame="1"/>
          <w:lang w:val="es-CO"/>
        </w:rPr>
        <w:t>  </w:t>
      </w:r>
    </w:p>
    <w:p w14:paraId="15DC5921"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w:t>
      </w:r>
    </w:p>
    <w:p w14:paraId="4153FAD7" w14:textId="391900FC"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xml:space="preserve">Como liquidación objetiva de perjuicios se llegó al total de </w:t>
      </w:r>
      <w:r w:rsidR="002838A5" w:rsidRPr="00D336D9">
        <w:rPr>
          <w:rFonts w:ascii="Arial" w:eastAsia="Times New Roman" w:hAnsi="Arial" w:cs="Arial"/>
          <w:bdr w:val="none" w:sz="0" w:space="0" w:color="auto" w:frame="1"/>
          <w:lang w:val="es-CO"/>
        </w:rPr>
        <w:t>$ 2</w:t>
      </w:r>
      <w:r w:rsidR="00D336D9" w:rsidRPr="00D336D9">
        <w:rPr>
          <w:rFonts w:ascii="Arial" w:eastAsia="Times New Roman" w:hAnsi="Arial" w:cs="Arial"/>
          <w:bdr w:val="none" w:sz="0" w:space="0" w:color="auto" w:frame="1"/>
          <w:lang w:val="es-CO"/>
        </w:rPr>
        <w:t>49.440.547</w:t>
      </w:r>
      <w:r w:rsidRPr="00D336D9">
        <w:rPr>
          <w:rFonts w:ascii="Arial" w:eastAsia="Times New Roman" w:hAnsi="Arial" w:cs="Arial"/>
          <w:bdr w:val="none" w:sz="0" w:space="0" w:color="auto" w:frame="1"/>
          <w:lang w:val="es-CO"/>
        </w:rPr>
        <w:t xml:space="preserve"> A este valor se llegó de la siguiente manera:  </w:t>
      </w:r>
    </w:p>
    <w:p w14:paraId="4DCAD841"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w:t>
      </w:r>
    </w:p>
    <w:p w14:paraId="79D720C2" w14:textId="0F47A6AE" w:rsidR="00D044B7" w:rsidRPr="00D336D9" w:rsidRDefault="00D044B7" w:rsidP="00D336D9">
      <w:pPr>
        <w:pStyle w:val="Prrafodelista"/>
        <w:numPr>
          <w:ilvl w:val="0"/>
          <w:numId w:val="3"/>
        </w:numPr>
        <w:shd w:val="clear" w:color="auto" w:fill="FFFFFF"/>
        <w:spacing w:after="0" w:line="360" w:lineRule="auto"/>
        <w:jc w:val="both"/>
        <w:rPr>
          <w:rFonts w:ascii="Arial" w:eastAsia="Times New Roman" w:hAnsi="Arial" w:cs="Arial"/>
          <w:bdr w:val="none" w:sz="0" w:space="0" w:color="auto" w:frame="1"/>
          <w:lang w:val="es-CO"/>
        </w:rPr>
      </w:pPr>
      <w:r w:rsidRPr="00D336D9">
        <w:rPr>
          <w:rFonts w:ascii="Arial" w:eastAsia="Times New Roman" w:hAnsi="Arial" w:cs="Arial"/>
          <w:b/>
          <w:bCs/>
          <w:bdr w:val="none" w:sz="0" w:space="0" w:color="auto" w:frame="1"/>
          <w:lang w:val="es-CO"/>
        </w:rPr>
        <w:t>Lucro cesante:</w:t>
      </w:r>
      <w:r w:rsidRPr="00D336D9">
        <w:rPr>
          <w:rFonts w:ascii="Arial" w:eastAsia="Times New Roman" w:hAnsi="Arial" w:cs="Arial"/>
          <w:bdr w:val="none" w:sz="0" w:space="0" w:color="auto" w:frame="1"/>
          <w:lang w:val="es-CO"/>
        </w:rPr>
        <w:t>  </w:t>
      </w:r>
    </w:p>
    <w:p w14:paraId="4D10A8F0" w14:textId="77777777" w:rsidR="00EA7858" w:rsidRPr="00D336D9" w:rsidRDefault="00EA7858" w:rsidP="00D336D9">
      <w:pPr>
        <w:shd w:val="clear" w:color="auto" w:fill="FFFFFF"/>
        <w:spacing w:after="0" w:line="360" w:lineRule="auto"/>
        <w:ind w:left="360"/>
        <w:jc w:val="both"/>
        <w:rPr>
          <w:rFonts w:ascii="Arial" w:eastAsia="Times New Roman" w:hAnsi="Arial" w:cs="Arial"/>
          <w:lang w:val="es-CO"/>
        </w:rPr>
      </w:pPr>
    </w:p>
    <w:p w14:paraId="61EE6793" w14:textId="0B187FAE" w:rsidR="0077705D" w:rsidRPr="00D336D9" w:rsidRDefault="0077705D"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xml:space="preserve">Si bien es cierto, en la instancia aún no se ha emitido el dictamen de pérdida de capacidad laboral, debe indicarse que en el dictamen de Medicina Legal </w:t>
      </w:r>
      <w:r w:rsidR="00EA7858" w:rsidRPr="00D336D9">
        <w:rPr>
          <w:rFonts w:ascii="Arial" w:eastAsia="Times New Roman" w:hAnsi="Arial" w:cs="Arial"/>
          <w:bdr w:val="none" w:sz="0" w:space="0" w:color="auto" w:frame="1"/>
          <w:lang w:val="es-CO"/>
        </w:rPr>
        <w:t xml:space="preserve">adosado con la demanda </w:t>
      </w:r>
      <w:r w:rsidRPr="00D336D9">
        <w:rPr>
          <w:rFonts w:ascii="Arial" w:eastAsia="Times New Roman" w:hAnsi="Arial" w:cs="Arial"/>
          <w:bdr w:val="none" w:sz="0" w:space="0" w:color="auto" w:frame="1"/>
          <w:lang w:val="es-CO"/>
        </w:rPr>
        <w:t xml:space="preserve">se aludió que el </w:t>
      </w:r>
      <w:r w:rsidR="00EA7858" w:rsidRPr="00D336D9">
        <w:rPr>
          <w:rFonts w:ascii="Arial" w:eastAsia="Times New Roman" w:hAnsi="Arial" w:cs="Arial"/>
          <w:bdr w:val="none" w:sz="0" w:space="0" w:color="auto" w:frame="1"/>
          <w:lang w:val="es-CO"/>
        </w:rPr>
        <w:t xml:space="preserve">actor Jimmy Andrés Gómez </w:t>
      </w:r>
      <w:r w:rsidRPr="00D336D9">
        <w:rPr>
          <w:rFonts w:ascii="Arial" w:eastAsia="Times New Roman" w:hAnsi="Arial" w:cs="Arial"/>
          <w:bdr w:val="none" w:sz="0" w:space="0" w:color="auto" w:frame="1"/>
          <w:lang w:val="es-CO"/>
        </w:rPr>
        <w:t xml:space="preserve">tendría pérdida funcional de miembro inferior derecho por amputación a nivel de tobillo de carácter permanente y perturbación funcional del órgano de la locomoción por amputación de tobillo derecho de carácter permanente. </w:t>
      </w:r>
      <w:r w:rsidRPr="00D336D9">
        <w:rPr>
          <w:rFonts w:ascii="Arial" w:eastAsia="Times New Roman" w:hAnsi="Arial" w:cs="Arial"/>
          <w:lang w:val="es-CO"/>
        </w:rPr>
        <w:t xml:space="preserve">Por lo cual, se realizó una búsqueda de un caso que tuviese parámetros similares, encontrando homogeneidad en los hechos facticos de la sentencia de la Corte Suprema de Justicia SC12994-2016-2010-00111-01 donde al demandante por </w:t>
      </w:r>
      <w:r w:rsidRPr="00D336D9">
        <w:rPr>
          <w:rFonts w:ascii="Arial" w:eastAsia="Times New Roman" w:hAnsi="Arial" w:cs="Arial"/>
          <w:bdr w:val="none" w:sz="0" w:space="0" w:color="auto" w:frame="1"/>
          <w:lang w:val="es-CO"/>
        </w:rPr>
        <w:t>perturbación del órgano de sistema de locomoción se le fue otorgada</w:t>
      </w:r>
      <w:r w:rsidRPr="00D336D9">
        <w:rPr>
          <w:rFonts w:ascii="Arial" w:eastAsia="Times New Roman" w:hAnsi="Arial" w:cs="Arial"/>
          <w:lang w:val="es-CO"/>
        </w:rPr>
        <w:t xml:space="preserve"> una PCL de 20.54%</w:t>
      </w:r>
      <w:r w:rsidR="00396937" w:rsidRPr="00D336D9">
        <w:rPr>
          <w:rFonts w:ascii="Arial" w:eastAsia="Times New Roman" w:hAnsi="Arial" w:cs="Arial"/>
          <w:lang w:val="es-CO"/>
        </w:rPr>
        <w:t>, en los siguientes términos</w:t>
      </w:r>
      <w:r w:rsidRPr="00D336D9">
        <w:rPr>
          <w:rFonts w:ascii="Arial" w:eastAsia="Times New Roman" w:hAnsi="Arial" w:cs="Arial"/>
          <w:lang w:val="es-CO"/>
        </w:rPr>
        <w:t xml:space="preserve">: </w:t>
      </w:r>
      <w:r w:rsidR="00396937" w:rsidRPr="00D336D9">
        <w:rPr>
          <w:rFonts w:ascii="Arial" w:eastAsia="Times New Roman" w:hAnsi="Arial" w:cs="Arial"/>
          <w:i/>
          <w:lang w:val="es-CO"/>
        </w:rPr>
        <w:t>“(…) d. El impacto</w:t>
      </w:r>
      <w:r w:rsidR="00801601" w:rsidRPr="00D336D9">
        <w:rPr>
          <w:rFonts w:ascii="Arial" w:eastAsia="Times New Roman" w:hAnsi="Arial" w:cs="Arial"/>
          <w:i/>
          <w:lang w:val="es-CO"/>
        </w:rPr>
        <w:t xml:space="preserve"> padecido le generó una incapacidad médico legal definitiva de sesenta (60) días (folio 185 del c.1) y una disminución de su capacidad laboral, determinada por la Junta Regional de Calificación de Invalidez de Bogotá, en un 20,54% (folios 90 y 268 del cuaderno 1)</w:t>
      </w:r>
      <w:r w:rsidR="00396937" w:rsidRPr="00D336D9">
        <w:rPr>
          <w:rFonts w:ascii="Arial" w:eastAsia="Times New Roman" w:hAnsi="Arial" w:cs="Arial"/>
          <w:i/>
          <w:lang w:val="es-CO"/>
        </w:rPr>
        <w:t xml:space="preserve"> (…)”</w:t>
      </w:r>
    </w:p>
    <w:p w14:paraId="12085888" w14:textId="45E6F347" w:rsidR="0077705D" w:rsidRPr="00D336D9" w:rsidRDefault="0077705D" w:rsidP="00D336D9">
      <w:pPr>
        <w:shd w:val="clear" w:color="auto" w:fill="FFFFFF"/>
        <w:spacing w:after="0" w:line="360" w:lineRule="auto"/>
        <w:jc w:val="both"/>
        <w:rPr>
          <w:rFonts w:ascii="Arial" w:eastAsia="Times New Roman" w:hAnsi="Arial" w:cs="Arial"/>
          <w:lang w:val="es-CO"/>
        </w:rPr>
      </w:pPr>
    </w:p>
    <w:p w14:paraId="653922FC" w14:textId="77777777" w:rsidR="002838A5" w:rsidRPr="00D336D9" w:rsidRDefault="0077705D" w:rsidP="00D336D9">
      <w:pPr>
        <w:shd w:val="clear" w:color="auto" w:fill="FFFFFF"/>
        <w:spacing w:after="0" w:line="360" w:lineRule="auto"/>
        <w:jc w:val="both"/>
        <w:rPr>
          <w:rFonts w:ascii="Arial" w:hAnsi="Arial" w:cs="Arial"/>
          <w:lang w:val="es-CO"/>
        </w:rPr>
      </w:pPr>
      <w:r w:rsidRPr="00D336D9">
        <w:rPr>
          <w:rFonts w:ascii="Arial" w:eastAsia="Times New Roman" w:hAnsi="Arial" w:cs="Arial"/>
          <w:lang w:val="es-CO"/>
        </w:rPr>
        <w:t>No obstante, al tratarse de amputación de tobillo, es válido aterrizar el porcentaje con el Manual Único de Calificación de Invalidez (</w:t>
      </w:r>
      <w:r w:rsidRPr="00D336D9">
        <w:rPr>
          <w:rFonts w:ascii="Arial" w:hAnsi="Arial" w:cs="Arial"/>
          <w:lang w:val="es-CO"/>
        </w:rPr>
        <w:t xml:space="preserve">Decreto 1507 de 2014) donde se indicar que el deberá estar entre márgenes del 24% al 30%. </w:t>
      </w:r>
    </w:p>
    <w:p w14:paraId="5C00059F" w14:textId="77777777" w:rsidR="002838A5" w:rsidRPr="00D336D9" w:rsidRDefault="002838A5" w:rsidP="00D336D9">
      <w:pPr>
        <w:shd w:val="clear" w:color="auto" w:fill="FFFFFF"/>
        <w:spacing w:after="0" w:line="360" w:lineRule="auto"/>
        <w:jc w:val="both"/>
        <w:rPr>
          <w:rFonts w:ascii="Arial" w:hAnsi="Arial" w:cs="Arial"/>
          <w:lang w:val="es-CO"/>
        </w:rPr>
      </w:pPr>
    </w:p>
    <w:p w14:paraId="07E48A12" w14:textId="5DADCCDF" w:rsidR="0077705D" w:rsidRPr="00D336D9" w:rsidRDefault="0077705D" w:rsidP="00D336D9">
      <w:pPr>
        <w:shd w:val="clear" w:color="auto" w:fill="FFFFFF"/>
        <w:spacing w:after="0" w:line="360" w:lineRule="auto"/>
        <w:jc w:val="both"/>
        <w:rPr>
          <w:rFonts w:ascii="Arial" w:eastAsia="Times New Roman" w:hAnsi="Arial" w:cs="Arial"/>
          <w:bdr w:val="none" w:sz="0" w:space="0" w:color="auto" w:frame="1"/>
          <w:lang w:val="es-CO"/>
        </w:rPr>
      </w:pPr>
    </w:p>
    <w:p w14:paraId="659177D4" w14:textId="77777777" w:rsidR="0077705D" w:rsidRPr="00D336D9" w:rsidRDefault="0077705D" w:rsidP="00D336D9">
      <w:pPr>
        <w:shd w:val="clear" w:color="auto" w:fill="FFFFFF"/>
        <w:spacing w:after="0" w:line="360" w:lineRule="auto"/>
        <w:ind w:left="1440"/>
        <w:jc w:val="both"/>
        <w:rPr>
          <w:rFonts w:ascii="Arial" w:hAnsi="Arial" w:cs="Arial"/>
          <w:noProof/>
          <w:lang w:val="es-CO"/>
        </w:rPr>
      </w:pPr>
      <w:r w:rsidRPr="00D336D9">
        <w:rPr>
          <w:rFonts w:ascii="Arial" w:hAnsi="Arial" w:cs="Arial"/>
          <w:noProof/>
        </w:rPr>
        <mc:AlternateContent>
          <mc:Choice Requires="wps">
            <w:drawing>
              <wp:anchor distT="0" distB="0" distL="114300" distR="114300" simplePos="0" relativeHeight="251659264" behindDoc="0" locked="0" layoutInCell="1" allowOverlap="1" wp14:anchorId="4F3AA7A2" wp14:editId="183DE0C0">
                <wp:simplePos x="0" y="0"/>
                <wp:positionH relativeFrom="column">
                  <wp:posOffset>1005840</wp:posOffset>
                </wp:positionH>
                <wp:positionV relativeFrom="paragraph">
                  <wp:posOffset>657860</wp:posOffset>
                </wp:positionV>
                <wp:extent cx="2914650" cy="36195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2914650" cy="3619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BBDEF" id="Rectángulo 4" o:spid="_x0000_s1026" style="position:absolute;margin-left:79.2pt;margin-top:51.8pt;width:229.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" filled="f" strokecolor="red" strokeweight="1pt"/>
            </w:pict>
          </mc:Fallback>
        </mc:AlternateContent>
      </w:r>
      <w:r w:rsidRPr="00D336D9">
        <w:rPr>
          <w:rFonts w:ascii="Arial" w:hAnsi="Arial" w:cs="Arial"/>
          <w:noProof/>
        </w:rPr>
        <w:drawing>
          <wp:inline distT="0" distB="0" distL="0" distR="0" wp14:anchorId="18E3D2A2" wp14:editId="7714631F">
            <wp:extent cx="3124200" cy="1537045"/>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7331" t="57024" r="49196" b="22444"/>
                    <a:stretch/>
                  </pic:blipFill>
                  <pic:spPr bwMode="auto">
                    <a:xfrm>
                      <a:off x="0" y="0"/>
                      <a:ext cx="3191846" cy="1570325"/>
                    </a:xfrm>
                    <a:prstGeom prst="rect">
                      <a:avLst/>
                    </a:prstGeom>
                    <a:ln>
                      <a:noFill/>
                    </a:ln>
                    <a:extLst>
                      <a:ext uri="{53640926-AAD7-44D8-BBD7-CCE9431645EC}">
                        <a14:shadowObscured xmlns:a14="http://schemas.microsoft.com/office/drawing/2010/main"/>
                      </a:ext>
                    </a:extLst>
                  </pic:spPr>
                </pic:pic>
              </a:graphicData>
            </a:graphic>
          </wp:inline>
        </w:drawing>
      </w:r>
      <w:r w:rsidRPr="00D336D9">
        <w:rPr>
          <w:rFonts w:ascii="Arial" w:hAnsi="Arial" w:cs="Arial"/>
          <w:noProof/>
          <w:lang w:val="es-CO"/>
        </w:rPr>
        <w:t xml:space="preserve"> </w:t>
      </w:r>
    </w:p>
    <w:p w14:paraId="18AEEF10" w14:textId="77777777" w:rsidR="0077705D" w:rsidRPr="00D336D9" w:rsidRDefault="0077705D" w:rsidP="00D336D9">
      <w:pPr>
        <w:shd w:val="clear" w:color="auto" w:fill="FFFFFF"/>
        <w:spacing w:after="0" w:line="360" w:lineRule="auto"/>
        <w:ind w:left="1440"/>
        <w:jc w:val="both"/>
        <w:rPr>
          <w:rFonts w:ascii="Arial" w:eastAsia="Times New Roman" w:hAnsi="Arial" w:cs="Arial"/>
          <w:lang w:val="es-CO"/>
        </w:rPr>
      </w:pPr>
      <w:r w:rsidRPr="00D336D9">
        <w:rPr>
          <w:rFonts w:ascii="Arial" w:hAnsi="Arial" w:cs="Arial"/>
          <w:noProof/>
        </w:rPr>
        <mc:AlternateContent>
          <mc:Choice Requires="wps">
            <w:drawing>
              <wp:anchor distT="0" distB="0" distL="114300" distR="114300" simplePos="0" relativeHeight="251660288" behindDoc="0" locked="0" layoutInCell="1" allowOverlap="1" wp14:anchorId="642B8708" wp14:editId="74E837F6">
                <wp:simplePos x="0" y="0"/>
                <wp:positionH relativeFrom="column">
                  <wp:posOffset>3339465</wp:posOffset>
                </wp:positionH>
                <wp:positionV relativeFrom="paragraph">
                  <wp:posOffset>2139315</wp:posOffset>
                </wp:positionV>
                <wp:extent cx="717550" cy="1356360"/>
                <wp:effectExtent l="0" t="0" r="25400" b="15240"/>
                <wp:wrapNone/>
                <wp:docPr id="6" name="Rectángulo 6"/>
                <wp:cNvGraphicFramePr/>
                <a:graphic xmlns:a="http://schemas.openxmlformats.org/drawingml/2006/main">
                  <a:graphicData uri="http://schemas.microsoft.com/office/word/2010/wordprocessingShape">
                    <wps:wsp>
                      <wps:cNvSpPr/>
                      <wps:spPr>
                        <a:xfrm>
                          <a:off x="0" y="0"/>
                          <a:ext cx="717550" cy="13563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0BCCB" id="Rectángulo 6" o:spid="_x0000_s1026" style="position:absolute;margin-left:262.95pt;margin-top:168.45pt;width:56.5pt;height:10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" filled="f" strokecolor="red" strokeweight="1pt"/>
            </w:pict>
          </mc:Fallback>
        </mc:AlternateContent>
      </w:r>
      <w:r w:rsidRPr="00D336D9">
        <w:rPr>
          <w:rFonts w:ascii="Arial" w:hAnsi="Arial" w:cs="Arial"/>
          <w:noProof/>
        </w:rPr>
        <w:drawing>
          <wp:inline distT="0" distB="0" distL="0" distR="0" wp14:anchorId="0BB7D474" wp14:editId="265E11D3">
            <wp:extent cx="3183648" cy="34766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7589" t="27829" r="40215" b="9662"/>
                    <a:stretch/>
                  </pic:blipFill>
                  <pic:spPr bwMode="auto">
                    <a:xfrm>
                      <a:off x="0" y="0"/>
                      <a:ext cx="3199952" cy="3494429"/>
                    </a:xfrm>
                    <a:prstGeom prst="rect">
                      <a:avLst/>
                    </a:prstGeom>
                    <a:ln>
                      <a:noFill/>
                    </a:ln>
                    <a:extLst>
                      <a:ext uri="{53640926-AAD7-44D8-BBD7-CCE9431645EC}">
                        <a14:shadowObscured xmlns:a14="http://schemas.microsoft.com/office/drawing/2010/main"/>
                      </a:ext>
                    </a:extLst>
                  </pic:spPr>
                </pic:pic>
              </a:graphicData>
            </a:graphic>
          </wp:inline>
        </w:drawing>
      </w:r>
    </w:p>
    <w:p w14:paraId="4A6FA6B1" w14:textId="77777777" w:rsidR="00801601" w:rsidRPr="00D336D9" w:rsidRDefault="00801601" w:rsidP="00D336D9">
      <w:pPr>
        <w:shd w:val="clear" w:color="auto" w:fill="FFFFFF"/>
        <w:spacing w:after="0" w:line="360" w:lineRule="auto"/>
        <w:jc w:val="both"/>
        <w:rPr>
          <w:rFonts w:ascii="Arial" w:eastAsia="Times New Roman" w:hAnsi="Arial" w:cs="Arial"/>
          <w:lang w:val="es-CO"/>
        </w:rPr>
      </w:pPr>
    </w:p>
    <w:p w14:paraId="23FB3930" w14:textId="48E03905" w:rsidR="00801601" w:rsidRPr="00D336D9" w:rsidRDefault="00801601"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lang w:val="es-CO"/>
        </w:rPr>
        <w:t xml:space="preserve">Como puede concluirse del </w:t>
      </w:r>
      <w:r w:rsidRPr="00D336D9">
        <w:rPr>
          <w:rFonts w:ascii="Arial" w:eastAsia="Times New Roman" w:hAnsi="Arial" w:cs="Arial"/>
          <w:lang w:val="es-CO"/>
        </w:rPr>
        <w:t>Manual Único de Calificación de Invalidez (</w:t>
      </w:r>
      <w:r w:rsidRPr="00D336D9">
        <w:rPr>
          <w:rFonts w:ascii="Arial" w:hAnsi="Arial" w:cs="Arial"/>
          <w:lang w:val="es-CO"/>
        </w:rPr>
        <w:t>Decreto 1507 de 2014)</w:t>
      </w:r>
      <w:r w:rsidRPr="00D336D9">
        <w:rPr>
          <w:rFonts w:ascii="Arial" w:hAnsi="Arial" w:cs="Arial"/>
          <w:lang w:val="es-CO"/>
        </w:rPr>
        <w:t xml:space="preserve"> </w:t>
      </w:r>
      <w:r w:rsidRPr="00D336D9">
        <w:rPr>
          <w:rFonts w:ascii="Arial" w:eastAsia="Times New Roman" w:hAnsi="Arial" w:cs="Arial"/>
          <w:lang w:val="es-CO"/>
        </w:rPr>
        <w:t xml:space="preserve">las deficiencias por deformidad de tobillo son consideradas como severas cuando hay una deficiencia global con amputación curada de la extremidad. </w:t>
      </w:r>
    </w:p>
    <w:p w14:paraId="0A15F3A3" w14:textId="6A8CD836" w:rsidR="00396937" w:rsidRPr="00D336D9" w:rsidRDefault="00396937" w:rsidP="00D336D9">
      <w:pPr>
        <w:shd w:val="clear" w:color="auto" w:fill="FFFFFF"/>
        <w:spacing w:after="0" w:line="360" w:lineRule="auto"/>
        <w:jc w:val="both"/>
        <w:rPr>
          <w:rFonts w:ascii="Arial" w:eastAsia="Times New Roman" w:hAnsi="Arial" w:cs="Arial"/>
          <w:lang w:val="es-CO"/>
        </w:rPr>
      </w:pPr>
    </w:p>
    <w:p w14:paraId="64A83E42" w14:textId="5A4576E6" w:rsidR="0077705D" w:rsidRPr="00D336D9" w:rsidRDefault="00396937" w:rsidP="00D336D9">
      <w:pPr>
        <w:shd w:val="clear" w:color="auto" w:fill="FFFFFF"/>
        <w:spacing w:after="0" w:line="360" w:lineRule="auto"/>
        <w:jc w:val="both"/>
        <w:rPr>
          <w:rFonts w:ascii="Arial" w:eastAsia="Times New Roman" w:hAnsi="Arial" w:cs="Arial"/>
          <w:bdr w:val="none" w:sz="0" w:space="0" w:color="auto" w:frame="1"/>
          <w:lang w:val="es-CO"/>
        </w:rPr>
      </w:pPr>
      <w:r w:rsidRPr="00D336D9">
        <w:rPr>
          <w:rFonts w:ascii="Arial" w:eastAsia="Times New Roman" w:hAnsi="Arial" w:cs="Arial"/>
          <w:lang w:val="es-CO"/>
        </w:rPr>
        <w:t>E</w:t>
      </w:r>
      <w:r w:rsidR="0077705D" w:rsidRPr="00D336D9">
        <w:rPr>
          <w:rFonts w:ascii="Arial" w:eastAsia="Times New Roman" w:hAnsi="Arial" w:cs="Arial"/>
          <w:lang w:val="es-CO"/>
        </w:rPr>
        <w:t xml:space="preserve">n concordancia con la incapacidad médico legal de 60 días y </w:t>
      </w:r>
      <w:r w:rsidR="0077705D" w:rsidRPr="00D336D9">
        <w:rPr>
          <w:rFonts w:ascii="Arial" w:eastAsia="Times New Roman" w:hAnsi="Arial" w:cs="Arial"/>
          <w:bdr w:val="none" w:sz="0" w:space="0" w:color="auto" w:frame="1"/>
          <w:lang w:val="es-CO"/>
        </w:rPr>
        <w:t>pérdida funcional de miembro inferior derecho por amputación a nivel de tobillo de carácter permanente</w:t>
      </w:r>
      <w:r w:rsidRPr="00D336D9">
        <w:rPr>
          <w:rFonts w:ascii="Arial" w:eastAsia="Times New Roman" w:hAnsi="Arial" w:cs="Arial"/>
          <w:bdr w:val="none" w:sz="0" w:space="0" w:color="auto" w:frame="1"/>
          <w:lang w:val="es-CO"/>
        </w:rPr>
        <w:t>, resulta</w:t>
      </w:r>
      <w:r w:rsidRPr="00D336D9">
        <w:rPr>
          <w:rFonts w:ascii="Arial" w:eastAsia="Times New Roman" w:hAnsi="Arial" w:cs="Arial"/>
          <w:lang w:val="es-CO"/>
        </w:rPr>
        <w:t xml:space="preserve"> viable</w:t>
      </w:r>
      <w:r w:rsidR="0077705D" w:rsidRPr="00D336D9">
        <w:rPr>
          <w:rFonts w:ascii="Arial" w:eastAsia="Times New Roman" w:hAnsi="Arial" w:cs="Arial"/>
          <w:bdr w:val="none" w:sz="0" w:space="0" w:color="auto" w:frame="1"/>
          <w:lang w:val="es-CO"/>
        </w:rPr>
        <w:t xml:space="preserve"> aterrizar la posible pérdida de capacidad laboral en un 25%.</w:t>
      </w:r>
      <w:r w:rsidRPr="00D336D9">
        <w:rPr>
          <w:rFonts w:ascii="Arial" w:eastAsia="Times New Roman" w:hAnsi="Arial" w:cs="Arial"/>
          <w:bdr w:val="none" w:sz="0" w:space="0" w:color="auto" w:frame="1"/>
          <w:lang w:val="es-CO"/>
        </w:rPr>
        <w:t xml:space="preserve"> </w:t>
      </w:r>
      <w:r w:rsidR="0077705D" w:rsidRPr="00D336D9">
        <w:rPr>
          <w:rFonts w:ascii="Arial" w:eastAsia="Times New Roman" w:hAnsi="Arial" w:cs="Arial"/>
          <w:bdr w:val="none" w:sz="0" w:space="0" w:color="auto" w:frame="1"/>
          <w:lang w:val="es-CO"/>
        </w:rPr>
        <w:t xml:space="preserve">En ese orden de ideas se liquida del siguiente modo: </w:t>
      </w:r>
    </w:p>
    <w:p w14:paraId="25695CEB" w14:textId="77777777" w:rsidR="00396937" w:rsidRPr="00D336D9" w:rsidRDefault="00396937" w:rsidP="00D336D9">
      <w:pPr>
        <w:shd w:val="clear" w:color="auto" w:fill="FFFFFF"/>
        <w:spacing w:after="0" w:line="360" w:lineRule="auto"/>
        <w:jc w:val="both"/>
        <w:rPr>
          <w:rFonts w:ascii="Arial" w:eastAsia="Times New Roman" w:hAnsi="Arial" w:cs="Arial"/>
          <w:bdr w:val="none" w:sz="0" w:space="0" w:color="auto" w:frame="1"/>
          <w:lang w:val="es-CO"/>
        </w:rPr>
      </w:pPr>
    </w:p>
    <w:p w14:paraId="347CC727" w14:textId="39EFC4A4" w:rsidR="002838A5" w:rsidRPr="00D336D9" w:rsidRDefault="0077705D" w:rsidP="00D336D9">
      <w:pPr>
        <w:shd w:val="clear" w:color="auto" w:fill="FFFFFF"/>
        <w:spacing w:after="0" w:line="360" w:lineRule="auto"/>
        <w:jc w:val="both"/>
        <w:rPr>
          <w:rFonts w:ascii="Arial" w:hAnsi="Arial" w:cs="Arial"/>
          <w:lang w:val="es-CO"/>
        </w:rPr>
      </w:pPr>
      <w:r w:rsidRPr="00D336D9">
        <w:rPr>
          <w:rFonts w:ascii="Arial" w:hAnsi="Arial" w:cs="Arial"/>
          <w:lang w:val="es-CO"/>
        </w:rPr>
        <w:t>Para tasar el lucro cesante consolidado, se tendrá en cuenta</w:t>
      </w:r>
      <w:r w:rsidR="00717B5E" w:rsidRPr="00D336D9">
        <w:rPr>
          <w:rFonts w:ascii="Arial" w:hAnsi="Arial" w:cs="Arial"/>
          <w:lang w:val="es-CO"/>
        </w:rPr>
        <w:t xml:space="preserve">: (i) </w:t>
      </w:r>
      <w:r w:rsidRPr="00D336D9">
        <w:rPr>
          <w:rFonts w:ascii="Arial" w:hAnsi="Arial" w:cs="Arial"/>
          <w:lang w:val="es-CO"/>
        </w:rPr>
        <w:t>el salario acreditado por el demandante de $1.117.</w:t>
      </w:r>
      <w:r w:rsidR="008D0FA7" w:rsidRPr="00D336D9">
        <w:rPr>
          <w:rFonts w:ascii="Arial" w:hAnsi="Arial" w:cs="Arial"/>
          <w:lang w:val="es-CO"/>
        </w:rPr>
        <w:t xml:space="preserve">172 más 25% de prestaciones sociales, toda vez que, </w:t>
      </w:r>
      <w:r w:rsidR="008D0FA7" w:rsidRPr="00D336D9">
        <w:rPr>
          <w:rFonts w:ascii="Arial" w:eastAsia="Times New Roman" w:hAnsi="Arial" w:cs="Arial"/>
          <w:bdr w:val="none" w:sz="0" w:space="0" w:color="auto" w:frame="1"/>
          <w:lang w:val="es-CO"/>
        </w:rPr>
        <w:t>según consulta realizada en ADRES, el demandante figuraba como cotizante para la fecha de los hechos</w:t>
      </w:r>
      <w:r w:rsidR="00717B5E" w:rsidRPr="00D336D9">
        <w:rPr>
          <w:rFonts w:ascii="Arial" w:eastAsia="Times New Roman" w:hAnsi="Arial" w:cs="Arial"/>
          <w:bdr w:val="none" w:sz="0" w:space="0" w:color="auto" w:frame="1"/>
          <w:lang w:val="es-CO"/>
        </w:rPr>
        <w:t>;</w:t>
      </w:r>
      <w:r w:rsidR="008D0FA7" w:rsidRPr="00D336D9">
        <w:rPr>
          <w:rFonts w:ascii="Arial" w:eastAsia="Times New Roman" w:hAnsi="Arial" w:cs="Arial"/>
          <w:bdr w:val="none" w:sz="0" w:space="0" w:color="auto" w:frame="1"/>
          <w:lang w:val="es-CO"/>
        </w:rPr>
        <w:t xml:space="preserve"> </w:t>
      </w:r>
      <w:r w:rsidR="00717B5E" w:rsidRPr="00D336D9">
        <w:rPr>
          <w:rFonts w:ascii="Arial" w:eastAsia="Times New Roman" w:hAnsi="Arial" w:cs="Arial"/>
          <w:bdr w:val="none" w:sz="0" w:space="0" w:color="auto" w:frame="1"/>
          <w:lang w:val="es-CO"/>
        </w:rPr>
        <w:t>p</w:t>
      </w:r>
      <w:r w:rsidR="008D0FA7" w:rsidRPr="00D336D9">
        <w:rPr>
          <w:rFonts w:ascii="Arial" w:eastAsia="Times New Roman" w:hAnsi="Arial" w:cs="Arial"/>
          <w:bdr w:val="none" w:sz="0" w:space="0" w:color="auto" w:frame="1"/>
          <w:lang w:val="es-CO"/>
        </w:rPr>
        <w:t>or ende, al despejar el valor de la Renta</w:t>
      </w:r>
      <w:r w:rsidR="008D0FA7" w:rsidRPr="00D336D9">
        <w:rPr>
          <w:rFonts w:ascii="Arial" w:hAnsi="Arial" w:cs="Arial"/>
          <w:lang w:val="es-CO"/>
        </w:rPr>
        <w:t xml:space="preserve"> corresponde a $349.116,25. </w:t>
      </w:r>
      <w:r w:rsidR="00717B5E" w:rsidRPr="00D336D9">
        <w:rPr>
          <w:rFonts w:ascii="Arial" w:hAnsi="Arial" w:cs="Arial"/>
          <w:lang w:val="es-CO"/>
        </w:rPr>
        <w:t>(ii) C</w:t>
      </w:r>
      <w:r w:rsidRPr="00D336D9">
        <w:rPr>
          <w:rFonts w:ascii="Arial" w:hAnsi="Arial" w:cs="Arial"/>
          <w:lang w:val="es-CO"/>
        </w:rPr>
        <w:t xml:space="preserve">omo el valor aludido corresponde al porcentaje del salario presuntamente devengado en diciembre del 2021, dicho valor debe ser actualizado teniendo en cuenta el IPC, </w:t>
      </w:r>
      <w:r w:rsidR="0060235B" w:rsidRPr="00D336D9">
        <w:rPr>
          <w:rFonts w:ascii="Arial" w:hAnsi="Arial" w:cs="Arial"/>
          <w:lang w:val="es-CO"/>
        </w:rPr>
        <w:t>dando un resultado de: $421.314</w:t>
      </w:r>
      <w:r w:rsidR="00717B5E" w:rsidRPr="00D336D9">
        <w:rPr>
          <w:rFonts w:ascii="Arial" w:hAnsi="Arial" w:cs="Arial"/>
          <w:lang w:val="es-CO"/>
        </w:rPr>
        <w:t>. (iii) Q</w:t>
      </w:r>
      <w:r w:rsidR="002838A5" w:rsidRPr="00D336D9">
        <w:rPr>
          <w:rFonts w:ascii="Arial" w:hAnsi="Arial" w:cs="Arial"/>
          <w:lang w:val="es-CO"/>
        </w:rPr>
        <w:t xml:space="preserve">ue el demandante tenía 30 años para la fecha del evento dañoso. </w:t>
      </w:r>
    </w:p>
    <w:p w14:paraId="31F0EB66" w14:textId="77777777" w:rsidR="0077705D" w:rsidRPr="00D336D9" w:rsidRDefault="0077705D" w:rsidP="00D336D9">
      <w:pPr>
        <w:shd w:val="clear" w:color="auto" w:fill="FFFFFF"/>
        <w:spacing w:after="0" w:line="360" w:lineRule="auto"/>
        <w:jc w:val="both"/>
        <w:rPr>
          <w:rFonts w:ascii="Arial" w:hAnsi="Arial" w:cs="Arial"/>
          <w:lang w:val="es-CO"/>
        </w:rPr>
      </w:pPr>
    </w:p>
    <w:p w14:paraId="028385CB" w14:textId="77777777" w:rsidR="0077705D" w:rsidRPr="00D336D9" w:rsidRDefault="0060235B" w:rsidP="00D336D9">
      <w:pPr>
        <w:shd w:val="clear" w:color="auto" w:fill="FFFFFF"/>
        <w:spacing w:after="0" w:line="360" w:lineRule="auto"/>
        <w:jc w:val="both"/>
        <w:rPr>
          <w:rFonts w:ascii="Arial" w:hAnsi="Arial" w:cs="Arial"/>
          <w:lang w:val="es-CO"/>
        </w:rPr>
      </w:pPr>
      <w:r w:rsidRPr="00D336D9">
        <w:rPr>
          <w:rFonts w:ascii="Arial" w:hAnsi="Arial" w:cs="Arial"/>
          <w:lang w:val="es-CO"/>
        </w:rPr>
        <w:t>R: $421.314</w:t>
      </w:r>
    </w:p>
    <w:p w14:paraId="0AB07924" w14:textId="77777777" w:rsidR="0060235B" w:rsidRPr="00D336D9" w:rsidRDefault="0060235B" w:rsidP="00D336D9">
      <w:pPr>
        <w:shd w:val="clear" w:color="auto" w:fill="FFFFFF"/>
        <w:spacing w:after="0" w:line="360" w:lineRule="auto"/>
        <w:jc w:val="both"/>
        <w:rPr>
          <w:rFonts w:ascii="Arial" w:hAnsi="Arial" w:cs="Arial"/>
          <w:lang w:val="es-CO"/>
        </w:rPr>
      </w:pPr>
      <w:r w:rsidRPr="00D336D9">
        <w:rPr>
          <w:rFonts w:ascii="Arial" w:hAnsi="Arial" w:cs="Arial"/>
          <w:lang w:val="es-CO"/>
        </w:rPr>
        <w:t xml:space="preserve">Expectativa de vida del demandante: de acuerdo a la Resolución </w:t>
      </w:r>
      <w:r w:rsidR="00373BAD" w:rsidRPr="00D336D9">
        <w:rPr>
          <w:rFonts w:ascii="Arial" w:hAnsi="Arial" w:cs="Arial"/>
          <w:lang w:val="es-CO"/>
        </w:rPr>
        <w:t xml:space="preserve">1555 de 2010 corresponde a 50,3 años o 603,6 </w:t>
      </w:r>
      <w:r w:rsidRPr="00D336D9">
        <w:rPr>
          <w:rFonts w:ascii="Arial" w:hAnsi="Arial" w:cs="Arial"/>
          <w:lang w:val="es-CO"/>
        </w:rPr>
        <w:t xml:space="preserve">meses. </w:t>
      </w:r>
    </w:p>
    <w:p w14:paraId="4B7EAF53" w14:textId="3E57A47D" w:rsidR="00620E6B" w:rsidRPr="00D336D9" w:rsidRDefault="00373BAD" w:rsidP="00D336D9">
      <w:pPr>
        <w:shd w:val="clear" w:color="auto" w:fill="FFFFFF"/>
        <w:spacing w:after="0" w:line="360" w:lineRule="auto"/>
        <w:jc w:val="both"/>
        <w:rPr>
          <w:rFonts w:ascii="Arial" w:eastAsia="Times New Roman" w:hAnsi="Arial" w:cs="Arial"/>
          <w:b/>
          <w:bCs/>
          <w:bdr w:val="none" w:sz="0" w:space="0" w:color="auto" w:frame="1"/>
          <w:lang w:val="es-CO"/>
        </w:rPr>
      </w:pPr>
      <w:r w:rsidRPr="00D336D9">
        <w:rPr>
          <w:rFonts w:ascii="Arial" w:hAnsi="Arial" w:cs="Arial"/>
          <w:lang w:val="es-CO"/>
        </w:rPr>
        <w:t>Fecha liquidación: 10/11/2023</w:t>
      </w:r>
    </w:p>
    <w:p w14:paraId="2E7EEA32" w14:textId="55EB4E3D" w:rsidR="00620E6B" w:rsidRPr="00D336D9" w:rsidRDefault="00620E6B" w:rsidP="00D336D9">
      <w:pPr>
        <w:shd w:val="clear" w:color="auto" w:fill="FFFFFF"/>
        <w:spacing w:after="0" w:line="360" w:lineRule="auto"/>
        <w:jc w:val="both"/>
        <w:rPr>
          <w:rFonts w:ascii="Arial" w:eastAsia="Times New Roman" w:hAnsi="Arial" w:cs="Arial"/>
          <w:b/>
          <w:bCs/>
          <w:bdr w:val="none" w:sz="0" w:space="0" w:color="auto" w:frame="1"/>
          <w:lang w:val="es-CO"/>
        </w:rPr>
      </w:pPr>
    </w:p>
    <w:p w14:paraId="7B7E809E" w14:textId="77777777" w:rsidR="00620E6B" w:rsidRPr="00D336D9" w:rsidRDefault="00D044B7" w:rsidP="00D336D9">
      <w:pPr>
        <w:pStyle w:val="Prrafodelista"/>
        <w:numPr>
          <w:ilvl w:val="0"/>
          <w:numId w:val="4"/>
        </w:numPr>
        <w:spacing w:line="360" w:lineRule="auto"/>
        <w:rPr>
          <w:rFonts w:ascii="Arial" w:hAnsi="Arial" w:cs="Arial"/>
          <w:lang w:val="es-CO"/>
        </w:rPr>
      </w:pPr>
      <w:r w:rsidRPr="00D336D9">
        <w:rPr>
          <w:rFonts w:ascii="Arial" w:hAnsi="Arial" w:cs="Arial"/>
          <w:b/>
          <w:bCs/>
          <w:bdr w:val="none" w:sz="0" w:space="0" w:color="auto" w:frame="1"/>
          <w:lang w:val="es-CO"/>
        </w:rPr>
        <w:t>Consolidado:</w:t>
      </w:r>
      <w:r w:rsidRPr="00D336D9">
        <w:rPr>
          <w:rFonts w:ascii="Arial" w:hAnsi="Arial" w:cs="Arial"/>
          <w:bdr w:val="none" w:sz="0" w:space="0" w:color="auto" w:frame="1"/>
          <w:lang w:val="es-CO"/>
        </w:rPr>
        <w:t> </w:t>
      </w:r>
      <w:r w:rsidR="002838A5" w:rsidRPr="00D336D9">
        <w:rPr>
          <w:rFonts w:ascii="Arial" w:hAnsi="Arial" w:cs="Arial"/>
          <w:bdr w:val="none" w:sz="0" w:space="0" w:color="auto" w:frame="1"/>
          <w:lang w:val="es-CO"/>
        </w:rPr>
        <w:t>$10.029.944</w:t>
      </w:r>
      <w:r w:rsidR="002838A5" w:rsidRPr="00D336D9">
        <w:rPr>
          <w:rFonts w:ascii="Arial" w:hAnsi="Arial" w:cs="Arial"/>
          <w:lang w:val="es-CO"/>
        </w:rPr>
        <w:t xml:space="preserve"> </w:t>
      </w:r>
    </w:p>
    <w:p w14:paraId="18938454" w14:textId="77777777" w:rsidR="00686067" w:rsidRPr="00D336D9" w:rsidRDefault="00D044B7" w:rsidP="00D336D9">
      <w:pPr>
        <w:pStyle w:val="Prrafodelista"/>
        <w:numPr>
          <w:ilvl w:val="0"/>
          <w:numId w:val="4"/>
        </w:numPr>
        <w:spacing w:line="360" w:lineRule="auto"/>
        <w:rPr>
          <w:rFonts w:ascii="Arial" w:hAnsi="Arial" w:cs="Arial"/>
          <w:lang w:val="es-CO"/>
        </w:rPr>
      </w:pPr>
      <w:r w:rsidRPr="00D336D9">
        <w:rPr>
          <w:rFonts w:ascii="Arial" w:hAnsi="Arial" w:cs="Arial"/>
          <w:b/>
          <w:bCs/>
          <w:bdr w:val="none" w:sz="0" w:space="0" w:color="auto" w:frame="1"/>
          <w:lang w:val="es-CO"/>
        </w:rPr>
        <w:t>Futuro</w:t>
      </w:r>
      <w:r w:rsidR="001A7F7F" w:rsidRPr="00D336D9">
        <w:rPr>
          <w:rFonts w:ascii="Arial" w:hAnsi="Arial" w:cs="Arial"/>
          <w:bdr w:val="none" w:sz="0" w:space="0" w:color="auto" w:frame="1"/>
          <w:lang w:val="es-CO"/>
        </w:rPr>
        <w:t xml:space="preserve">: </w:t>
      </w:r>
      <w:r w:rsidR="002838A5" w:rsidRPr="00D336D9">
        <w:rPr>
          <w:rFonts w:ascii="Arial" w:hAnsi="Arial" w:cs="Arial"/>
          <w:bdr w:val="none" w:sz="0" w:space="0" w:color="auto" w:frame="1"/>
          <w:lang w:val="es-CO"/>
        </w:rPr>
        <w:t>$81.410.603</w:t>
      </w:r>
    </w:p>
    <w:p w14:paraId="6E484119" w14:textId="008C9D27" w:rsidR="002838A5" w:rsidRPr="00D336D9" w:rsidRDefault="002838A5" w:rsidP="00D336D9">
      <w:pPr>
        <w:shd w:val="clear" w:color="auto" w:fill="FFFFFF"/>
        <w:spacing w:after="0" w:line="360" w:lineRule="auto"/>
        <w:jc w:val="both"/>
        <w:rPr>
          <w:rFonts w:ascii="Arial" w:eastAsia="Times New Roman" w:hAnsi="Arial" w:cs="Arial"/>
          <w:b/>
          <w:u w:val="single"/>
          <w:bdr w:val="none" w:sz="0" w:space="0" w:color="auto" w:frame="1"/>
          <w:lang w:val="es-CO"/>
        </w:rPr>
      </w:pPr>
      <w:r w:rsidRPr="00D336D9">
        <w:rPr>
          <w:rFonts w:ascii="Arial" w:eastAsia="Times New Roman" w:hAnsi="Arial" w:cs="Arial"/>
          <w:b/>
          <w:u w:val="single"/>
          <w:bdr w:val="none" w:sz="0" w:space="0" w:color="auto" w:frame="1"/>
          <w:lang w:val="es-CO"/>
        </w:rPr>
        <w:t>Total, Lucro Cesante: $ 91.440.547</w:t>
      </w:r>
    </w:p>
    <w:p w14:paraId="2D75A128" w14:textId="3F191E04" w:rsidR="00620E6B" w:rsidRPr="00D336D9" w:rsidRDefault="00620E6B" w:rsidP="00D336D9">
      <w:pPr>
        <w:shd w:val="clear" w:color="auto" w:fill="FFFFFF"/>
        <w:spacing w:after="0" w:line="360" w:lineRule="auto"/>
        <w:jc w:val="both"/>
        <w:rPr>
          <w:rFonts w:ascii="Arial" w:eastAsia="Times New Roman" w:hAnsi="Arial" w:cs="Arial"/>
          <w:lang w:val="es-CO"/>
        </w:rPr>
      </w:pPr>
    </w:p>
    <w:p w14:paraId="64F65594" w14:textId="00EAC2C2" w:rsidR="00D044B7" w:rsidRPr="00D336D9" w:rsidRDefault="00D044B7" w:rsidP="00D336D9">
      <w:pPr>
        <w:shd w:val="clear" w:color="auto" w:fill="FFFFFF"/>
        <w:spacing w:after="0" w:line="360" w:lineRule="auto"/>
        <w:ind w:left="360" w:hanging="360"/>
        <w:jc w:val="both"/>
        <w:rPr>
          <w:rFonts w:ascii="Arial" w:eastAsia="Times New Roman" w:hAnsi="Arial" w:cs="Arial"/>
          <w:lang w:val="es-CO"/>
        </w:rPr>
      </w:pPr>
      <w:r w:rsidRPr="00D336D9">
        <w:rPr>
          <w:rFonts w:ascii="Arial" w:eastAsia="Times New Roman" w:hAnsi="Arial" w:cs="Arial"/>
          <w:b/>
          <w:bCs/>
          <w:bdr w:val="none" w:sz="0" w:space="0" w:color="auto" w:frame="1"/>
          <w:lang w:val="es-CO"/>
        </w:rPr>
        <w:t>2.    Daño Moral:</w:t>
      </w:r>
      <w:r w:rsidRPr="00D336D9">
        <w:rPr>
          <w:rFonts w:ascii="Arial" w:eastAsia="Times New Roman" w:hAnsi="Arial" w:cs="Arial"/>
          <w:bdr w:val="none" w:sz="0" w:space="0" w:color="auto" w:frame="1"/>
          <w:lang w:val="es-CO"/>
        </w:rPr>
        <w:t> El daño moral se reconoce a la víctima y a sus familiares. Se calcula un monto de: (i)$</w:t>
      </w:r>
      <w:r w:rsidR="00801601" w:rsidRPr="00D336D9">
        <w:rPr>
          <w:rFonts w:ascii="Arial" w:eastAsia="Times New Roman" w:hAnsi="Arial" w:cs="Arial"/>
          <w:bdr w:val="none" w:sz="0" w:space="0" w:color="auto" w:frame="1"/>
          <w:lang w:val="es-CO"/>
        </w:rPr>
        <w:t>3</w:t>
      </w:r>
      <w:r w:rsidRPr="00D336D9">
        <w:rPr>
          <w:rFonts w:ascii="Arial" w:eastAsia="Times New Roman" w:hAnsi="Arial" w:cs="Arial"/>
          <w:bdr w:val="none" w:sz="0" w:space="0" w:color="auto" w:frame="1"/>
          <w:lang w:val="es-CO"/>
        </w:rPr>
        <w:t>0.000.000 a la víctima</w:t>
      </w:r>
      <w:r w:rsidR="00510180">
        <w:rPr>
          <w:rFonts w:ascii="Arial" w:eastAsia="Times New Roman" w:hAnsi="Arial" w:cs="Arial"/>
          <w:bdr w:val="none" w:sz="0" w:space="0" w:color="auto" w:frame="1"/>
          <w:lang w:val="es-CO"/>
        </w:rPr>
        <w:t xml:space="preserve"> directa</w:t>
      </w:r>
      <w:r w:rsidRPr="00D336D9">
        <w:rPr>
          <w:rFonts w:ascii="Arial" w:eastAsia="Times New Roman" w:hAnsi="Arial" w:cs="Arial"/>
          <w:bdr w:val="none" w:sz="0" w:space="0" w:color="auto" w:frame="1"/>
          <w:lang w:val="es-CO"/>
        </w:rPr>
        <w:t xml:space="preserve">, </w:t>
      </w:r>
      <w:r w:rsidR="00801601" w:rsidRPr="00D336D9">
        <w:rPr>
          <w:rFonts w:ascii="Arial" w:eastAsia="Times New Roman" w:hAnsi="Arial" w:cs="Arial"/>
          <w:bdr w:val="none" w:sz="0" w:space="0" w:color="auto" w:frame="1"/>
          <w:lang w:val="es-CO"/>
        </w:rPr>
        <w:t>(i)$</w:t>
      </w:r>
      <w:r w:rsidR="00801601" w:rsidRPr="00D336D9">
        <w:rPr>
          <w:rFonts w:ascii="Arial" w:eastAsia="Times New Roman" w:hAnsi="Arial" w:cs="Arial"/>
          <w:bdr w:val="none" w:sz="0" w:space="0" w:color="auto" w:frame="1"/>
          <w:lang w:val="es-CO"/>
        </w:rPr>
        <w:t>2</w:t>
      </w:r>
      <w:r w:rsidR="00801601" w:rsidRPr="00D336D9">
        <w:rPr>
          <w:rFonts w:ascii="Arial" w:eastAsia="Times New Roman" w:hAnsi="Arial" w:cs="Arial"/>
          <w:bdr w:val="none" w:sz="0" w:space="0" w:color="auto" w:frame="1"/>
          <w:lang w:val="es-CO"/>
        </w:rPr>
        <w:t xml:space="preserve">0.000.000 </w:t>
      </w:r>
      <w:r w:rsidR="00801601" w:rsidRPr="00D336D9">
        <w:rPr>
          <w:rFonts w:ascii="Arial" w:eastAsia="Times New Roman" w:hAnsi="Arial" w:cs="Arial"/>
          <w:bdr w:val="none" w:sz="0" w:space="0" w:color="auto" w:frame="1"/>
          <w:lang w:val="es-CO"/>
        </w:rPr>
        <w:t xml:space="preserve">a </w:t>
      </w:r>
      <w:r w:rsidRPr="00D336D9">
        <w:rPr>
          <w:rFonts w:ascii="Arial" w:eastAsia="Times New Roman" w:hAnsi="Arial" w:cs="Arial"/>
          <w:bdr w:val="none" w:sz="0" w:space="0" w:color="auto" w:frame="1"/>
          <w:lang w:val="es-CO"/>
        </w:rPr>
        <w:t>la compañera permanente y los hijos de la víctima y</w:t>
      </w:r>
      <w:r w:rsidR="007509C3" w:rsidRPr="00D336D9">
        <w:rPr>
          <w:rFonts w:ascii="Arial" w:eastAsia="Times New Roman" w:hAnsi="Arial" w:cs="Arial"/>
          <w:bdr w:val="none" w:sz="0" w:space="0" w:color="auto" w:frame="1"/>
          <w:lang w:val="es-CO"/>
        </w:rPr>
        <w:t xml:space="preserve"> </w:t>
      </w:r>
      <w:r w:rsidRPr="00D336D9">
        <w:rPr>
          <w:rFonts w:ascii="Arial" w:eastAsia="Times New Roman" w:hAnsi="Arial" w:cs="Arial"/>
          <w:bdr w:val="none" w:sz="0" w:space="0" w:color="auto" w:frame="1"/>
          <w:lang w:val="es-CO"/>
        </w:rPr>
        <w:t xml:space="preserve">(i) $8.000.000 para la hermana de la víctima. A la madre de crianza de la víctima no se le reconoce suma alguna por no probarse </w:t>
      </w:r>
      <w:r w:rsidR="00801601" w:rsidRPr="00D336D9">
        <w:rPr>
          <w:rFonts w:ascii="Arial" w:eastAsia="Times New Roman" w:hAnsi="Arial" w:cs="Arial"/>
          <w:bdr w:val="none" w:sz="0" w:space="0" w:color="auto" w:frame="1"/>
          <w:lang w:val="es-CO"/>
        </w:rPr>
        <w:t xml:space="preserve">de manera idónea </w:t>
      </w:r>
      <w:r w:rsidRPr="00D336D9">
        <w:rPr>
          <w:rFonts w:ascii="Arial" w:eastAsia="Times New Roman" w:hAnsi="Arial" w:cs="Arial"/>
          <w:bdr w:val="none" w:sz="0" w:space="0" w:color="auto" w:frame="1"/>
          <w:lang w:val="es-CO"/>
        </w:rPr>
        <w:t xml:space="preserve">tal filiación. Por ende, se reconoce a título de perjuicio moral la suma de $88.000.000. Ello en atención a que el demandado sufrió una amputación a nivel de tobillo derecho produciendo una perturbación del órgano de sistema de locomoción permanente. En ese entendido, se tasa en el valor en mención, en atención a la sentencia </w:t>
      </w:r>
      <w:r w:rsidR="00D336D9" w:rsidRPr="00D336D9">
        <w:rPr>
          <w:rFonts w:ascii="Arial" w:eastAsia="Times New Roman" w:hAnsi="Arial" w:cs="Arial"/>
          <w:lang w:val="es-CO"/>
        </w:rPr>
        <w:t xml:space="preserve">SC12994-2016-2010-00111-01 </w:t>
      </w:r>
      <w:r w:rsidRPr="00D336D9">
        <w:rPr>
          <w:rFonts w:ascii="Arial" w:eastAsia="Times New Roman" w:hAnsi="Arial" w:cs="Arial"/>
          <w:bdr w:val="none" w:sz="0" w:space="0" w:color="auto" w:frame="1"/>
          <w:lang w:val="es-CO"/>
        </w:rPr>
        <w:t xml:space="preserve">de la Corte Suprema de Justicia donde se reconoció el valor de </w:t>
      </w:r>
      <w:r w:rsidR="00D336D9" w:rsidRPr="00D336D9">
        <w:rPr>
          <w:rFonts w:ascii="Arial" w:eastAsia="Times New Roman" w:hAnsi="Arial" w:cs="Arial"/>
          <w:bdr w:val="none" w:sz="0" w:space="0" w:color="auto" w:frame="1"/>
          <w:lang w:val="es-CO"/>
        </w:rPr>
        <w:t>$30.000.000</w:t>
      </w:r>
      <w:r w:rsidRPr="00D336D9">
        <w:rPr>
          <w:rFonts w:ascii="Arial" w:eastAsia="Times New Roman" w:hAnsi="Arial" w:cs="Arial"/>
          <w:bdr w:val="none" w:sz="0" w:space="0" w:color="auto" w:frame="1"/>
          <w:lang w:val="es-CO"/>
        </w:rPr>
        <w:t xml:space="preserve"> a la víctima directa por una lesión que generó </w:t>
      </w:r>
      <w:r w:rsidR="00D336D9" w:rsidRPr="00D336D9">
        <w:rPr>
          <w:rFonts w:ascii="Arial" w:eastAsia="Times New Roman" w:hAnsi="Arial" w:cs="Arial"/>
          <w:bdr w:val="none" w:sz="0" w:space="0" w:color="auto" w:frame="1"/>
          <w:lang w:val="es-CO"/>
        </w:rPr>
        <w:t>6</w:t>
      </w:r>
      <w:r w:rsidRPr="00D336D9">
        <w:rPr>
          <w:rFonts w:ascii="Arial" w:eastAsia="Times New Roman" w:hAnsi="Arial" w:cs="Arial"/>
          <w:bdr w:val="none" w:sz="0" w:space="0" w:color="auto" w:frame="1"/>
          <w:lang w:val="es-CO"/>
        </w:rPr>
        <w:t>0 días de incapacidad, con deformidades físicas y perturbaciones funcionales en su</w:t>
      </w:r>
      <w:r w:rsidR="00510180">
        <w:rPr>
          <w:rFonts w:ascii="Arial" w:eastAsia="Times New Roman" w:hAnsi="Arial" w:cs="Arial"/>
          <w:bdr w:val="none" w:sz="0" w:space="0" w:color="auto" w:frame="1"/>
          <w:lang w:val="es-CO"/>
        </w:rPr>
        <w:t xml:space="preserve"> brazo</w:t>
      </w:r>
      <w:bookmarkStart w:id="0" w:name="_GoBack"/>
      <w:r w:rsidR="00510180">
        <w:rPr>
          <w:rFonts w:ascii="Arial" w:eastAsia="Times New Roman" w:hAnsi="Arial" w:cs="Arial"/>
          <w:bdr w:val="none" w:sz="0" w:space="0" w:color="auto" w:frame="1"/>
          <w:lang w:val="es-CO"/>
        </w:rPr>
        <w:t xml:space="preserve"> </w:t>
      </w:r>
      <w:bookmarkEnd w:id="0"/>
      <w:r w:rsidRPr="00D336D9">
        <w:rPr>
          <w:rFonts w:ascii="Arial" w:eastAsia="Times New Roman" w:hAnsi="Arial" w:cs="Arial"/>
          <w:bdr w:val="none" w:sz="0" w:space="0" w:color="auto" w:frame="1"/>
          <w:lang w:val="es-CO"/>
        </w:rPr>
        <w:t>es decir, al igual que el demandante en el proceso en marras, hubo una perturbación en el sistema de locomoción</w:t>
      </w:r>
      <w:r w:rsidR="00510180">
        <w:rPr>
          <w:rFonts w:ascii="Arial" w:eastAsia="Times New Roman" w:hAnsi="Arial" w:cs="Arial"/>
          <w:bdr w:val="none" w:sz="0" w:space="0" w:color="auto" w:frame="1"/>
          <w:lang w:val="es-CO"/>
        </w:rPr>
        <w:t xml:space="preserve"> de carácter permanente</w:t>
      </w:r>
      <w:r w:rsidRPr="00D336D9">
        <w:rPr>
          <w:rFonts w:ascii="Arial" w:eastAsia="Times New Roman" w:hAnsi="Arial" w:cs="Arial"/>
          <w:bdr w:val="none" w:sz="0" w:space="0" w:color="auto" w:frame="1"/>
          <w:lang w:val="es-CO"/>
        </w:rPr>
        <w:t>. </w:t>
      </w:r>
      <w:r w:rsidRPr="00D336D9">
        <w:rPr>
          <w:rFonts w:ascii="Arial" w:eastAsia="Times New Roman" w:hAnsi="Arial" w:cs="Arial"/>
          <w:lang w:val="es-CO"/>
        </w:rPr>
        <w:br/>
      </w:r>
      <w:r w:rsidRPr="00D336D9">
        <w:rPr>
          <w:rFonts w:ascii="Arial" w:eastAsia="Times New Roman" w:hAnsi="Arial" w:cs="Arial"/>
          <w:bdr w:val="none" w:sz="0" w:space="0" w:color="auto" w:frame="1"/>
          <w:lang w:val="es-CO"/>
        </w:rPr>
        <w:t> </w:t>
      </w:r>
    </w:p>
    <w:p w14:paraId="593DE9CD" w14:textId="77777777" w:rsidR="00D044B7" w:rsidRPr="00D336D9" w:rsidRDefault="00D044B7" w:rsidP="00D336D9">
      <w:pPr>
        <w:shd w:val="clear" w:color="auto" w:fill="FFFFFF"/>
        <w:spacing w:after="0" w:line="360" w:lineRule="auto"/>
        <w:ind w:left="360" w:hanging="360"/>
        <w:jc w:val="both"/>
        <w:rPr>
          <w:rFonts w:ascii="Arial" w:eastAsia="Times New Roman" w:hAnsi="Arial" w:cs="Arial"/>
          <w:lang w:val="es-CO"/>
        </w:rPr>
      </w:pPr>
      <w:r w:rsidRPr="00D336D9">
        <w:rPr>
          <w:rFonts w:ascii="Arial" w:eastAsia="Times New Roman" w:hAnsi="Arial" w:cs="Arial"/>
          <w:b/>
          <w:bCs/>
          <w:bdr w:val="none" w:sz="0" w:space="0" w:color="auto" w:frame="1"/>
          <w:lang w:val="es-CO"/>
        </w:rPr>
        <w:t>3.     Daño a la vida de relación:</w:t>
      </w:r>
      <w:r w:rsidRPr="00D336D9">
        <w:rPr>
          <w:rFonts w:ascii="Arial" w:eastAsia="Times New Roman" w:hAnsi="Arial" w:cs="Arial"/>
          <w:bdr w:val="none" w:sz="0" w:space="0" w:color="auto" w:frame="1"/>
          <w:lang w:val="es-CO"/>
        </w:rPr>
        <w:t>   </w:t>
      </w:r>
    </w:p>
    <w:p w14:paraId="7A021814" w14:textId="77777777" w:rsidR="008E2F04" w:rsidRPr="00D336D9" w:rsidRDefault="008E2F04" w:rsidP="00D336D9">
      <w:pPr>
        <w:shd w:val="clear" w:color="auto" w:fill="FFFFFF"/>
        <w:spacing w:after="0" w:line="360" w:lineRule="auto"/>
        <w:jc w:val="both"/>
        <w:rPr>
          <w:rFonts w:ascii="Arial" w:eastAsia="Times New Roman" w:hAnsi="Arial" w:cs="Arial"/>
          <w:bdr w:val="none" w:sz="0" w:space="0" w:color="auto" w:frame="1"/>
          <w:lang w:val="es-CO"/>
        </w:rPr>
      </w:pPr>
    </w:p>
    <w:p w14:paraId="373F51E9" w14:textId="77A8E6FC" w:rsidR="00D044B7" w:rsidRPr="00D336D9" w:rsidRDefault="00D044B7" w:rsidP="00D336D9">
      <w:pPr>
        <w:pStyle w:val="Prrafodelista"/>
        <w:numPr>
          <w:ilvl w:val="0"/>
          <w:numId w:val="5"/>
        </w:num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Frente a Jimmy Andrés Gómez se</w:t>
      </w:r>
      <w:r w:rsidRPr="00D336D9">
        <w:rPr>
          <w:rFonts w:ascii="Arial" w:eastAsia="Times New Roman" w:hAnsi="Arial" w:cs="Arial"/>
          <w:b/>
          <w:bCs/>
          <w:bdr w:val="none" w:sz="0" w:space="0" w:color="auto" w:frame="1"/>
          <w:lang w:val="es-CO"/>
        </w:rPr>
        <w:t> </w:t>
      </w:r>
      <w:r w:rsidRPr="00D336D9">
        <w:rPr>
          <w:rFonts w:ascii="Arial" w:eastAsia="Times New Roman" w:hAnsi="Arial" w:cs="Arial"/>
          <w:bdr w:val="none" w:sz="0" w:space="0" w:color="auto" w:frame="1"/>
          <w:lang w:val="es-CO"/>
        </w:rPr>
        <w:t>reconocerá la suma total de $</w:t>
      </w:r>
      <w:r w:rsidR="00D336D9" w:rsidRPr="00D336D9">
        <w:rPr>
          <w:rFonts w:ascii="Arial" w:eastAsia="Times New Roman" w:hAnsi="Arial" w:cs="Arial"/>
          <w:bdr w:val="none" w:sz="0" w:space="0" w:color="auto" w:frame="1"/>
          <w:lang w:val="es-CO"/>
        </w:rPr>
        <w:t>3</w:t>
      </w:r>
      <w:r w:rsidRPr="00D336D9">
        <w:rPr>
          <w:rFonts w:ascii="Arial" w:eastAsia="Times New Roman" w:hAnsi="Arial" w:cs="Arial"/>
          <w:bdr w:val="none" w:sz="0" w:space="0" w:color="auto" w:frame="1"/>
          <w:lang w:val="es-CO"/>
        </w:rPr>
        <w:t xml:space="preserve">0.000.000, ello teniendo en cuenta la sentencia de la Corte Suprema de Justicia con radicado </w:t>
      </w:r>
      <w:r w:rsidR="00D336D9" w:rsidRPr="00D336D9">
        <w:rPr>
          <w:rFonts w:ascii="Arial" w:hAnsi="Arial" w:cs="Arial"/>
          <w:lang w:val="es-CO"/>
        </w:rPr>
        <w:t>11001-31-03-032-2009-00282-01</w:t>
      </w:r>
      <w:r w:rsidR="00D336D9" w:rsidRPr="00D336D9" w:rsidDel="00D336D9">
        <w:rPr>
          <w:rFonts w:ascii="Arial" w:eastAsia="Times New Roman" w:hAnsi="Arial" w:cs="Arial"/>
          <w:bdr w:val="none" w:sz="0" w:space="0" w:color="auto" w:frame="1"/>
          <w:lang w:val="es-CO"/>
        </w:rPr>
        <w:t xml:space="preserve"> </w:t>
      </w:r>
      <w:r w:rsidRPr="00D336D9">
        <w:rPr>
          <w:rFonts w:ascii="Arial" w:eastAsia="Times New Roman" w:hAnsi="Arial" w:cs="Arial"/>
          <w:bdr w:val="none" w:sz="0" w:space="0" w:color="auto" w:frame="1"/>
          <w:lang w:val="es-CO"/>
        </w:rPr>
        <w:t>en la que se reconoció dicha suma a un hombre que tuvo</w:t>
      </w:r>
      <w:r w:rsidR="00D336D9" w:rsidRPr="00D336D9">
        <w:rPr>
          <w:rFonts w:ascii="Arial" w:hAnsi="Arial" w:cs="Arial"/>
          <w:lang w:val="es-CO"/>
        </w:rPr>
        <w:t xml:space="preserve"> </w:t>
      </w:r>
      <w:r w:rsidR="00D336D9" w:rsidRPr="00D336D9">
        <w:rPr>
          <w:rFonts w:ascii="Arial" w:hAnsi="Arial" w:cs="Arial"/>
          <w:lang w:val="es-CO"/>
        </w:rPr>
        <w:t>amputación de miembro superior que generan pérdida de capacidad laboral</w:t>
      </w:r>
      <w:r w:rsidRPr="00D336D9">
        <w:rPr>
          <w:rFonts w:ascii="Arial" w:eastAsia="Times New Roman" w:hAnsi="Arial" w:cs="Arial"/>
          <w:bdr w:val="none" w:sz="0" w:space="0" w:color="auto" w:frame="1"/>
          <w:lang w:val="es-CO"/>
        </w:rPr>
        <w:t xml:space="preserve">. En ese sentido, </w:t>
      </w:r>
      <w:r w:rsidR="00D336D9" w:rsidRPr="00D336D9">
        <w:rPr>
          <w:rFonts w:ascii="Arial" w:eastAsia="Times New Roman" w:hAnsi="Arial" w:cs="Arial"/>
          <w:bdr w:val="none" w:sz="0" w:space="0" w:color="auto" w:frame="1"/>
          <w:lang w:val="es-CO"/>
        </w:rPr>
        <w:t xml:space="preserve">se logra homogenizar este caso con el anterior, toda vez que, ambos tuvieron perturbación funcional permanente de un órgano de la locomoción. </w:t>
      </w:r>
    </w:p>
    <w:p w14:paraId="13363BD4" w14:textId="3C91580E" w:rsidR="00D044B7" w:rsidRPr="00D336D9" w:rsidRDefault="008D0296" w:rsidP="00D336D9">
      <w:pPr>
        <w:pStyle w:val="Prrafodelista"/>
        <w:numPr>
          <w:ilvl w:val="0"/>
          <w:numId w:val="5"/>
        </w:num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xml:space="preserve">Para </w:t>
      </w:r>
      <w:r w:rsidR="00D044B7" w:rsidRPr="00D336D9">
        <w:rPr>
          <w:rFonts w:ascii="Arial" w:eastAsia="Times New Roman" w:hAnsi="Arial" w:cs="Arial"/>
          <w:bdr w:val="none" w:sz="0" w:space="0" w:color="auto" w:frame="1"/>
          <w:lang w:val="es-CO"/>
        </w:rPr>
        <w:t>Nury Alejandra González, compañera permanente del señor Gómez, se reconoce la suma de $10.000.000 a título de daño en la vida de relación ya que se puede afirmar que hay un daño en su proyecto de vida ya que su esposo ahora tiene una incapacidad que limita su movilidad. Ello en atención a la sentencia SC5686-2018 de la corte Suprema de Justicia. </w:t>
      </w:r>
    </w:p>
    <w:p w14:paraId="22A1E1E0" w14:textId="25B23F2B" w:rsidR="00D044B7" w:rsidRPr="00D336D9" w:rsidRDefault="008D0296" w:rsidP="00D336D9">
      <w:pPr>
        <w:pStyle w:val="Prrafodelista"/>
        <w:numPr>
          <w:ilvl w:val="0"/>
          <w:numId w:val="5"/>
        </w:num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Para e</w:t>
      </w:r>
      <w:r w:rsidR="00D044B7" w:rsidRPr="00D336D9">
        <w:rPr>
          <w:rFonts w:ascii="Arial" w:eastAsia="Times New Roman" w:hAnsi="Arial" w:cs="Arial"/>
          <w:bdr w:val="none" w:sz="0" w:space="0" w:color="auto" w:frame="1"/>
          <w:lang w:val="es-CO"/>
        </w:rPr>
        <w:t>l menor Juan Felipe Gómez, hijo del señor Gómez, se reconoce la suma de $10.000.000 a título de daño en la vida de relación ya que se puede afirmar que hay un daño en su proyecto de vida ya que su padre ahora tiene una incapacidad que limita su movilidad. Ello en atención a la sentencia SC5686-2018 de la corte Suprema de Justicia. </w:t>
      </w:r>
    </w:p>
    <w:p w14:paraId="37630825" w14:textId="422E2492" w:rsidR="00D044B7" w:rsidRPr="00D336D9" w:rsidRDefault="008D0296" w:rsidP="00D336D9">
      <w:pPr>
        <w:pStyle w:val="Prrafodelista"/>
        <w:numPr>
          <w:ilvl w:val="0"/>
          <w:numId w:val="5"/>
        </w:num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Para</w:t>
      </w:r>
      <w:r w:rsidR="00D044B7" w:rsidRPr="00D336D9">
        <w:rPr>
          <w:rFonts w:ascii="Arial" w:eastAsia="Times New Roman" w:hAnsi="Arial" w:cs="Arial"/>
          <w:bdr w:val="none" w:sz="0" w:space="0" w:color="auto" w:frame="1"/>
          <w:lang w:val="es-CO"/>
        </w:rPr>
        <w:t xml:space="preserve"> la menor María Juliana Gómez, hija del señor Gómez, se reconoce la suma de $10.000.000 a título de daño en la vida de relación ya que se puede afirmar que hay un daño en su proyecto de vida ya que su padre ahora tiene una incapacidad que limita su movilidad. Ello en atención a la sentencia SC5686-2018 de la corte Suprema de Justicia. </w:t>
      </w:r>
    </w:p>
    <w:p w14:paraId="6D3C4F00" w14:textId="7F3DC79B" w:rsidR="00D044B7" w:rsidRPr="00D336D9" w:rsidRDefault="008D0296" w:rsidP="00D336D9">
      <w:pPr>
        <w:pStyle w:val="Prrafodelista"/>
        <w:numPr>
          <w:ilvl w:val="0"/>
          <w:numId w:val="5"/>
        </w:num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xml:space="preserve">Para </w:t>
      </w:r>
      <w:r w:rsidR="00D044B7" w:rsidRPr="00D336D9">
        <w:rPr>
          <w:rFonts w:ascii="Arial" w:eastAsia="Times New Roman" w:hAnsi="Arial" w:cs="Arial"/>
          <w:bdr w:val="none" w:sz="0" w:space="0" w:color="auto" w:frame="1"/>
          <w:lang w:val="es-CO"/>
        </w:rPr>
        <w:t>la señora Emma Esperanza Gómez, madre de crianza del señor Gómez, no se reconoce rubro alguno al no probarse su convivencia con la víctima directa. </w:t>
      </w:r>
    </w:p>
    <w:p w14:paraId="3DAFB1DB" w14:textId="001F8BF5" w:rsidR="00D044B7" w:rsidRPr="00D336D9" w:rsidRDefault="008D0296" w:rsidP="00D336D9">
      <w:pPr>
        <w:pStyle w:val="Prrafodelista"/>
        <w:numPr>
          <w:ilvl w:val="0"/>
          <w:numId w:val="5"/>
        </w:num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xml:space="preserve">Para </w:t>
      </w:r>
      <w:r w:rsidR="00D044B7" w:rsidRPr="00D336D9">
        <w:rPr>
          <w:rFonts w:ascii="Arial" w:eastAsia="Times New Roman" w:hAnsi="Arial" w:cs="Arial"/>
          <w:bdr w:val="none" w:sz="0" w:space="0" w:color="auto" w:frame="1"/>
          <w:lang w:val="es-CO"/>
        </w:rPr>
        <w:t>la señora Nilsa Yurlany Nupán Gómez, hermana de la víctima, no se reconoce rubro alguno al no ser víctima directa. </w:t>
      </w:r>
    </w:p>
    <w:p w14:paraId="1846E5F8" w14:textId="77777777" w:rsidR="00D044B7" w:rsidRPr="00D336D9" w:rsidRDefault="00D044B7" w:rsidP="00D336D9">
      <w:pPr>
        <w:shd w:val="clear" w:color="auto" w:fill="FFFFFF"/>
        <w:spacing w:after="0" w:line="360" w:lineRule="auto"/>
        <w:ind w:left="1440"/>
        <w:jc w:val="both"/>
        <w:rPr>
          <w:rFonts w:ascii="Arial" w:eastAsia="Times New Roman" w:hAnsi="Arial" w:cs="Arial"/>
          <w:lang w:val="es-CO"/>
        </w:rPr>
      </w:pPr>
      <w:r w:rsidRPr="00D336D9">
        <w:rPr>
          <w:rFonts w:ascii="Arial" w:eastAsia="Times New Roman" w:hAnsi="Arial" w:cs="Arial"/>
          <w:bdr w:val="none" w:sz="0" w:space="0" w:color="auto" w:frame="1"/>
          <w:lang w:val="es-CO"/>
        </w:rPr>
        <w:t> </w:t>
      </w:r>
    </w:p>
    <w:p w14:paraId="72F1128A" w14:textId="5548F93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Lo anterior para un total de $</w:t>
      </w:r>
      <w:r w:rsidR="00D336D9" w:rsidRPr="00D336D9">
        <w:rPr>
          <w:rFonts w:ascii="Arial" w:eastAsia="Times New Roman" w:hAnsi="Arial" w:cs="Arial"/>
          <w:bdr w:val="none" w:sz="0" w:space="0" w:color="auto" w:frame="1"/>
          <w:lang w:val="es-CO"/>
        </w:rPr>
        <w:t>6</w:t>
      </w:r>
      <w:r w:rsidRPr="00D336D9">
        <w:rPr>
          <w:rFonts w:ascii="Arial" w:eastAsia="Times New Roman" w:hAnsi="Arial" w:cs="Arial"/>
          <w:bdr w:val="none" w:sz="0" w:space="0" w:color="auto" w:frame="1"/>
          <w:lang w:val="es-CO"/>
        </w:rPr>
        <w:t>0.000.000. </w:t>
      </w:r>
    </w:p>
    <w:p w14:paraId="256121DC"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w:t>
      </w:r>
    </w:p>
    <w:p w14:paraId="1A5CB3CA" w14:textId="77777777" w:rsidR="00D044B7" w:rsidRPr="00D336D9" w:rsidRDefault="00D044B7" w:rsidP="00D336D9">
      <w:pPr>
        <w:shd w:val="clear" w:color="auto" w:fill="FFFFFF"/>
        <w:spacing w:after="0" w:line="360" w:lineRule="auto"/>
        <w:ind w:left="360" w:hanging="360"/>
        <w:jc w:val="both"/>
        <w:rPr>
          <w:rFonts w:ascii="Arial" w:eastAsia="Times New Roman" w:hAnsi="Arial" w:cs="Arial"/>
          <w:lang w:val="es-CO"/>
        </w:rPr>
      </w:pPr>
      <w:r w:rsidRPr="00D336D9">
        <w:rPr>
          <w:rFonts w:ascii="Arial" w:eastAsia="Times New Roman" w:hAnsi="Arial" w:cs="Arial"/>
          <w:b/>
          <w:bCs/>
          <w:bdr w:val="none" w:sz="0" w:space="0" w:color="auto" w:frame="1"/>
          <w:lang w:val="es-CO"/>
        </w:rPr>
        <w:t>4.     Daño a los bienes jurídicos de especial protección constitucional: </w:t>
      </w:r>
      <w:r w:rsidRPr="00D336D9">
        <w:rPr>
          <w:rFonts w:ascii="Arial" w:eastAsia="Times New Roman" w:hAnsi="Arial" w:cs="Arial"/>
          <w:bdr w:val="none" w:sz="0" w:space="0" w:color="auto" w:frame="1"/>
          <w:lang w:val="es-CO"/>
        </w:rPr>
        <w:t>no se reconoce suma alguna, porque la sentencia SP6029-2017 proferida por la corte suprema de justicia establece que el objetivo de esta tipología de perjuicio es restablecer plenamente a la víctima en el ejercicio de sus derechos lo cual implica una reparación simbólica y no de carácter patrimonial. </w:t>
      </w:r>
    </w:p>
    <w:p w14:paraId="716A0F11" w14:textId="77777777" w:rsidR="00D044B7" w:rsidRPr="00D336D9" w:rsidRDefault="00D044B7" w:rsidP="00D336D9">
      <w:pPr>
        <w:shd w:val="clear" w:color="auto" w:fill="FFFFFF"/>
        <w:spacing w:after="0" w:line="360" w:lineRule="auto"/>
        <w:ind w:left="720"/>
        <w:jc w:val="both"/>
        <w:rPr>
          <w:rFonts w:ascii="Arial" w:eastAsia="Times New Roman" w:hAnsi="Arial" w:cs="Arial"/>
          <w:lang w:val="es-CO"/>
        </w:rPr>
      </w:pPr>
      <w:r w:rsidRPr="00D336D9">
        <w:rPr>
          <w:rFonts w:ascii="Arial" w:eastAsia="Times New Roman" w:hAnsi="Arial" w:cs="Arial"/>
          <w:bdr w:val="none" w:sz="0" w:space="0" w:color="auto" w:frame="1"/>
          <w:lang w:val="es-CO"/>
        </w:rPr>
        <w:t> </w:t>
      </w:r>
    </w:p>
    <w:p w14:paraId="0CD0F258" w14:textId="77777777" w:rsidR="00D044B7" w:rsidRPr="00D336D9" w:rsidRDefault="00D044B7" w:rsidP="00D336D9">
      <w:pPr>
        <w:shd w:val="clear" w:color="auto" w:fill="FFFFFF"/>
        <w:spacing w:after="0" w:line="360" w:lineRule="auto"/>
        <w:ind w:left="360" w:hanging="360"/>
        <w:jc w:val="both"/>
        <w:rPr>
          <w:rFonts w:ascii="Arial" w:eastAsia="Times New Roman" w:hAnsi="Arial" w:cs="Arial"/>
          <w:lang w:val="es-CO"/>
        </w:rPr>
      </w:pPr>
      <w:r w:rsidRPr="00D336D9">
        <w:rPr>
          <w:rFonts w:ascii="Arial" w:eastAsia="Times New Roman" w:hAnsi="Arial" w:cs="Arial"/>
          <w:b/>
          <w:bCs/>
          <w:bdr w:val="none" w:sz="0" w:space="0" w:color="auto" w:frame="1"/>
          <w:lang w:val="es-CO"/>
        </w:rPr>
        <w:t>5.     Daño a la pérdida de oportunidad: </w:t>
      </w:r>
      <w:r w:rsidRPr="00D336D9">
        <w:rPr>
          <w:rFonts w:ascii="Arial" w:eastAsia="Times New Roman" w:hAnsi="Arial" w:cs="Arial"/>
          <w:bdr w:val="none" w:sz="0" w:space="0" w:color="auto" w:frame="1"/>
          <w:lang w:val="es-CO"/>
        </w:rPr>
        <w:t>no se reconoce suma alguna pues no es una tipología de perjuicio autónomo, toda vez que, la Corte Suprema de Justicia en sentencia proferida al interior del expediente 08001-3103-008-1994-26630-0 el 28 de agosto de 2013, estableció que no hay pérdida de la oportunidad que no pueda ser indemnizable mediante las categorías autónomas de perjuicios admitidas por la jurisprudencia como, por ejemplo, el daño moral. Luego la pérdida de la oportunidad no es una tipología de perjuicio autónoma si no un fundamento del daño para la solicitud de las tipologías de perjuicio reconocidas por la Corte </w:t>
      </w:r>
    </w:p>
    <w:p w14:paraId="46EDD47D"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CO"/>
        </w:rPr>
        <w:t> </w:t>
      </w:r>
    </w:p>
    <w:p w14:paraId="2CFD93EE"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
          <w:bCs/>
          <w:bdr w:val="none" w:sz="0" w:space="0" w:color="auto" w:frame="1"/>
          <w:lang w:val="es-CO"/>
        </w:rPr>
        <w:t>Análisis en relación con la póliza:</w:t>
      </w:r>
      <w:r w:rsidRPr="00D336D9">
        <w:rPr>
          <w:rFonts w:ascii="Arial" w:eastAsia="Times New Roman" w:hAnsi="Arial" w:cs="Arial"/>
          <w:bdr w:val="none" w:sz="0" w:space="0" w:color="auto" w:frame="1"/>
          <w:lang w:val="es-CO"/>
        </w:rPr>
        <w:t> El monto asegurado pa</w:t>
      </w:r>
      <w:r w:rsidR="00B335E4" w:rsidRPr="00D336D9">
        <w:rPr>
          <w:rFonts w:ascii="Arial" w:eastAsia="Times New Roman" w:hAnsi="Arial" w:cs="Arial"/>
          <w:bdr w:val="none" w:sz="0" w:space="0" w:color="auto" w:frame="1"/>
          <w:lang w:val="es-CO"/>
        </w:rPr>
        <w:t xml:space="preserve">ra el amparo de responsabilidad </w:t>
      </w:r>
      <w:r w:rsidRPr="00D336D9">
        <w:rPr>
          <w:rFonts w:ascii="Arial" w:eastAsia="Times New Roman" w:hAnsi="Arial" w:cs="Arial"/>
          <w:bdr w:val="none" w:sz="0" w:space="0" w:color="auto" w:frame="1"/>
          <w:lang w:val="es-CO"/>
        </w:rPr>
        <w:t>civil extracontractual es de $3.000.000.000, sin deducible o sublímite. En ese sentido, el valor asegurado cubre en su totalidad la liquidación objetiva de perjuicios.</w:t>
      </w:r>
      <w:r w:rsidRPr="00D336D9">
        <w:rPr>
          <w:rFonts w:ascii="Arial" w:eastAsia="Times New Roman" w:hAnsi="Arial" w:cs="Arial"/>
          <w:b/>
          <w:bCs/>
          <w:bdr w:val="none" w:sz="0" w:space="0" w:color="auto" w:frame="1"/>
          <w:lang w:val="es-CO"/>
        </w:rPr>
        <w:t>  </w:t>
      </w:r>
    </w:p>
    <w:p w14:paraId="1720E71B" w14:textId="77777777" w:rsidR="00D044B7" w:rsidRPr="00D336D9" w:rsidRDefault="00D044B7" w:rsidP="00D336D9">
      <w:pPr>
        <w:shd w:val="clear" w:color="auto" w:fill="FFFFFF"/>
        <w:spacing w:after="0" w:line="360" w:lineRule="auto"/>
        <w:jc w:val="both"/>
        <w:rPr>
          <w:rFonts w:ascii="Arial" w:eastAsia="Times New Roman" w:hAnsi="Arial" w:cs="Arial"/>
          <w:lang w:val="es-CO"/>
        </w:rPr>
      </w:pPr>
      <w:r w:rsidRPr="00D336D9">
        <w:rPr>
          <w:rFonts w:ascii="Arial" w:eastAsia="Times New Roman" w:hAnsi="Arial" w:cs="Arial"/>
          <w:bdr w:val="none" w:sz="0" w:space="0" w:color="auto" w:frame="1"/>
          <w:lang w:val="es-ES"/>
        </w:rPr>
        <w:t> </w:t>
      </w:r>
      <w:r w:rsidRPr="00D336D9">
        <w:rPr>
          <w:rFonts w:ascii="Arial" w:eastAsia="Times New Roman" w:hAnsi="Arial" w:cs="Arial"/>
          <w:bdr w:val="none" w:sz="0" w:space="0" w:color="auto" w:frame="1"/>
          <w:lang w:val="es-CO"/>
        </w:rPr>
        <w:t> </w:t>
      </w:r>
    </w:p>
    <w:p w14:paraId="644EC1E3" w14:textId="77777777" w:rsidR="00853E4C" w:rsidRPr="00D336D9" w:rsidRDefault="00510180" w:rsidP="00D336D9">
      <w:pPr>
        <w:spacing w:after="0" w:line="360" w:lineRule="auto"/>
        <w:jc w:val="both"/>
        <w:rPr>
          <w:rFonts w:ascii="Arial" w:hAnsi="Arial" w:cs="Arial"/>
          <w:lang w:val="es-CO"/>
        </w:rPr>
      </w:pPr>
    </w:p>
    <w:sectPr w:rsidR="00853E4C" w:rsidRPr="00D336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2AC6"/>
    <w:multiLevelType w:val="hybridMultilevel"/>
    <w:tmpl w:val="5C7A22C4"/>
    <w:lvl w:ilvl="0" w:tplc="D926029C">
      <w:start w:val="3"/>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AE15DD2"/>
    <w:multiLevelType w:val="hybridMultilevel"/>
    <w:tmpl w:val="9D401C6E"/>
    <w:lvl w:ilvl="0" w:tplc="0B58742E">
      <w:start w:val="1"/>
      <w:numFmt w:val="decimal"/>
      <w:lvlText w:val="%1."/>
      <w:lvlJc w:val="left"/>
      <w:pPr>
        <w:ind w:left="855" w:hanging="49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A370BEF"/>
    <w:multiLevelType w:val="multilevel"/>
    <w:tmpl w:val="169A6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502"/>
        </w:tabs>
        <w:ind w:left="502"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BA27E7"/>
    <w:multiLevelType w:val="hybridMultilevel"/>
    <w:tmpl w:val="3B6866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4FF2908"/>
    <w:multiLevelType w:val="multilevel"/>
    <w:tmpl w:val="C7ACC8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4B7"/>
    <w:rsid w:val="00132AD6"/>
    <w:rsid w:val="001A7F7F"/>
    <w:rsid w:val="0023306D"/>
    <w:rsid w:val="00252C6A"/>
    <w:rsid w:val="002838A5"/>
    <w:rsid w:val="00373BAD"/>
    <w:rsid w:val="00396937"/>
    <w:rsid w:val="003E1BED"/>
    <w:rsid w:val="00433FD2"/>
    <w:rsid w:val="00510180"/>
    <w:rsid w:val="00595713"/>
    <w:rsid w:val="0060235B"/>
    <w:rsid w:val="00620E6B"/>
    <w:rsid w:val="00686067"/>
    <w:rsid w:val="00687307"/>
    <w:rsid w:val="00717B5E"/>
    <w:rsid w:val="007509C3"/>
    <w:rsid w:val="0077705D"/>
    <w:rsid w:val="00801601"/>
    <w:rsid w:val="00883964"/>
    <w:rsid w:val="008B54D0"/>
    <w:rsid w:val="008D0296"/>
    <w:rsid w:val="008D0FA7"/>
    <w:rsid w:val="008E2F04"/>
    <w:rsid w:val="009F6C93"/>
    <w:rsid w:val="00A2146A"/>
    <w:rsid w:val="00A46811"/>
    <w:rsid w:val="00A74C96"/>
    <w:rsid w:val="00B335E4"/>
    <w:rsid w:val="00C97D2E"/>
    <w:rsid w:val="00D044B7"/>
    <w:rsid w:val="00D05FAC"/>
    <w:rsid w:val="00D336D9"/>
    <w:rsid w:val="00DD1421"/>
    <w:rsid w:val="00EA7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D77D"/>
  <w15:chartTrackingRefBased/>
  <w15:docId w15:val="{90256E2F-6C83-4984-B1FF-6D9B581E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0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xmsonormal">
    <w:name w:val="x_x_msonormal"/>
    <w:basedOn w:val="Normal"/>
    <w:rsid w:val="00D04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contentpasted0">
    <w:name w:val="x_x_contentpasted0"/>
    <w:basedOn w:val="Fuentedeprrafopredeter"/>
    <w:rsid w:val="00D044B7"/>
  </w:style>
  <w:style w:type="paragraph" w:customStyle="1" w:styleId="xxmsolistparagraph">
    <w:name w:val="x_x_msolistparagraph"/>
    <w:basedOn w:val="Normal"/>
    <w:rsid w:val="00D044B7"/>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77705D"/>
    <w:pPr>
      <w:ind w:left="720"/>
      <w:contextualSpacing/>
    </w:pPr>
  </w:style>
  <w:style w:type="character" w:styleId="Refdecomentario">
    <w:name w:val="annotation reference"/>
    <w:basedOn w:val="Fuentedeprrafopredeter"/>
    <w:uiPriority w:val="99"/>
    <w:semiHidden/>
    <w:unhideWhenUsed/>
    <w:rsid w:val="00396937"/>
    <w:rPr>
      <w:sz w:val="16"/>
      <w:szCs w:val="16"/>
    </w:rPr>
  </w:style>
  <w:style w:type="paragraph" w:styleId="Textocomentario">
    <w:name w:val="annotation text"/>
    <w:basedOn w:val="Normal"/>
    <w:link w:val="TextocomentarioCar"/>
    <w:uiPriority w:val="99"/>
    <w:semiHidden/>
    <w:unhideWhenUsed/>
    <w:rsid w:val="003969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96937"/>
    <w:rPr>
      <w:sz w:val="20"/>
      <w:szCs w:val="20"/>
    </w:rPr>
  </w:style>
  <w:style w:type="paragraph" w:styleId="Asuntodelcomentario">
    <w:name w:val="annotation subject"/>
    <w:basedOn w:val="Textocomentario"/>
    <w:next w:val="Textocomentario"/>
    <w:link w:val="AsuntodelcomentarioCar"/>
    <w:uiPriority w:val="99"/>
    <w:semiHidden/>
    <w:unhideWhenUsed/>
    <w:rsid w:val="00396937"/>
    <w:rPr>
      <w:b/>
      <w:bCs/>
    </w:rPr>
  </w:style>
  <w:style w:type="character" w:customStyle="1" w:styleId="AsuntodelcomentarioCar">
    <w:name w:val="Asunto del comentario Car"/>
    <w:basedOn w:val="TextocomentarioCar"/>
    <w:link w:val="Asuntodelcomentario"/>
    <w:uiPriority w:val="99"/>
    <w:semiHidden/>
    <w:rsid w:val="00396937"/>
    <w:rPr>
      <w:b/>
      <w:bCs/>
      <w:sz w:val="20"/>
      <w:szCs w:val="20"/>
    </w:rPr>
  </w:style>
  <w:style w:type="paragraph" w:styleId="Textodeglobo">
    <w:name w:val="Balloon Text"/>
    <w:basedOn w:val="Normal"/>
    <w:link w:val="TextodegloboCar"/>
    <w:uiPriority w:val="99"/>
    <w:semiHidden/>
    <w:unhideWhenUsed/>
    <w:rsid w:val="003969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69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40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63BC7-0A53-4732-B57D-5EFB1A328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1671</Words>
  <Characters>9526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2023-11-10T13:20:00Z</dcterms:created>
  <dcterms:modified xsi:type="dcterms:W3CDTF">2023-11-10T13:48:00Z</dcterms:modified>
</cp:coreProperties>
</file>