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0901" w14:textId="15A31517" w:rsidR="00AB0749" w:rsidRDefault="00573ECB" w:rsidP="00CC6C5E">
      <w:pPr>
        <w:tabs>
          <w:tab w:val="left" w:pos="8310"/>
        </w:tabs>
        <w:spacing w:line="360" w:lineRule="auto"/>
        <w:jc w:val="both"/>
        <w:rPr>
          <w:rFonts w:ascii="Arial" w:eastAsia="Calibri" w:hAnsi="Arial" w:cs="Arial"/>
          <w:sz w:val="24"/>
          <w:szCs w:val="24"/>
          <w:lang w:val="es-CO"/>
        </w:rPr>
      </w:pPr>
      <w:r w:rsidRPr="00573ECB">
        <w:rPr>
          <w:rFonts w:ascii="Arial" w:eastAsia="Calibri" w:hAnsi="Arial" w:cs="Arial"/>
          <w:sz w:val="24"/>
          <w:szCs w:val="24"/>
          <w:lang w:val="es-CO"/>
        </w:rPr>
        <w:t>San Andrés, Islas, Dieciocho (18) de Octubre de Dos Mil Veinticuatro (2024)</w:t>
      </w:r>
      <w:r w:rsidRPr="00573ECB">
        <w:rPr>
          <w:rFonts w:ascii="Arial" w:eastAsia="Calibri" w:hAnsi="Arial" w:cs="Arial"/>
          <w:sz w:val="24"/>
          <w:szCs w:val="24"/>
          <w:lang w:val="es-C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5573"/>
      </w:tblGrid>
      <w:tr w:rsidR="00AB0749" w:rsidRPr="00CC6C5E" w14:paraId="2AE10916" w14:textId="77777777" w:rsidTr="0001286C">
        <w:trPr>
          <w:trHeight w:val="359"/>
        </w:trPr>
        <w:tc>
          <w:tcPr>
            <w:tcW w:w="1844" w:type="pct"/>
            <w:vAlign w:val="center"/>
          </w:tcPr>
          <w:p w14:paraId="2181347F"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Medio de control</w:t>
            </w:r>
          </w:p>
        </w:tc>
        <w:tc>
          <w:tcPr>
            <w:tcW w:w="3156" w:type="pct"/>
            <w:vAlign w:val="center"/>
          </w:tcPr>
          <w:p w14:paraId="74C7AA66" w14:textId="18410367" w:rsidR="008B4EDB" w:rsidRPr="00CC6C5E" w:rsidRDefault="00A05363" w:rsidP="008B4EDB">
            <w:pPr>
              <w:spacing w:after="0" w:line="360" w:lineRule="auto"/>
              <w:rPr>
                <w:rFonts w:ascii="Arial" w:hAnsi="Arial" w:cs="Arial"/>
                <w:sz w:val="24"/>
                <w:szCs w:val="24"/>
              </w:rPr>
            </w:pPr>
            <w:r>
              <w:rPr>
                <w:rFonts w:ascii="Arial" w:hAnsi="Arial" w:cs="Arial"/>
                <w:sz w:val="24"/>
                <w:szCs w:val="24"/>
              </w:rPr>
              <w:t xml:space="preserve">Reparación Directa </w:t>
            </w:r>
          </w:p>
        </w:tc>
      </w:tr>
      <w:tr w:rsidR="00AB0749" w:rsidRPr="00CC6C5E" w14:paraId="59ABC1CA" w14:textId="77777777" w:rsidTr="005663EF">
        <w:trPr>
          <w:trHeight w:val="781"/>
        </w:trPr>
        <w:tc>
          <w:tcPr>
            <w:tcW w:w="1844" w:type="pct"/>
            <w:vAlign w:val="center"/>
          </w:tcPr>
          <w:p w14:paraId="1626588D"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Radicado</w:t>
            </w:r>
          </w:p>
        </w:tc>
        <w:tc>
          <w:tcPr>
            <w:tcW w:w="3156" w:type="pct"/>
            <w:vAlign w:val="center"/>
          </w:tcPr>
          <w:p w14:paraId="581FDE9B" w14:textId="7FF232B3" w:rsidR="00AB0749" w:rsidRPr="00CC6C5E" w:rsidRDefault="00AB0749" w:rsidP="00C85688">
            <w:pPr>
              <w:spacing w:line="360" w:lineRule="auto"/>
              <w:rPr>
                <w:rFonts w:ascii="Arial" w:hAnsi="Arial" w:cs="Arial"/>
                <w:sz w:val="24"/>
                <w:szCs w:val="24"/>
              </w:rPr>
            </w:pPr>
            <w:r w:rsidRPr="00CC6C5E">
              <w:rPr>
                <w:rFonts w:ascii="Arial" w:hAnsi="Arial" w:cs="Arial"/>
                <w:sz w:val="24"/>
                <w:szCs w:val="24"/>
              </w:rPr>
              <w:t>88-001-33-33-001-20</w:t>
            </w:r>
            <w:r w:rsidR="00C85688">
              <w:rPr>
                <w:rFonts w:ascii="Arial" w:hAnsi="Arial" w:cs="Arial"/>
                <w:sz w:val="24"/>
                <w:szCs w:val="24"/>
              </w:rPr>
              <w:t>22</w:t>
            </w:r>
            <w:r w:rsidRPr="00CC6C5E">
              <w:rPr>
                <w:rFonts w:ascii="Arial" w:hAnsi="Arial" w:cs="Arial"/>
                <w:sz w:val="24"/>
                <w:szCs w:val="24"/>
              </w:rPr>
              <w:t>-00</w:t>
            </w:r>
            <w:r w:rsidR="00B6407B">
              <w:rPr>
                <w:rFonts w:ascii="Arial" w:hAnsi="Arial" w:cs="Arial"/>
                <w:sz w:val="24"/>
                <w:szCs w:val="24"/>
              </w:rPr>
              <w:t>0</w:t>
            </w:r>
            <w:r w:rsidR="00C85688">
              <w:rPr>
                <w:rFonts w:ascii="Arial" w:hAnsi="Arial" w:cs="Arial"/>
                <w:sz w:val="24"/>
                <w:szCs w:val="24"/>
              </w:rPr>
              <w:t>54</w:t>
            </w:r>
            <w:r w:rsidR="00A05363">
              <w:rPr>
                <w:rFonts w:ascii="Arial" w:hAnsi="Arial" w:cs="Arial"/>
                <w:sz w:val="24"/>
                <w:szCs w:val="24"/>
              </w:rPr>
              <w:t>-</w:t>
            </w:r>
            <w:r w:rsidRPr="00CC6C5E">
              <w:rPr>
                <w:rFonts w:ascii="Arial" w:hAnsi="Arial" w:cs="Arial"/>
                <w:sz w:val="24"/>
                <w:szCs w:val="24"/>
              </w:rPr>
              <w:t>00</w:t>
            </w:r>
          </w:p>
        </w:tc>
      </w:tr>
      <w:tr w:rsidR="00AB0749" w:rsidRPr="00CC6C5E" w14:paraId="45AF8306" w14:textId="77777777" w:rsidTr="0001286C">
        <w:trPr>
          <w:trHeight w:val="345"/>
        </w:trPr>
        <w:tc>
          <w:tcPr>
            <w:tcW w:w="1844" w:type="pct"/>
            <w:vAlign w:val="center"/>
          </w:tcPr>
          <w:p w14:paraId="2D364849"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Demandante</w:t>
            </w:r>
          </w:p>
        </w:tc>
        <w:tc>
          <w:tcPr>
            <w:tcW w:w="3156" w:type="pct"/>
            <w:vAlign w:val="center"/>
          </w:tcPr>
          <w:p w14:paraId="167FF38F" w14:textId="159E824C" w:rsidR="00AB0749" w:rsidRPr="00CC6C5E" w:rsidRDefault="00C85688" w:rsidP="00CC6C5E">
            <w:pPr>
              <w:spacing w:line="360" w:lineRule="auto"/>
              <w:rPr>
                <w:rFonts w:ascii="Arial" w:hAnsi="Arial" w:cs="Arial"/>
                <w:sz w:val="24"/>
                <w:szCs w:val="24"/>
              </w:rPr>
            </w:pPr>
            <w:r>
              <w:rPr>
                <w:rFonts w:ascii="Arial" w:hAnsi="Arial" w:cs="Arial"/>
                <w:sz w:val="24"/>
                <w:szCs w:val="24"/>
              </w:rPr>
              <w:t>Karina pacheco López y otros</w:t>
            </w:r>
          </w:p>
        </w:tc>
      </w:tr>
      <w:tr w:rsidR="00AB0749" w:rsidRPr="00CC6C5E" w14:paraId="7CD9A5B5" w14:textId="77777777" w:rsidTr="0001286C">
        <w:trPr>
          <w:trHeight w:val="345"/>
        </w:trPr>
        <w:tc>
          <w:tcPr>
            <w:tcW w:w="1844" w:type="pct"/>
            <w:vAlign w:val="center"/>
          </w:tcPr>
          <w:p w14:paraId="7942615B" w14:textId="77777777" w:rsidR="00AB0749" w:rsidRPr="00CC6C5E" w:rsidRDefault="00AB0749" w:rsidP="00CC6C5E">
            <w:pPr>
              <w:spacing w:line="360" w:lineRule="auto"/>
              <w:rPr>
                <w:rFonts w:ascii="Arial" w:hAnsi="Arial" w:cs="Arial"/>
                <w:b/>
                <w:sz w:val="24"/>
                <w:szCs w:val="24"/>
              </w:rPr>
            </w:pPr>
            <w:r w:rsidRPr="00CC6C5E">
              <w:rPr>
                <w:rFonts w:ascii="Arial" w:hAnsi="Arial" w:cs="Arial"/>
                <w:b/>
                <w:sz w:val="24"/>
                <w:szCs w:val="24"/>
              </w:rPr>
              <w:t>Demandado</w:t>
            </w:r>
          </w:p>
        </w:tc>
        <w:tc>
          <w:tcPr>
            <w:tcW w:w="3156" w:type="pct"/>
            <w:vAlign w:val="center"/>
          </w:tcPr>
          <w:p w14:paraId="029DDAA5" w14:textId="7417D555" w:rsidR="00AB0749" w:rsidRPr="00B4229C" w:rsidRDefault="00C85688" w:rsidP="00CC6C5E">
            <w:pPr>
              <w:spacing w:line="360" w:lineRule="auto"/>
              <w:rPr>
                <w:rFonts w:ascii="Arial" w:hAnsi="Arial" w:cs="Arial"/>
                <w:sz w:val="24"/>
                <w:szCs w:val="24"/>
                <w:highlight w:val="yellow"/>
              </w:rPr>
            </w:pPr>
            <w:r>
              <w:rPr>
                <w:rFonts w:ascii="Arial" w:hAnsi="Arial" w:cs="Arial"/>
                <w:sz w:val="24"/>
                <w:szCs w:val="24"/>
              </w:rPr>
              <w:t>Departamento Archipiélago de San Andrés, Providencia y Santa Catalina y otros’</w:t>
            </w:r>
          </w:p>
        </w:tc>
      </w:tr>
      <w:tr w:rsidR="00AB0749" w:rsidRPr="00CC6C5E" w14:paraId="4CA999E4" w14:textId="77777777" w:rsidTr="0001286C">
        <w:trPr>
          <w:trHeight w:val="345"/>
        </w:trPr>
        <w:tc>
          <w:tcPr>
            <w:tcW w:w="1844" w:type="pct"/>
            <w:vAlign w:val="center"/>
          </w:tcPr>
          <w:p w14:paraId="44B712AF" w14:textId="73B4B78D" w:rsidR="00AB0749" w:rsidRPr="00CC6C5E" w:rsidRDefault="00AB0749" w:rsidP="00C85688">
            <w:pPr>
              <w:pStyle w:val="Encabezado"/>
              <w:spacing w:line="360" w:lineRule="auto"/>
              <w:rPr>
                <w:rFonts w:ascii="Arial" w:hAnsi="Arial" w:cs="Arial"/>
                <w:b/>
                <w:sz w:val="24"/>
                <w:szCs w:val="24"/>
              </w:rPr>
            </w:pPr>
            <w:r w:rsidRPr="00CC6C5E">
              <w:rPr>
                <w:rFonts w:ascii="Arial" w:eastAsia="Calibri" w:hAnsi="Arial" w:cs="Arial"/>
                <w:b/>
                <w:sz w:val="24"/>
                <w:szCs w:val="24"/>
                <w:lang w:val="es-CO"/>
              </w:rPr>
              <w:t xml:space="preserve">Auto </w:t>
            </w:r>
            <w:r w:rsidR="00C85688">
              <w:rPr>
                <w:rFonts w:ascii="Arial" w:eastAsia="Calibri" w:hAnsi="Arial" w:cs="Arial"/>
                <w:b/>
                <w:sz w:val="24"/>
                <w:szCs w:val="24"/>
                <w:lang w:val="es-CO"/>
              </w:rPr>
              <w:t>Interlocutorio</w:t>
            </w:r>
            <w:r w:rsidR="0001286C">
              <w:rPr>
                <w:rFonts w:ascii="Arial" w:eastAsia="Calibri" w:hAnsi="Arial" w:cs="Arial"/>
                <w:b/>
                <w:sz w:val="24"/>
                <w:szCs w:val="24"/>
                <w:lang w:val="es-CO"/>
              </w:rPr>
              <w:t xml:space="preserve"> </w:t>
            </w:r>
            <w:r w:rsidRPr="00CC6C5E">
              <w:rPr>
                <w:rFonts w:ascii="Arial" w:eastAsia="Calibri" w:hAnsi="Arial" w:cs="Arial"/>
                <w:b/>
                <w:sz w:val="24"/>
                <w:szCs w:val="24"/>
                <w:lang w:val="es-CO"/>
              </w:rPr>
              <w:t xml:space="preserve">No. </w:t>
            </w:r>
          </w:p>
        </w:tc>
        <w:tc>
          <w:tcPr>
            <w:tcW w:w="3156" w:type="pct"/>
            <w:vAlign w:val="center"/>
          </w:tcPr>
          <w:p w14:paraId="3E548CC8" w14:textId="235AD37D" w:rsidR="00AB0749" w:rsidRPr="00CC6C5E" w:rsidRDefault="00AB0749" w:rsidP="00CD1845">
            <w:pPr>
              <w:spacing w:line="360" w:lineRule="auto"/>
              <w:rPr>
                <w:rFonts w:ascii="Arial" w:hAnsi="Arial" w:cs="Arial"/>
                <w:sz w:val="24"/>
                <w:szCs w:val="24"/>
              </w:rPr>
            </w:pPr>
            <w:r w:rsidRPr="00CC6C5E">
              <w:rPr>
                <w:rFonts w:ascii="Arial" w:hAnsi="Arial" w:cs="Arial"/>
                <w:sz w:val="24"/>
                <w:szCs w:val="24"/>
              </w:rPr>
              <w:t>0</w:t>
            </w:r>
            <w:r w:rsidR="00CD1845">
              <w:rPr>
                <w:rFonts w:ascii="Arial" w:hAnsi="Arial" w:cs="Arial"/>
                <w:sz w:val="24"/>
                <w:szCs w:val="24"/>
              </w:rPr>
              <w:t>260</w:t>
            </w:r>
            <w:r w:rsidRPr="00CC6C5E">
              <w:rPr>
                <w:rFonts w:ascii="Arial" w:hAnsi="Arial" w:cs="Arial"/>
                <w:sz w:val="24"/>
                <w:szCs w:val="24"/>
              </w:rPr>
              <w:t>-</w:t>
            </w:r>
            <w:r w:rsidR="00BA193A">
              <w:rPr>
                <w:rFonts w:ascii="Arial" w:hAnsi="Arial" w:cs="Arial"/>
                <w:sz w:val="24"/>
                <w:szCs w:val="24"/>
              </w:rPr>
              <w:t>2</w:t>
            </w:r>
            <w:r w:rsidR="00C85688">
              <w:rPr>
                <w:rFonts w:ascii="Arial" w:hAnsi="Arial" w:cs="Arial"/>
                <w:sz w:val="24"/>
                <w:szCs w:val="24"/>
              </w:rPr>
              <w:t>4</w:t>
            </w:r>
          </w:p>
        </w:tc>
      </w:tr>
    </w:tbl>
    <w:p w14:paraId="52DCB662" w14:textId="6EEEEB78" w:rsidR="00BD4875" w:rsidRDefault="00BD4875" w:rsidP="00BD4875">
      <w:pPr>
        <w:spacing w:after="0" w:line="360" w:lineRule="auto"/>
        <w:jc w:val="center"/>
        <w:rPr>
          <w:rFonts w:ascii="Arial" w:eastAsia="Times New Roman" w:hAnsi="Arial" w:cs="Arial"/>
          <w:b/>
          <w:sz w:val="24"/>
          <w:szCs w:val="24"/>
          <w:lang w:val="es-CO" w:eastAsia="es-ES"/>
        </w:rPr>
      </w:pPr>
    </w:p>
    <w:p w14:paraId="4F27B9FF" w14:textId="29B82407" w:rsidR="004042DE" w:rsidRDefault="007F38A8" w:rsidP="00BD4875">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 conformidad </w:t>
      </w:r>
      <w:r w:rsidR="00BD4875" w:rsidRPr="00CE3AEC">
        <w:rPr>
          <w:rFonts w:ascii="Arial" w:eastAsia="Times New Roman" w:hAnsi="Arial" w:cs="Arial"/>
          <w:sz w:val="24"/>
          <w:szCs w:val="24"/>
          <w:lang w:eastAsia="es-ES"/>
        </w:rPr>
        <w:t xml:space="preserve">Procede el Despacho, a resolver </w:t>
      </w:r>
      <w:r w:rsidR="00BD4875">
        <w:rPr>
          <w:rFonts w:ascii="Arial" w:eastAsia="Times New Roman" w:hAnsi="Arial" w:cs="Arial"/>
          <w:sz w:val="24"/>
          <w:szCs w:val="24"/>
          <w:lang w:eastAsia="es-ES"/>
        </w:rPr>
        <w:t xml:space="preserve">la solicitud de aclaración y </w:t>
      </w:r>
      <w:r w:rsidR="00BD4875" w:rsidRPr="00CE3AEC">
        <w:rPr>
          <w:rFonts w:ascii="Arial" w:eastAsia="Times New Roman" w:hAnsi="Arial" w:cs="Arial"/>
          <w:sz w:val="24"/>
          <w:szCs w:val="24"/>
          <w:lang w:eastAsia="es-ES"/>
        </w:rPr>
        <w:t>el recurso de reposición</w:t>
      </w:r>
      <w:r w:rsidR="008E0E2E">
        <w:rPr>
          <w:rFonts w:ascii="Arial" w:eastAsia="Times New Roman" w:hAnsi="Arial" w:cs="Arial"/>
          <w:sz w:val="24"/>
          <w:szCs w:val="24"/>
          <w:lang w:eastAsia="es-ES"/>
        </w:rPr>
        <w:t xml:space="preserve"> y en subsidio apelación </w:t>
      </w:r>
      <w:r w:rsidR="00BD4875" w:rsidRPr="00CE3AEC">
        <w:rPr>
          <w:rFonts w:ascii="Arial" w:eastAsia="Times New Roman" w:hAnsi="Arial" w:cs="Arial"/>
          <w:sz w:val="24"/>
          <w:szCs w:val="24"/>
          <w:lang w:eastAsia="es-ES"/>
        </w:rPr>
        <w:t xml:space="preserve">propuesto por </w:t>
      </w:r>
      <w:r w:rsidR="008E0E2E">
        <w:rPr>
          <w:rFonts w:ascii="Arial" w:eastAsia="Times New Roman" w:hAnsi="Arial" w:cs="Arial"/>
          <w:sz w:val="24"/>
          <w:szCs w:val="24"/>
          <w:lang w:eastAsia="es-ES"/>
        </w:rPr>
        <w:t xml:space="preserve"> el apoderado de la llamada en garantía Dra. Dora Gordon Martínez</w:t>
      </w:r>
      <w:r w:rsidR="00BD4875" w:rsidRPr="00CE3AEC">
        <w:rPr>
          <w:rStyle w:val="Refdenotaalpie"/>
          <w:rFonts w:ascii="Arial" w:eastAsia="Times New Roman" w:hAnsi="Arial" w:cs="Arial"/>
          <w:sz w:val="24"/>
          <w:szCs w:val="24"/>
          <w:lang w:eastAsia="es-ES"/>
        </w:rPr>
        <w:footnoteReference w:id="1"/>
      </w:r>
      <w:r w:rsidR="00BD4875" w:rsidRPr="00CE3AEC">
        <w:rPr>
          <w:rFonts w:ascii="Arial" w:hAnsi="Arial" w:cs="Arial"/>
          <w:sz w:val="24"/>
          <w:szCs w:val="24"/>
          <w:lang w:eastAsia="es-CO"/>
        </w:rPr>
        <w:t xml:space="preserve">, </w:t>
      </w:r>
      <w:r w:rsidR="00BD4875">
        <w:rPr>
          <w:rFonts w:ascii="Arial" w:hAnsi="Arial" w:cs="Arial"/>
          <w:sz w:val="24"/>
          <w:szCs w:val="24"/>
          <w:lang w:eastAsia="es-CO"/>
        </w:rPr>
        <w:t xml:space="preserve">contra </w:t>
      </w:r>
      <w:r w:rsidR="00BD4875" w:rsidRPr="00CE3AEC">
        <w:rPr>
          <w:rFonts w:ascii="Arial" w:eastAsia="Times New Roman" w:hAnsi="Arial" w:cs="Arial"/>
          <w:sz w:val="24"/>
          <w:szCs w:val="24"/>
          <w:lang w:eastAsia="es-ES"/>
        </w:rPr>
        <w:t xml:space="preserve">el auto calendado </w:t>
      </w:r>
      <w:bookmarkStart w:id="0" w:name="_Hlk85704176"/>
      <w:r w:rsidR="00A22CC5">
        <w:rPr>
          <w:rFonts w:ascii="Arial" w:eastAsia="Times New Roman" w:hAnsi="Arial" w:cs="Arial"/>
          <w:sz w:val="24"/>
          <w:szCs w:val="24"/>
          <w:lang w:eastAsia="es-ES"/>
        </w:rPr>
        <w:t>5 de marzo de 2024</w:t>
      </w:r>
      <w:r w:rsidR="004042DE">
        <w:rPr>
          <w:rStyle w:val="Refdenotaalpie"/>
          <w:rFonts w:ascii="Arial" w:eastAsia="Times New Roman" w:hAnsi="Arial" w:cs="Arial"/>
          <w:sz w:val="24"/>
          <w:szCs w:val="24"/>
          <w:lang w:eastAsia="es-ES"/>
        </w:rPr>
        <w:footnoteReference w:id="2"/>
      </w:r>
      <w:r w:rsidR="00BD4875">
        <w:rPr>
          <w:rFonts w:ascii="Arial" w:eastAsia="Times New Roman" w:hAnsi="Arial" w:cs="Arial"/>
          <w:sz w:val="24"/>
          <w:szCs w:val="24"/>
          <w:lang w:eastAsia="es-ES"/>
        </w:rPr>
        <w:t xml:space="preserve">, </w:t>
      </w:r>
      <w:bookmarkEnd w:id="0"/>
      <w:r w:rsidR="00BD4875">
        <w:rPr>
          <w:rFonts w:ascii="Arial" w:eastAsia="Times New Roman" w:hAnsi="Arial" w:cs="Arial"/>
          <w:sz w:val="24"/>
          <w:szCs w:val="24"/>
          <w:lang w:eastAsia="es-ES"/>
        </w:rPr>
        <w:t xml:space="preserve">por la cual </w:t>
      </w:r>
      <w:r w:rsidR="00710994">
        <w:rPr>
          <w:rFonts w:ascii="Arial" w:eastAsia="Times New Roman" w:hAnsi="Arial" w:cs="Arial"/>
          <w:sz w:val="24"/>
          <w:szCs w:val="24"/>
          <w:lang w:eastAsia="es-ES"/>
        </w:rPr>
        <w:t xml:space="preserve">se declaró no probadas las excepciones previas </w:t>
      </w:r>
      <w:r w:rsidR="00677292">
        <w:rPr>
          <w:rFonts w:ascii="Arial" w:eastAsia="Times New Roman" w:hAnsi="Arial" w:cs="Arial"/>
          <w:sz w:val="24"/>
          <w:szCs w:val="24"/>
          <w:lang w:eastAsia="es-ES"/>
        </w:rPr>
        <w:t>planteadas por las entidades demandadas entre estas, la parte que solicita la aclaración.</w:t>
      </w:r>
    </w:p>
    <w:p w14:paraId="61FEEC96" w14:textId="77777777" w:rsidR="009550C8" w:rsidRDefault="009550C8" w:rsidP="0070280B">
      <w:pPr>
        <w:spacing w:after="0" w:line="360" w:lineRule="auto"/>
        <w:jc w:val="both"/>
      </w:pPr>
    </w:p>
    <w:p w14:paraId="05FC3150" w14:textId="58DC64A8" w:rsidR="004710E0" w:rsidRDefault="00BD4875" w:rsidP="00BD4875">
      <w:pPr>
        <w:spacing w:after="0" w:line="360" w:lineRule="auto"/>
        <w:jc w:val="both"/>
        <w:rPr>
          <w:rFonts w:ascii="Arial" w:eastAsia="Times New Roman" w:hAnsi="Arial" w:cs="Arial"/>
          <w:sz w:val="24"/>
          <w:szCs w:val="24"/>
          <w:lang w:eastAsia="es-ES"/>
        </w:rPr>
      </w:pPr>
      <w:r w:rsidRPr="007D3526">
        <w:rPr>
          <w:rFonts w:ascii="Arial" w:eastAsia="Times New Roman" w:hAnsi="Arial" w:cs="Arial"/>
          <w:b/>
          <w:bCs/>
          <w:sz w:val="24"/>
          <w:szCs w:val="24"/>
          <w:lang w:eastAsia="es-ES"/>
        </w:rPr>
        <w:t>*</w:t>
      </w:r>
      <w:r>
        <w:rPr>
          <w:rFonts w:ascii="Arial" w:eastAsia="Times New Roman" w:hAnsi="Arial" w:cs="Arial"/>
          <w:b/>
          <w:bCs/>
          <w:sz w:val="24"/>
          <w:szCs w:val="24"/>
          <w:lang w:eastAsia="es-ES"/>
        </w:rPr>
        <w:t xml:space="preserve">DE LA ACLARACION Y SUS ARGUMENTOS: </w:t>
      </w:r>
      <w:r>
        <w:rPr>
          <w:rFonts w:ascii="Arial" w:eastAsia="Times New Roman" w:hAnsi="Arial" w:cs="Arial"/>
          <w:sz w:val="24"/>
          <w:szCs w:val="24"/>
          <w:lang w:eastAsia="es-ES"/>
        </w:rPr>
        <w:t xml:space="preserve">Expresa </w:t>
      </w:r>
      <w:r w:rsidR="004710E0">
        <w:rPr>
          <w:rFonts w:ascii="Arial" w:eastAsia="Times New Roman" w:hAnsi="Arial" w:cs="Arial"/>
          <w:sz w:val="24"/>
          <w:szCs w:val="24"/>
          <w:lang w:eastAsia="es-ES"/>
        </w:rPr>
        <w:t xml:space="preserve">el apoderado llamado en garantía </w:t>
      </w:r>
      <w:r>
        <w:rPr>
          <w:rFonts w:ascii="Arial" w:eastAsia="Times New Roman" w:hAnsi="Arial" w:cs="Arial"/>
          <w:sz w:val="24"/>
          <w:szCs w:val="24"/>
          <w:lang w:eastAsia="es-ES"/>
        </w:rPr>
        <w:t>que, en el auto</w:t>
      </w:r>
      <w:r w:rsidR="004710E0">
        <w:rPr>
          <w:rFonts w:ascii="Arial" w:eastAsia="Times New Roman" w:hAnsi="Arial" w:cs="Arial"/>
          <w:sz w:val="24"/>
          <w:szCs w:val="24"/>
          <w:lang w:eastAsia="es-ES"/>
        </w:rPr>
        <w:t xml:space="preserve"> aludido </w:t>
      </w:r>
      <w:r w:rsidR="004710E0" w:rsidRPr="005832E6">
        <w:rPr>
          <w:rFonts w:ascii="Arial" w:hAnsi="Arial" w:cs="Arial"/>
          <w:sz w:val="24"/>
          <w:szCs w:val="24"/>
        </w:rPr>
        <w:t>expresa que,</w:t>
      </w:r>
      <w:r w:rsidR="009D4D91" w:rsidRPr="005832E6">
        <w:rPr>
          <w:rFonts w:ascii="Arial" w:hAnsi="Arial" w:cs="Arial"/>
          <w:sz w:val="24"/>
          <w:szCs w:val="24"/>
        </w:rPr>
        <w:t xml:space="preserve"> la solicitud</w:t>
      </w:r>
      <w:r w:rsidR="009D4D91" w:rsidRPr="009D4D91">
        <w:rPr>
          <w:rFonts w:ascii="Arial" w:hAnsi="Arial" w:cs="Arial"/>
          <w:sz w:val="24"/>
          <w:szCs w:val="24"/>
        </w:rPr>
        <w:t xml:space="preserve"> de conciliación extrajudicial no debe tenerse como presentada en fecha 12 de enero de 2022 sino el día </w:t>
      </w:r>
      <w:r w:rsidR="00461082">
        <w:rPr>
          <w:rFonts w:ascii="Arial" w:hAnsi="Arial" w:cs="Arial"/>
          <w:sz w:val="24"/>
          <w:szCs w:val="24"/>
        </w:rPr>
        <w:t>“</w:t>
      </w:r>
      <w:r w:rsidR="009D4D91" w:rsidRPr="009D4D91">
        <w:rPr>
          <w:rFonts w:ascii="Arial" w:hAnsi="Arial" w:cs="Arial"/>
          <w:sz w:val="24"/>
          <w:szCs w:val="24"/>
        </w:rPr>
        <w:t>16 de febrero 2024</w:t>
      </w:r>
      <w:r w:rsidR="00461082">
        <w:rPr>
          <w:rFonts w:ascii="Arial" w:hAnsi="Arial" w:cs="Arial"/>
          <w:sz w:val="24"/>
          <w:szCs w:val="24"/>
        </w:rPr>
        <w:t>”</w:t>
      </w:r>
      <w:r w:rsidR="009D4D91" w:rsidRPr="009D4D91">
        <w:rPr>
          <w:rFonts w:ascii="Arial" w:hAnsi="Arial" w:cs="Arial"/>
          <w:sz w:val="24"/>
          <w:szCs w:val="24"/>
        </w:rPr>
        <w:t xml:space="preserve"> con la subsanación radicada, a través de la cual ajustó su solicitud de conciliación extrajudicial de acuerdo con lo exigido por la ley para su presentación, admisión y trámite correspondiente.</w:t>
      </w:r>
    </w:p>
    <w:p w14:paraId="6BCC497E" w14:textId="77777777" w:rsidR="003D10CE" w:rsidRDefault="003D10CE" w:rsidP="00995161">
      <w:pPr>
        <w:spacing w:after="0" w:line="360" w:lineRule="auto"/>
        <w:jc w:val="both"/>
        <w:rPr>
          <w:rFonts w:ascii="Arial" w:hAnsi="Arial" w:cs="Arial"/>
          <w:i/>
          <w:iCs/>
          <w:sz w:val="24"/>
          <w:szCs w:val="24"/>
        </w:rPr>
      </w:pPr>
    </w:p>
    <w:p w14:paraId="66678C97" w14:textId="7EED24DD" w:rsidR="00C20BB1" w:rsidRDefault="00C20BB1" w:rsidP="00995161">
      <w:pPr>
        <w:spacing w:after="0" w:line="360" w:lineRule="auto"/>
        <w:jc w:val="both"/>
        <w:rPr>
          <w:rFonts w:ascii="Arial" w:hAnsi="Arial" w:cs="Arial"/>
          <w:sz w:val="24"/>
          <w:szCs w:val="24"/>
        </w:rPr>
      </w:pPr>
      <w:r w:rsidRPr="00C20BB1">
        <w:rPr>
          <w:rFonts w:ascii="Arial" w:hAnsi="Arial" w:cs="Arial"/>
          <w:sz w:val="24"/>
          <w:szCs w:val="24"/>
        </w:rPr>
        <w:t>Por lo anterior, pide se aclare la referida providencia</w:t>
      </w:r>
      <w:r w:rsidR="00CF5F6E">
        <w:rPr>
          <w:rFonts w:ascii="Arial" w:hAnsi="Arial" w:cs="Arial"/>
          <w:sz w:val="24"/>
          <w:szCs w:val="24"/>
        </w:rPr>
        <w:t xml:space="preserve"> o en su defecto se reponga y conceda el </w:t>
      </w:r>
      <w:r w:rsidR="00D414E9">
        <w:rPr>
          <w:rFonts w:ascii="Arial" w:hAnsi="Arial" w:cs="Arial"/>
          <w:sz w:val="24"/>
          <w:szCs w:val="24"/>
        </w:rPr>
        <w:t>recurso</w:t>
      </w:r>
      <w:r w:rsidR="00CF5F6E">
        <w:rPr>
          <w:rFonts w:ascii="Arial" w:hAnsi="Arial" w:cs="Arial"/>
          <w:sz w:val="24"/>
          <w:szCs w:val="24"/>
        </w:rPr>
        <w:t xml:space="preserve"> de alzada.</w:t>
      </w:r>
    </w:p>
    <w:p w14:paraId="4D5CA01B" w14:textId="77777777" w:rsidR="0070280B" w:rsidRDefault="0070280B" w:rsidP="00995161">
      <w:pPr>
        <w:spacing w:after="0" w:line="360" w:lineRule="auto"/>
        <w:jc w:val="both"/>
        <w:rPr>
          <w:rFonts w:ascii="Arial" w:hAnsi="Arial" w:cs="Arial"/>
          <w:sz w:val="24"/>
          <w:szCs w:val="24"/>
        </w:rPr>
      </w:pPr>
    </w:p>
    <w:p w14:paraId="01E7A36D" w14:textId="6790DA3A" w:rsidR="008D04BA" w:rsidRPr="007833EB" w:rsidRDefault="0070280B" w:rsidP="008E4E4E">
      <w:pPr>
        <w:spacing w:after="0" w:line="360" w:lineRule="auto"/>
        <w:jc w:val="both"/>
        <w:rPr>
          <w:rFonts w:ascii="Arial" w:hAnsi="Arial" w:cs="Arial"/>
          <w:i/>
          <w:sz w:val="24"/>
          <w:szCs w:val="24"/>
        </w:rPr>
      </w:pPr>
      <w:r w:rsidRPr="007833EB">
        <w:rPr>
          <w:rFonts w:ascii="Arial" w:eastAsia="Times New Roman" w:hAnsi="Arial" w:cs="Arial"/>
          <w:sz w:val="24"/>
          <w:szCs w:val="24"/>
          <w:lang w:eastAsia="es-ES"/>
        </w:rPr>
        <w:t>*</w:t>
      </w:r>
      <w:r w:rsidRPr="007833EB">
        <w:rPr>
          <w:rFonts w:ascii="Arial" w:eastAsia="Times New Roman" w:hAnsi="Arial" w:cs="Arial"/>
          <w:b/>
          <w:sz w:val="24"/>
          <w:szCs w:val="24"/>
          <w:lang w:eastAsia="es-ES"/>
        </w:rPr>
        <w:t xml:space="preserve">DEL RECURSO Y SUS ARGUMENTOS: </w:t>
      </w:r>
      <w:r w:rsidRPr="007833EB">
        <w:rPr>
          <w:rFonts w:ascii="Arial" w:eastAsia="Times New Roman" w:hAnsi="Arial" w:cs="Arial"/>
          <w:bCs/>
          <w:sz w:val="24"/>
          <w:szCs w:val="24"/>
          <w:lang w:eastAsia="es-ES"/>
        </w:rPr>
        <w:t>M</w:t>
      </w:r>
      <w:r w:rsidR="00146913" w:rsidRPr="007833EB">
        <w:rPr>
          <w:rFonts w:ascii="Arial" w:eastAsia="Times New Roman" w:hAnsi="Arial" w:cs="Arial"/>
          <w:bCs/>
          <w:sz w:val="24"/>
          <w:szCs w:val="24"/>
          <w:lang w:eastAsia="es-ES"/>
        </w:rPr>
        <w:t xml:space="preserve">anifiesta el apoderado judicial, </w:t>
      </w:r>
      <w:r w:rsidR="00146913" w:rsidRPr="007833EB">
        <w:rPr>
          <w:rFonts w:ascii="Arial" w:hAnsi="Arial" w:cs="Arial"/>
          <w:sz w:val="24"/>
          <w:szCs w:val="24"/>
        </w:rPr>
        <w:t>el día 12 de ener</w:t>
      </w:r>
      <w:r w:rsidR="00BF7093" w:rsidRPr="007833EB">
        <w:rPr>
          <w:rFonts w:ascii="Arial" w:hAnsi="Arial" w:cs="Arial"/>
          <w:sz w:val="24"/>
          <w:szCs w:val="24"/>
        </w:rPr>
        <w:t>o 2022</w:t>
      </w:r>
      <w:r w:rsidR="00035B2B" w:rsidRPr="007833EB">
        <w:rPr>
          <w:rFonts w:ascii="Arial" w:hAnsi="Arial" w:cs="Arial"/>
          <w:sz w:val="24"/>
          <w:szCs w:val="24"/>
        </w:rPr>
        <w:t>,</w:t>
      </w:r>
      <w:r w:rsidR="00146913" w:rsidRPr="007833EB">
        <w:rPr>
          <w:rFonts w:ascii="Arial" w:hAnsi="Arial" w:cs="Arial"/>
          <w:sz w:val="24"/>
          <w:szCs w:val="24"/>
        </w:rPr>
        <w:t xml:space="preserve"> no</w:t>
      </w:r>
      <w:r w:rsidR="00BF7093" w:rsidRPr="007833EB">
        <w:rPr>
          <w:rFonts w:ascii="Arial" w:hAnsi="Arial" w:cs="Arial"/>
          <w:sz w:val="24"/>
          <w:szCs w:val="24"/>
        </w:rPr>
        <w:t xml:space="preserve"> se</w:t>
      </w:r>
      <w:r w:rsidR="00146913" w:rsidRPr="007833EB">
        <w:rPr>
          <w:rFonts w:ascii="Arial" w:hAnsi="Arial" w:cs="Arial"/>
          <w:sz w:val="24"/>
          <w:szCs w:val="24"/>
        </w:rPr>
        <w:t xml:space="preserve"> cumplió con lo exigido</w:t>
      </w:r>
      <w:r w:rsidR="00BF7093" w:rsidRPr="007833EB">
        <w:rPr>
          <w:rFonts w:ascii="Arial" w:hAnsi="Arial" w:cs="Arial"/>
          <w:sz w:val="24"/>
          <w:szCs w:val="24"/>
        </w:rPr>
        <w:t xml:space="preserve"> frente a la presentación </w:t>
      </w:r>
      <w:r w:rsidR="00146913" w:rsidRPr="007833EB">
        <w:rPr>
          <w:rFonts w:ascii="Arial" w:hAnsi="Arial" w:cs="Arial"/>
          <w:sz w:val="24"/>
          <w:szCs w:val="24"/>
        </w:rPr>
        <w:t xml:space="preserve">la </w:t>
      </w:r>
      <w:r w:rsidR="00035B2B" w:rsidRPr="007833EB">
        <w:rPr>
          <w:rFonts w:ascii="Arial" w:hAnsi="Arial" w:cs="Arial"/>
          <w:sz w:val="24"/>
          <w:szCs w:val="24"/>
        </w:rPr>
        <w:t>solicitud de conciliación extrajudicial no debe tenerse como presentada en dicha fecha</w:t>
      </w:r>
      <w:r w:rsidR="00146913" w:rsidRPr="007833EB">
        <w:rPr>
          <w:rFonts w:ascii="Arial" w:hAnsi="Arial" w:cs="Arial"/>
          <w:sz w:val="24"/>
          <w:szCs w:val="24"/>
        </w:rPr>
        <w:t xml:space="preserve">; sino </w:t>
      </w:r>
      <w:r w:rsidR="00146913" w:rsidRPr="007833EB">
        <w:rPr>
          <w:rFonts w:ascii="Arial" w:hAnsi="Arial" w:cs="Arial"/>
          <w:sz w:val="24"/>
          <w:szCs w:val="24"/>
        </w:rPr>
        <w:lastRenderedPageBreak/>
        <w:t xml:space="preserve">que, tras la radicación de dicha solicitud, conforme lo ordenó la </w:t>
      </w:r>
      <w:r w:rsidR="006F44C0" w:rsidRPr="007833EB">
        <w:rPr>
          <w:rFonts w:ascii="Arial" w:hAnsi="Arial" w:cs="Arial"/>
          <w:sz w:val="24"/>
          <w:szCs w:val="24"/>
        </w:rPr>
        <w:t xml:space="preserve">Procuraduría 141 Judicial II Para Asuntos del Trabajo y La Seguridad Social, </w:t>
      </w:r>
      <w:r w:rsidR="00F51552" w:rsidRPr="007833EB">
        <w:rPr>
          <w:rFonts w:ascii="Arial" w:hAnsi="Arial" w:cs="Arial"/>
          <w:i/>
          <w:sz w:val="24"/>
          <w:szCs w:val="24"/>
        </w:rPr>
        <w:t>“</w:t>
      </w:r>
      <w:r w:rsidR="00146913" w:rsidRPr="007833EB">
        <w:rPr>
          <w:rFonts w:ascii="Arial" w:hAnsi="Arial" w:cs="Arial"/>
          <w:i/>
          <w:sz w:val="24"/>
          <w:szCs w:val="24"/>
        </w:rPr>
        <w:t xml:space="preserve">se quedó a la espera que la parte actora cumpliera con el lleno de los requisitos que le eran exigibles para la admisión y </w:t>
      </w:r>
      <w:r w:rsidR="00F51552" w:rsidRPr="007833EB">
        <w:rPr>
          <w:rFonts w:ascii="Arial" w:hAnsi="Arial" w:cs="Arial"/>
          <w:i/>
          <w:sz w:val="24"/>
          <w:szCs w:val="24"/>
        </w:rPr>
        <w:t>trámite</w:t>
      </w:r>
      <w:r w:rsidR="00146913" w:rsidRPr="007833EB">
        <w:rPr>
          <w:rFonts w:ascii="Arial" w:hAnsi="Arial" w:cs="Arial"/>
          <w:i/>
          <w:sz w:val="24"/>
          <w:szCs w:val="24"/>
        </w:rPr>
        <w:t xml:space="preserve"> de dicha solicitud</w:t>
      </w:r>
      <w:r w:rsidR="00F51552" w:rsidRPr="007833EB">
        <w:rPr>
          <w:rFonts w:ascii="Arial" w:hAnsi="Arial" w:cs="Arial"/>
          <w:i/>
          <w:sz w:val="24"/>
          <w:szCs w:val="24"/>
        </w:rPr>
        <w:t>”,</w:t>
      </w:r>
      <w:r w:rsidR="00F51552" w:rsidRPr="007833EB">
        <w:rPr>
          <w:rFonts w:ascii="Arial" w:hAnsi="Arial" w:cs="Arial"/>
          <w:sz w:val="24"/>
          <w:szCs w:val="24"/>
        </w:rPr>
        <w:t xml:space="preserve"> requisitos que </w:t>
      </w:r>
      <w:r w:rsidR="00146913" w:rsidRPr="007833EB">
        <w:rPr>
          <w:rFonts w:ascii="Arial" w:hAnsi="Arial" w:cs="Arial"/>
          <w:sz w:val="24"/>
          <w:szCs w:val="24"/>
        </w:rPr>
        <w:t xml:space="preserve">fueron cumplidos y satisfechos por la parte actora, </w:t>
      </w:r>
      <w:r w:rsidR="003220A2" w:rsidRPr="007833EB">
        <w:rPr>
          <w:rFonts w:ascii="Arial" w:hAnsi="Arial" w:cs="Arial"/>
          <w:sz w:val="24"/>
          <w:szCs w:val="24"/>
        </w:rPr>
        <w:t xml:space="preserve">el día 16 de febrero de 2022, con la subsanación presentada, momento en el cual se debe tener por presentada dicha solicitud de conciliación, situación jurídica que, de cara a la caducidad de la acción, toma </w:t>
      </w:r>
      <w:r w:rsidR="00146913" w:rsidRPr="007833EB">
        <w:rPr>
          <w:rFonts w:ascii="Arial" w:hAnsi="Arial" w:cs="Arial"/>
          <w:sz w:val="24"/>
          <w:szCs w:val="24"/>
        </w:rPr>
        <w:t xml:space="preserve">total relevancia, en la medida en que lo establecido por el ordenamiento </w:t>
      </w:r>
      <w:r w:rsidR="003220A2" w:rsidRPr="007833EB">
        <w:rPr>
          <w:rFonts w:ascii="Arial" w:hAnsi="Arial" w:cs="Arial"/>
          <w:sz w:val="24"/>
          <w:szCs w:val="24"/>
        </w:rPr>
        <w:t>jurídico</w:t>
      </w:r>
      <w:r w:rsidR="00146913" w:rsidRPr="007833EB">
        <w:rPr>
          <w:rFonts w:ascii="Arial" w:hAnsi="Arial" w:cs="Arial"/>
          <w:sz w:val="24"/>
          <w:szCs w:val="24"/>
        </w:rPr>
        <w:t xml:space="preserve"> es que</w:t>
      </w:r>
      <w:r w:rsidR="003220A2" w:rsidRPr="007833EB">
        <w:rPr>
          <w:rFonts w:ascii="Arial" w:hAnsi="Arial" w:cs="Arial"/>
          <w:sz w:val="24"/>
          <w:szCs w:val="24"/>
        </w:rPr>
        <w:t>,</w:t>
      </w:r>
      <w:r w:rsidR="00146913" w:rsidRPr="007833EB">
        <w:rPr>
          <w:rFonts w:ascii="Arial" w:hAnsi="Arial" w:cs="Arial"/>
          <w:sz w:val="24"/>
          <w:szCs w:val="24"/>
        </w:rPr>
        <w:t xml:space="preserve"> </w:t>
      </w:r>
      <w:r w:rsidR="003220A2" w:rsidRPr="007833EB">
        <w:rPr>
          <w:rFonts w:ascii="Arial" w:hAnsi="Arial" w:cs="Arial"/>
          <w:i/>
          <w:sz w:val="24"/>
          <w:szCs w:val="24"/>
        </w:rPr>
        <w:t>“</w:t>
      </w:r>
      <w:r w:rsidR="00146913" w:rsidRPr="007833EB">
        <w:rPr>
          <w:rFonts w:ascii="Arial" w:hAnsi="Arial" w:cs="Arial"/>
          <w:i/>
          <w:sz w:val="24"/>
          <w:szCs w:val="24"/>
        </w:rPr>
        <w:t>la caducidad se suspende cuando se presenta la solicitud de conciliación Extrajudicial, pero no es dable concluir que, con la simple radicación de un memorial o solicitud, cuando ni siquiera se cumple con los requisitos establecidos por la norma para su admisión y tramite, ya se tiene por presentada la solicitud conciliación extrajudicial.</w:t>
      </w:r>
      <w:r w:rsidR="003220A2" w:rsidRPr="007833EB">
        <w:rPr>
          <w:rFonts w:ascii="Arial" w:hAnsi="Arial" w:cs="Arial"/>
          <w:i/>
          <w:sz w:val="24"/>
          <w:szCs w:val="24"/>
        </w:rPr>
        <w:t>”</w:t>
      </w:r>
    </w:p>
    <w:p w14:paraId="3B10CCCB" w14:textId="56C00C37" w:rsidR="00646FEF" w:rsidRPr="007833EB" w:rsidRDefault="00646FEF" w:rsidP="008E4E4E">
      <w:pPr>
        <w:spacing w:after="0" w:line="360" w:lineRule="auto"/>
        <w:jc w:val="both"/>
        <w:rPr>
          <w:rFonts w:ascii="Arial" w:hAnsi="Arial" w:cs="Arial"/>
          <w:i/>
          <w:sz w:val="24"/>
          <w:szCs w:val="24"/>
        </w:rPr>
      </w:pPr>
    </w:p>
    <w:p w14:paraId="20A181FC" w14:textId="7FD37A7F" w:rsidR="00646FEF" w:rsidRPr="007833EB" w:rsidRDefault="00646FEF" w:rsidP="008E4E4E">
      <w:pPr>
        <w:spacing w:after="0" w:line="360" w:lineRule="auto"/>
        <w:jc w:val="both"/>
        <w:rPr>
          <w:rFonts w:ascii="Arial" w:hAnsi="Arial" w:cs="Arial"/>
          <w:sz w:val="24"/>
          <w:szCs w:val="24"/>
        </w:rPr>
      </w:pPr>
      <w:r w:rsidRPr="007833EB">
        <w:rPr>
          <w:rFonts w:ascii="Arial" w:hAnsi="Arial" w:cs="Arial"/>
          <w:sz w:val="24"/>
          <w:szCs w:val="24"/>
        </w:rPr>
        <w:t xml:space="preserve">Por ello pide que, se tenga como fecha de presentación de la solicitud de conciliación el día 16 de febrero de 2024, se aclare el auto aludido, o se reponga o en su defecto se conceda el recurso de alzada. </w:t>
      </w:r>
    </w:p>
    <w:p w14:paraId="766084B7" w14:textId="77777777" w:rsidR="009550C8" w:rsidRDefault="009550C8" w:rsidP="00C20BB1">
      <w:pPr>
        <w:tabs>
          <w:tab w:val="left" w:pos="7236"/>
        </w:tabs>
        <w:spacing w:after="0"/>
        <w:jc w:val="both"/>
        <w:rPr>
          <w:rFonts w:ascii="Arial" w:hAnsi="Arial" w:cs="Arial"/>
          <w:sz w:val="24"/>
          <w:szCs w:val="24"/>
        </w:rPr>
      </w:pPr>
    </w:p>
    <w:p w14:paraId="2D897B69" w14:textId="022C3E59" w:rsidR="00C20BB1" w:rsidRPr="00C20BB1" w:rsidRDefault="00C20BB1" w:rsidP="00C20BB1">
      <w:pPr>
        <w:tabs>
          <w:tab w:val="left" w:pos="7236"/>
        </w:tabs>
        <w:spacing w:after="0"/>
        <w:jc w:val="both"/>
        <w:rPr>
          <w:rFonts w:ascii="Arial" w:hAnsi="Arial" w:cs="Arial"/>
          <w:sz w:val="24"/>
          <w:szCs w:val="24"/>
        </w:rPr>
      </w:pPr>
      <w:r w:rsidRPr="00C20BB1">
        <w:rPr>
          <w:rFonts w:ascii="Arial" w:hAnsi="Arial" w:cs="Arial"/>
          <w:sz w:val="24"/>
          <w:szCs w:val="24"/>
        </w:rPr>
        <w:tab/>
      </w:r>
    </w:p>
    <w:p w14:paraId="0E503CF8" w14:textId="77777777" w:rsidR="00C20BB1" w:rsidRPr="00995161" w:rsidRDefault="00C20BB1" w:rsidP="00995161">
      <w:pPr>
        <w:spacing w:after="0" w:line="360" w:lineRule="auto"/>
        <w:jc w:val="both"/>
        <w:rPr>
          <w:rFonts w:ascii="Arial" w:hAnsi="Arial" w:cs="Arial"/>
          <w:b/>
          <w:sz w:val="24"/>
          <w:szCs w:val="24"/>
        </w:rPr>
      </w:pPr>
      <w:r w:rsidRPr="00995161">
        <w:rPr>
          <w:rFonts w:ascii="Arial" w:hAnsi="Arial" w:cs="Arial"/>
          <w:sz w:val="24"/>
          <w:szCs w:val="24"/>
        </w:rPr>
        <w:t xml:space="preserve">Para resolver; </w:t>
      </w:r>
      <w:r w:rsidRPr="00995161">
        <w:rPr>
          <w:rFonts w:ascii="Arial" w:hAnsi="Arial" w:cs="Arial"/>
          <w:b/>
          <w:sz w:val="24"/>
          <w:szCs w:val="24"/>
        </w:rPr>
        <w:t>SE CONSIDERA:</w:t>
      </w:r>
    </w:p>
    <w:p w14:paraId="3BF218E9" w14:textId="0E82CC8F" w:rsidR="00F14F74" w:rsidRDefault="00F14F74" w:rsidP="00995161">
      <w:pPr>
        <w:pStyle w:val="Ttulo1"/>
        <w:spacing w:before="0" w:line="360" w:lineRule="auto"/>
        <w:ind w:left="75" w:right="75"/>
        <w:jc w:val="both"/>
        <w:textAlignment w:val="baseline"/>
        <w:rPr>
          <w:rFonts w:ascii="Arial" w:hAnsi="Arial" w:cs="Arial"/>
          <w:color w:val="333333"/>
          <w:sz w:val="24"/>
          <w:szCs w:val="24"/>
          <w:lang w:val="es-CO"/>
        </w:rPr>
      </w:pPr>
    </w:p>
    <w:p w14:paraId="42CCDE2E" w14:textId="77777777" w:rsidR="00374CDE" w:rsidRPr="00374CDE" w:rsidRDefault="00374CDE" w:rsidP="00374CDE">
      <w:pPr>
        <w:pStyle w:val="Prrafodelista"/>
        <w:numPr>
          <w:ilvl w:val="0"/>
          <w:numId w:val="4"/>
        </w:numPr>
        <w:spacing w:after="0" w:line="360" w:lineRule="auto"/>
        <w:jc w:val="both"/>
        <w:rPr>
          <w:rFonts w:ascii="Arial" w:hAnsi="Arial" w:cs="Arial"/>
          <w:b/>
          <w:bCs/>
          <w:sz w:val="24"/>
          <w:szCs w:val="24"/>
        </w:rPr>
      </w:pPr>
      <w:r w:rsidRPr="00374CDE">
        <w:rPr>
          <w:rFonts w:ascii="Arial" w:hAnsi="Arial" w:cs="Arial"/>
          <w:b/>
          <w:bCs/>
          <w:sz w:val="24"/>
          <w:szCs w:val="24"/>
        </w:rPr>
        <w:t xml:space="preserve">De la aclaración </w:t>
      </w:r>
    </w:p>
    <w:p w14:paraId="71006965" w14:textId="77777777" w:rsidR="00374CDE" w:rsidRDefault="00374CDE" w:rsidP="00374CDE">
      <w:pPr>
        <w:spacing w:after="0" w:line="360" w:lineRule="auto"/>
        <w:jc w:val="both"/>
        <w:rPr>
          <w:rFonts w:ascii="Arial" w:hAnsi="Arial" w:cs="Arial"/>
          <w:sz w:val="24"/>
          <w:szCs w:val="24"/>
        </w:rPr>
      </w:pPr>
    </w:p>
    <w:p w14:paraId="1D173312" w14:textId="6CFE4094" w:rsidR="00800CD0" w:rsidRPr="00374CDE" w:rsidRDefault="00995161" w:rsidP="00374CDE">
      <w:pPr>
        <w:spacing w:after="0" w:line="360" w:lineRule="auto"/>
        <w:jc w:val="both"/>
        <w:rPr>
          <w:rFonts w:ascii="Arial" w:hAnsi="Arial" w:cs="Arial"/>
          <w:sz w:val="24"/>
          <w:szCs w:val="24"/>
        </w:rPr>
      </w:pPr>
      <w:r w:rsidRPr="00374CDE">
        <w:rPr>
          <w:rFonts w:ascii="Arial" w:hAnsi="Arial" w:cs="Arial"/>
          <w:sz w:val="24"/>
          <w:szCs w:val="24"/>
        </w:rPr>
        <w:t xml:space="preserve">La aclaración de las providencias se encuentra regulado por </w:t>
      </w:r>
      <w:r w:rsidR="00800CD0" w:rsidRPr="00374CDE">
        <w:rPr>
          <w:rFonts w:ascii="Arial" w:hAnsi="Arial" w:cs="Arial"/>
          <w:sz w:val="24"/>
          <w:szCs w:val="24"/>
        </w:rPr>
        <w:t>el artículo 285 del Código General del Proceso, aplicable por la remisión genérica contenida en el artículo 306 del C.P.A.C.A.,</w:t>
      </w:r>
      <w:r w:rsidR="00973589" w:rsidRPr="00374CDE">
        <w:rPr>
          <w:rFonts w:ascii="Arial" w:hAnsi="Arial" w:cs="Arial"/>
          <w:sz w:val="24"/>
          <w:szCs w:val="24"/>
        </w:rPr>
        <w:t xml:space="preserve"> que </w:t>
      </w:r>
      <w:r w:rsidR="00800CD0" w:rsidRPr="00374CDE">
        <w:rPr>
          <w:rFonts w:ascii="Arial" w:hAnsi="Arial" w:cs="Arial"/>
          <w:sz w:val="24"/>
          <w:szCs w:val="24"/>
        </w:rPr>
        <w:t>consagra que</w:t>
      </w:r>
      <w:r w:rsidR="006C0DAF" w:rsidRPr="00374CDE">
        <w:rPr>
          <w:rFonts w:ascii="Arial" w:hAnsi="Arial" w:cs="Arial"/>
          <w:sz w:val="24"/>
          <w:szCs w:val="24"/>
        </w:rPr>
        <w:t>:</w:t>
      </w:r>
      <w:r w:rsidR="00800CD0" w:rsidRPr="00374CDE">
        <w:rPr>
          <w:rFonts w:ascii="Arial" w:hAnsi="Arial" w:cs="Arial"/>
          <w:sz w:val="24"/>
          <w:szCs w:val="24"/>
        </w:rPr>
        <w:t xml:space="preserve"> </w:t>
      </w:r>
    </w:p>
    <w:p w14:paraId="03875627" w14:textId="77777777" w:rsidR="00244B66" w:rsidRPr="00995161" w:rsidRDefault="00244B66" w:rsidP="00244B66">
      <w:pPr>
        <w:spacing w:after="0" w:line="360" w:lineRule="auto"/>
        <w:jc w:val="both"/>
        <w:rPr>
          <w:rFonts w:ascii="Arial" w:hAnsi="Arial" w:cs="Arial"/>
          <w:sz w:val="24"/>
          <w:szCs w:val="24"/>
        </w:rPr>
      </w:pPr>
    </w:p>
    <w:p w14:paraId="4687A035" w14:textId="1236A0E2" w:rsidR="00995161" w:rsidRDefault="00244B66" w:rsidP="00244B66">
      <w:pPr>
        <w:spacing w:after="0"/>
        <w:ind w:left="708"/>
        <w:jc w:val="both"/>
        <w:rPr>
          <w:rFonts w:ascii="Arial" w:eastAsia="Times New Roman" w:hAnsi="Arial" w:cs="Arial"/>
          <w:i/>
          <w:iCs/>
          <w:color w:val="000000" w:themeColor="text1"/>
          <w:lang w:val="es-CO" w:eastAsia="es-CO"/>
        </w:rPr>
      </w:pPr>
      <w:bookmarkStart w:id="1" w:name="285"/>
      <w:r>
        <w:rPr>
          <w:rFonts w:ascii="Arial" w:eastAsia="Times New Roman" w:hAnsi="Arial" w:cs="Arial"/>
          <w:b/>
          <w:bCs/>
          <w:i/>
          <w:iCs/>
          <w:color w:val="000000" w:themeColor="text1"/>
          <w:lang w:val="es-CO" w:eastAsia="es-CO"/>
        </w:rPr>
        <w:t>“</w:t>
      </w:r>
      <w:r w:rsidR="00995161" w:rsidRPr="00F14F74">
        <w:rPr>
          <w:rFonts w:ascii="Arial" w:eastAsia="Times New Roman" w:hAnsi="Arial" w:cs="Arial"/>
          <w:b/>
          <w:bCs/>
          <w:i/>
          <w:iCs/>
          <w:color w:val="000000" w:themeColor="text1"/>
          <w:lang w:val="es-CO" w:eastAsia="es-CO"/>
        </w:rPr>
        <w:t>ARTÍCULO 285. ACLARACIÓN.</w:t>
      </w:r>
      <w:bookmarkEnd w:id="1"/>
      <w:r w:rsidR="00995161" w:rsidRPr="00F14F74">
        <w:rPr>
          <w:rFonts w:ascii="Arial" w:eastAsia="Times New Roman" w:hAnsi="Arial" w:cs="Arial"/>
          <w:i/>
          <w:iCs/>
          <w:color w:val="000000" w:themeColor="text1"/>
          <w:lang w:val="es-CO" w:eastAsia="es-CO"/>
        </w:rPr>
        <w:t>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14:paraId="51EEA351" w14:textId="77777777" w:rsidR="00995161" w:rsidRPr="00F14F74" w:rsidRDefault="00995161" w:rsidP="00995161">
      <w:pPr>
        <w:spacing w:after="0"/>
        <w:ind w:left="708"/>
        <w:jc w:val="both"/>
        <w:rPr>
          <w:rFonts w:ascii="Arial" w:eastAsia="Times New Roman" w:hAnsi="Arial" w:cs="Arial"/>
          <w:i/>
          <w:iCs/>
          <w:color w:val="000000" w:themeColor="text1"/>
          <w:lang w:val="es-CO" w:eastAsia="es-CO"/>
        </w:rPr>
      </w:pPr>
    </w:p>
    <w:p w14:paraId="5C19DEE1" w14:textId="49D6EF50" w:rsidR="00995161" w:rsidRPr="00B32329" w:rsidRDefault="00995161" w:rsidP="00995161">
      <w:pPr>
        <w:spacing w:after="0"/>
        <w:ind w:left="708"/>
        <w:jc w:val="both"/>
        <w:rPr>
          <w:rFonts w:ascii="Arial" w:eastAsia="Times New Roman" w:hAnsi="Arial" w:cs="Arial"/>
          <w:b/>
          <w:bCs/>
          <w:i/>
          <w:iCs/>
          <w:color w:val="000000" w:themeColor="text1"/>
          <w:u w:val="single"/>
          <w:lang w:val="es-CO" w:eastAsia="es-CO"/>
        </w:rPr>
      </w:pPr>
      <w:r w:rsidRPr="00F14F74">
        <w:rPr>
          <w:rFonts w:ascii="Arial" w:eastAsia="Times New Roman" w:hAnsi="Arial" w:cs="Arial"/>
          <w:b/>
          <w:bCs/>
          <w:i/>
          <w:iCs/>
          <w:color w:val="000000" w:themeColor="text1"/>
          <w:u w:val="single"/>
          <w:lang w:val="es-CO" w:eastAsia="es-CO"/>
        </w:rPr>
        <w:t>En las mismas circunstancias procederá la aclaración de auto. La aclaración procederá de oficio o a petición de parte formulada dentro del término de ejecutoria de la providencia.</w:t>
      </w:r>
    </w:p>
    <w:p w14:paraId="4C421A46" w14:textId="77777777" w:rsidR="00995161" w:rsidRPr="00F14F74" w:rsidRDefault="00995161" w:rsidP="00995161">
      <w:pPr>
        <w:spacing w:after="0"/>
        <w:ind w:left="708"/>
        <w:jc w:val="both"/>
        <w:rPr>
          <w:rFonts w:ascii="Arial" w:eastAsia="Times New Roman" w:hAnsi="Arial" w:cs="Arial"/>
          <w:i/>
          <w:iCs/>
          <w:color w:val="000000" w:themeColor="text1"/>
          <w:lang w:val="es-CO" w:eastAsia="es-CO"/>
        </w:rPr>
      </w:pPr>
    </w:p>
    <w:p w14:paraId="678849EF" w14:textId="3E425E3D" w:rsidR="00995161" w:rsidRDefault="00995161" w:rsidP="00995161">
      <w:pPr>
        <w:spacing w:after="0"/>
        <w:ind w:left="708"/>
        <w:jc w:val="both"/>
        <w:rPr>
          <w:rFonts w:ascii="Arial" w:eastAsia="Times New Roman" w:hAnsi="Arial" w:cs="Arial"/>
          <w:color w:val="000000" w:themeColor="text1"/>
          <w:lang w:val="es-CO" w:eastAsia="es-CO"/>
        </w:rPr>
      </w:pPr>
      <w:r w:rsidRPr="00F14F74">
        <w:rPr>
          <w:rFonts w:ascii="Arial" w:eastAsia="Times New Roman" w:hAnsi="Arial" w:cs="Arial"/>
          <w:i/>
          <w:iCs/>
          <w:color w:val="000000" w:themeColor="text1"/>
          <w:lang w:val="es-CO" w:eastAsia="es-CO"/>
        </w:rPr>
        <w:lastRenderedPageBreak/>
        <w:t>La providencia que resuelva sobre la aclaración no admite recursos, pero dentro de su ejecutoria podrán interponerse los que procedan contra la providencia objeto de aclaración.</w:t>
      </w:r>
      <w:r w:rsidR="00217A9E">
        <w:rPr>
          <w:rFonts w:ascii="Arial" w:eastAsia="Times New Roman" w:hAnsi="Arial" w:cs="Arial"/>
          <w:i/>
          <w:iCs/>
          <w:color w:val="000000" w:themeColor="text1"/>
          <w:lang w:val="es-CO" w:eastAsia="es-CO"/>
        </w:rPr>
        <w:t>”</w:t>
      </w:r>
      <w:r w:rsidR="00B32329">
        <w:rPr>
          <w:rFonts w:ascii="Arial" w:eastAsia="Times New Roman" w:hAnsi="Arial" w:cs="Arial"/>
          <w:color w:val="000000" w:themeColor="text1"/>
          <w:lang w:val="es-CO" w:eastAsia="es-CO"/>
        </w:rPr>
        <w:t xml:space="preserve"> (Negrillas y subrayas fuera del texto)</w:t>
      </w:r>
    </w:p>
    <w:p w14:paraId="45A43773" w14:textId="34CB3718" w:rsidR="007E4A1B" w:rsidRDefault="007E4A1B" w:rsidP="007E4A1B">
      <w:pPr>
        <w:spacing w:after="0"/>
        <w:jc w:val="both"/>
        <w:rPr>
          <w:rFonts w:ascii="Arial" w:hAnsi="Arial" w:cs="Arial"/>
          <w:sz w:val="21"/>
          <w:szCs w:val="21"/>
        </w:rPr>
      </w:pPr>
    </w:p>
    <w:p w14:paraId="730D6B88" w14:textId="77777777" w:rsidR="00EB20DD" w:rsidRDefault="00EB20DD" w:rsidP="007E4A1B">
      <w:pPr>
        <w:spacing w:after="0"/>
        <w:jc w:val="both"/>
        <w:rPr>
          <w:rFonts w:ascii="Arial" w:hAnsi="Arial" w:cs="Arial"/>
          <w:sz w:val="21"/>
          <w:szCs w:val="21"/>
        </w:rPr>
      </w:pPr>
    </w:p>
    <w:p w14:paraId="1E0EEAB2" w14:textId="2DA18095" w:rsidR="00800CD0" w:rsidRDefault="00800CD0" w:rsidP="008A0757">
      <w:pPr>
        <w:spacing w:after="0" w:line="360" w:lineRule="auto"/>
        <w:jc w:val="both"/>
        <w:rPr>
          <w:rFonts w:ascii="Arial" w:hAnsi="Arial" w:cs="Arial"/>
          <w:sz w:val="24"/>
          <w:szCs w:val="24"/>
        </w:rPr>
      </w:pPr>
      <w:r w:rsidRPr="008A0757">
        <w:rPr>
          <w:rFonts w:ascii="Arial" w:hAnsi="Arial" w:cs="Arial"/>
          <w:sz w:val="24"/>
          <w:szCs w:val="24"/>
        </w:rPr>
        <w:t>En efecto, tal como lo prevé la norma transcrita en precedencia, la aclaración de las providencias judiciales permite corregirlas, de oficio o a solicitud de parte, en cuanto padezcan de cualquiera de tres aspectos claramente diferenciables, así: i) dilucidar de puntos o frases que ofrezcan duda; y ii) falta de congruencia entre los extremos de la litis (objeto de decisión) y la providencia respectiva.</w:t>
      </w:r>
    </w:p>
    <w:p w14:paraId="27CE9086" w14:textId="3A8B2797" w:rsidR="008A0757" w:rsidRDefault="008A0757" w:rsidP="008A0757">
      <w:pPr>
        <w:spacing w:after="0" w:line="360" w:lineRule="auto"/>
        <w:jc w:val="both"/>
        <w:rPr>
          <w:rFonts w:ascii="Arial" w:hAnsi="Arial" w:cs="Arial"/>
          <w:sz w:val="24"/>
          <w:szCs w:val="24"/>
        </w:rPr>
      </w:pPr>
    </w:p>
    <w:p w14:paraId="077AAD91" w14:textId="1E48A7B6" w:rsidR="008A0757" w:rsidRDefault="008A0757" w:rsidP="008A0757">
      <w:pPr>
        <w:spacing w:after="0" w:line="360" w:lineRule="auto"/>
        <w:jc w:val="both"/>
        <w:rPr>
          <w:rFonts w:ascii="Arial" w:hAnsi="Arial" w:cs="Arial"/>
          <w:sz w:val="24"/>
          <w:szCs w:val="24"/>
        </w:rPr>
      </w:pPr>
      <w:r>
        <w:rPr>
          <w:rFonts w:ascii="Arial" w:hAnsi="Arial" w:cs="Arial"/>
          <w:sz w:val="24"/>
          <w:szCs w:val="24"/>
        </w:rPr>
        <w:t xml:space="preserve">Asimismo, el término oportuno para solicitar dicha aclaración, es dentro del término de ejecutoria de la providencia, es decir, una vez ejecutoriada la misma, no es procede la solicitud, y el auto que resuelve dicha solicitud no es susceptible de recurso alguno. </w:t>
      </w:r>
      <w:r w:rsidR="00601A75">
        <w:rPr>
          <w:rFonts w:ascii="Arial" w:hAnsi="Arial" w:cs="Arial"/>
          <w:sz w:val="24"/>
          <w:szCs w:val="24"/>
        </w:rPr>
        <w:t>Ahora bien, el auto objeto de la solicitud, fue proferido el</w:t>
      </w:r>
      <w:r w:rsidR="00EB20DD">
        <w:rPr>
          <w:rFonts w:ascii="Arial" w:hAnsi="Arial" w:cs="Arial"/>
          <w:sz w:val="24"/>
          <w:szCs w:val="24"/>
        </w:rPr>
        <w:t xml:space="preserve"> 5 de marzo de 2024</w:t>
      </w:r>
      <w:r w:rsidR="00EB20DD">
        <w:rPr>
          <w:rStyle w:val="Refdenotaalpie"/>
          <w:rFonts w:ascii="Arial" w:hAnsi="Arial" w:cs="Arial"/>
          <w:sz w:val="24"/>
          <w:szCs w:val="24"/>
        </w:rPr>
        <w:footnoteReference w:id="3"/>
      </w:r>
      <w:r w:rsidR="00EB20DD">
        <w:rPr>
          <w:rFonts w:ascii="Arial" w:hAnsi="Arial" w:cs="Arial"/>
          <w:sz w:val="24"/>
          <w:szCs w:val="24"/>
        </w:rPr>
        <w:t>, surtiendo la n</w:t>
      </w:r>
      <w:r w:rsidR="00A023F5">
        <w:rPr>
          <w:rFonts w:ascii="Arial" w:hAnsi="Arial" w:cs="Arial"/>
          <w:sz w:val="24"/>
          <w:szCs w:val="24"/>
        </w:rPr>
        <w:t>otificación el día</w:t>
      </w:r>
      <w:r w:rsidR="00EB20DD">
        <w:rPr>
          <w:rFonts w:ascii="Arial" w:hAnsi="Arial" w:cs="Arial"/>
          <w:sz w:val="24"/>
          <w:szCs w:val="24"/>
        </w:rPr>
        <w:t xml:space="preserve"> 7 de marzo de 2024</w:t>
      </w:r>
      <w:r w:rsidR="00EB20DD">
        <w:rPr>
          <w:rStyle w:val="Refdenotaalpie"/>
          <w:rFonts w:ascii="Arial" w:hAnsi="Arial" w:cs="Arial"/>
          <w:sz w:val="24"/>
          <w:szCs w:val="24"/>
        </w:rPr>
        <w:footnoteReference w:id="4"/>
      </w:r>
      <w:r w:rsidR="00FA1233">
        <w:rPr>
          <w:rFonts w:ascii="Arial" w:hAnsi="Arial" w:cs="Arial"/>
          <w:sz w:val="24"/>
          <w:szCs w:val="24"/>
        </w:rPr>
        <w:t xml:space="preserve">, por lo cual, conforme la norma anteriormente mencionada, contaba </w:t>
      </w:r>
      <w:r w:rsidR="00374CDE">
        <w:rPr>
          <w:rFonts w:ascii="Arial" w:hAnsi="Arial" w:cs="Arial"/>
          <w:sz w:val="24"/>
          <w:szCs w:val="24"/>
        </w:rPr>
        <w:t xml:space="preserve">hasta el </w:t>
      </w:r>
      <w:r w:rsidR="00B534CC">
        <w:rPr>
          <w:rFonts w:ascii="Arial" w:hAnsi="Arial" w:cs="Arial"/>
          <w:sz w:val="24"/>
          <w:szCs w:val="24"/>
        </w:rPr>
        <w:t>12</w:t>
      </w:r>
      <w:r w:rsidR="00374CDE">
        <w:rPr>
          <w:rFonts w:ascii="Arial" w:hAnsi="Arial" w:cs="Arial"/>
          <w:sz w:val="24"/>
          <w:szCs w:val="24"/>
        </w:rPr>
        <w:t xml:space="preserve"> de </w:t>
      </w:r>
      <w:r w:rsidR="00B534CC">
        <w:rPr>
          <w:rFonts w:ascii="Arial" w:hAnsi="Arial" w:cs="Arial"/>
          <w:sz w:val="24"/>
          <w:szCs w:val="24"/>
        </w:rPr>
        <w:t>marzo de 2024</w:t>
      </w:r>
      <w:r w:rsidR="00374CDE">
        <w:rPr>
          <w:rFonts w:ascii="Arial" w:hAnsi="Arial" w:cs="Arial"/>
          <w:sz w:val="24"/>
          <w:szCs w:val="24"/>
        </w:rPr>
        <w:t xml:space="preserve"> para poder solicitar la adición sumando los dos días de que trata el artículo 201ª, </w:t>
      </w:r>
      <w:r w:rsidR="00BF11FE">
        <w:rPr>
          <w:rFonts w:ascii="Arial" w:hAnsi="Arial" w:cs="Arial"/>
          <w:sz w:val="24"/>
          <w:szCs w:val="24"/>
        </w:rPr>
        <w:t>tenía</w:t>
      </w:r>
      <w:r w:rsidR="00374CDE">
        <w:rPr>
          <w:rFonts w:ascii="Arial" w:hAnsi="Arial" w:cs="Arial"/>
          <w:sz w:val="24"/>
          <w:szCs w:val="24"/>
        </w:rPr>
        <w:t xml:space="preserve"> hasta el </w:t>
      </w:r>
      <w:r w:rsidR="00B534CC">
        <w:rPr>
          <w:rFonts w:ascii="Arial" w:hAnsi="Arial" w:cs="Arial"/>
          <w:sz w:val="24"/>
          <w:szCs w:val="24"/>
        </w:rPr>
        <w:t>14 de marzo de 2024</w:t>
      </w:r>
      <w:r w:rsidR="00374CDE">
        <w:rPr>
          <w:rFonts w:ascii="Arial" w:hAnsi="Arial" w:cs="Arial"/>
          <w:sz w:val="24"/>
          <w:szCs w:val="24"/>
        </w:rPr>
        <w:t>, para dicha petición, y l</w:t>
      </w:r>
      <w:r w:rsidR="00B534CC">
        <w:rPr>
          <w:rFonts w:ascii="Arial" w:hAnsi="Arial" w:cs="Arial"/>
          <w:sz w:val="24"/>
          <w:szCs w:val="24"/>
        </w:rPr>
        <w:t>a misma fue presentada el día 11 de marzo de 2024</w:t>
      </w:r>
      <w:r w:rsidR="00BF11FE">
        <w:rPr>
          <w:rFonts w:ascii="Arial" w:hAnsi="Arial" w:cs="Arial"/>
          <w:sz w:val="24"/>
          <w:szCs w:val="24"/>
        </w:rPr>
        <w:t>, es decir, dentro</w:t>
      </w:r>
      <w:r w:rsidR="00374CDE">
        <w:rPr>
          <w:rFonts w:ascii="Arial" w:hAnsi="Arial" w:cs="Arial"/>
          <w:sz w:val="24"/>
          <w:szCs w:val="24"/>
        </w:rPr>
        <w:t xml:space="preserve"> del término señalado para la misma.</w:t>
      </w:r>
    </w:p>
    <w:p w14:paraId="3DD1C591" w14:textId="77777777" w:rsidR="00374CDE" w:rsidRDefault="00374CDE" w:rsidP="008A0757">
      <w:pPr>
        <w:spacing w:after="0" w:line="360" w:lineRule="auto"/>
        <w:jc w:val="both"/>
        <w:rPr>
          <w:rFonts w:ascii="Arial" w:hAnsi="Arial" w:cs="Arial"/>
          <w:sz w:val="24"/>
          <w:szCs w:val="24"/>
        </w:rPr>
      </w:pPr>
    </w:p>
    <w:p w14:paraId="3C2EF8C6" w14:textId="7DABDE9E" w:rsidR="008A0757" w:rsidRDefault="00BF11FE" w:rsidP="008A0757">
      <w:pPr>
        <w:spacing w:after="0" w:line="360" w:lineRule="auto"/>
        <w:jc w:val="both"/>
        <w:rPr>
          <w:rFonts w:ascii="Arial" w:eastAsia="Times New Roman" w:hAnsi="Arial" w:cs="Arial"/>
          <w:iCs/>
          <w:color w:val="000000" w:themeColor="text1"/>
          <w:sz w:val="24"/>
          <w:szCs w:val="24"/>
          <w:lang w:val="es-CO" w:eastAsia="es-CO"/>
        </w:rPr>
      </w:pPr>
      <w:r>
        <w:rPr>
          <w:rFonts w:ascii="Arial" w:hAnsi="Arial" w:cs="Arial"/>
          <w:sz w:val="24"/>
          <w:szCs w:val="24"/>
        </w:rPr>
        <w:t xml:space="preserve">Ahora bien, en cuanto a la procedencia de la presente solicitud de aclaración, ha de indicar el Despacho que, la norma que regula esta figura procesal, es clara al plantear que la misma debe invocarse cuando realmente la providencia objeto del petitum </w:t>
      </w:r>
      <w:r w:rsidRPr="00BF11FE">
        <w:rPr>
          <w:rFonts w:ascii="Arial" w:eastAsia="Times New Roman" w:hAnsi="Arial" w:cs="Arial"/>
          <w:iCs/>
          <w:color w:val="000000" w:themeColor="text1"/>
          <w:sz w:val="24"/>
          <w:szCs w:val="24"/>
          <w:lang w:val="es-CO" w:eastAsia="es-CO"/>
        </w:rPr>
        <w:t>contenga conceptos o frases que ofrezcan verdadero motivo de duda,</w:t>
      </w:r>
      <w:r>
        <w:rPr>
          <w:rFonts w:ascii="Arial" w:eastAsia="Times New Roman" w:hAnsi="Arial" w:cs="Arial"/>
          <w:iCs/>
          <w:color w:val="000000" w:themeColor="text1"/>
          <w:sz w:val="24"/>
          <w:szCs w:val="24"/>
          <w:lang w:val="es-CO" w:eastAsia="es-CO"/>
        </w:rPr>
        <w:t xml:space="preserve"> sin embargo, </w:t>
      </w:r>
      <w:r w:rsidR="00CB7E29">
        <w:rPr>
          <w:rFonts w:ascii="Arial" w:eastAsia="Times New Roman" w:hAnsi="Arial" w:cs="Arial"/>
          <w:iCs/>
          <w:color w:val="000000" w:themeColor="text1"/>
          <w:sz w:val="24"/>
          <w:szCs w:val="24"/>
          <w:lang w:val="es-CO" w:eastAsia="es-CO"/>
        </w:rPr>
        <w:t xml:space="preserve">lo realmente pretendido por el apoderado, es </w:t>
      </w:r>
      <w:r w:rsidR="00685382">
        <w:rPr>
          <w:rFonts w:ascii="Arial" w:eastAsia="Times New Roman" w:hAnsi="Arial" w:cs="Arial"/>
          <w:iCs/>
          <w:color w:val="000000" w:themeColor="text1"/>
          <w:sz w:val="24"/>
          <w:szCs w:val="24"/>
          <w:lang w:val="es-CO" w:eastAsia="es-CO"/>
        </w:rPr>
        <w:t xml:space="preserve">que la excepción previa propuesta por dicho apoderado, es decir la ineptitud de la demanda por falta de los requisitos formales, esto es la conciliación prejudicial como requisito de procedibilidad, sea nuevamente estudiada y en su lugar se tenga como fecha de presentación de la solicitud de conciliación el día “16 de febrero de 2022” como fecha de presentación de la misma y así operaría en consecuencia el fenómeno de la caducidad, de la presente acción, motivo que pondría fin al proceso. </w:t>
      </w:r>
    </w:p>
    <w:p w14:paraId="4588467D" w14:textId="44DA2A51" w:rsidR="00685382" w:rsidRDefault="00685382" w:rsidP="008A0757">
      <w:pPr>
        <w:spacing w:after="0" w:line="360" w:lineRule="auto"/>
        <w:jc w:val="both"/>
        <w:rPr>
          <w:rFonts w:ascii="Arial" w:eastAsia="Times New Roman" w:hAnsi="Arial" w:cs="Arial"/>
          <w:iCs/>
          <w:color w:val="000000" w:themeColor="text1"/>
          <w:sz w:val="24"/>
          <w:szCs w:val="24"/>
          <w:lang w:val="es-CO" w:eastAsia="es-CO"/>
        </w:rPr>
      </w:pPr>
    </w:p>
    <w:p w14:paraId="06668DAD" w14:textId="64319A20" w:rsidR="00374CDE" w:rsidRDefault="00685382" w:rsidP="008A0757">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iCs/>
          <w:color w:val="000000" w:themeColor="text1"/>
          <w:sz w:val="24"/>
          <w:szCs w:val="24"/>
          <w:lang w:val="es-CO" w:eastAsia="es-CO"/>
        </w:rPr>
        <w:lastRenderedPageBreak/>
        <w:t xml:space="preserve">Observa el Despacho que, lo anterior, no es una duda o un error aritmético o gramático que, ocasionare un error en la lectura de la providencia o en su defecto, genere confusión, por el contrario, por el contrario, la solicitud está encaminada a la revocatoria del auto No. 0034-24 del 5 de marzo de 2024, razón por la cual, el despacho considera que la petición de aclaración invocada por el extremo pasivo la llamada en garantía Dra. Dora Gordon, no ha de prosperar. </w:t>
      </w:r>
    </w:p>
    <w:p w14:paraId="53934F6B" w14:textId="4216FC1B" w:rsidR="00685382" w:rsidRDefault="00685382" w:rsidP="008A0757">
      <w:pPr>
        <w:spacing w:after="0" w:line="360" w:lineRule="auto"/>
        <w:jc w:val="both"/>
        <w:rPr>
          <w:rFonts w:ascii="Arial" w:eastAsia="Times New Roman" w:hAnsi="Arial" w:cs="Arial"/>
          <w:iCs/>
          <w:color w:val="000000" w:themeColor="text1"/>
          <w:sz w:val="24"/>
          <w:szCs w:val="24"/>
          <w:lang w:val="es-CO" w:eastAsia="es-CO"/>
        </w:rPr>
      </w:pPr>
    </w:p>
    <w:p w14:paraId="06D25C99" w14:textId="77777777" w:rsidR="00685382" w:rsidRPr="008A0757" w:rsidRDefault="00685382" w:rsidP="008A0757">
      <w:pPr>
        <w:spacing w:after="0" w:line="360" w:lineRule="auto"/>
        <w:jc w:val="both"/>
        <w:rPr>
          <w:rFonts w:ascii="Arial" w:hAnsi="Arial" w:cs="Arial"/>
          <w:sz w:val="24"/>
          <w:szCs w:val="24"/>
        </w:rPr>
      </w:pPr>
    </w:p>
    <w:p w14:paraId="5D5EA56D" w14:textId="6AB18E98" w:rsidR="00374CDE" w:rsidRDefault="00374CDE" w:rsidP="00374CDE">
      <w:pPr>
        <w:pStyle w:val="Prrafodelista"/>
        <w:numPr>
          <w:ilvl w:val="0"/>
          <w:numId w:val="4"/>
        </w:numPr>
        <w:spacing w:after="0" w:line="360" w:lineRule="auto"/>
        <w:jc w:val="both"/>
        <w:rPr>
          <w:rFonts w:ascii="Arial" w:hAnsi="Arial" w:cs="Arial"/>
          <w:b/>
          <w:sz w:val="24"/>
          <w:szCs w:val="24"/>
        </w:rPr>
      </w:pPr>
      <w:r>
        <w:rPr>
          <w:rFonts w:ascii="Arial" w:hAnsi="Arial" w:cs="Arial"/>
          <w:b/>
          <w:sz w:val="24"/>
          <w:szCs w:val="24"/>
        </w:rPr>
        <w:t>Del recurso de reposición</w:t>
      </w:r>
    </w:p>
    <w:p w14:paraId="25013927" w14:textId="77777777" w:rsidR="00374CDE" w:rsidRDefault="00374CDE" w:rsidP="008458C8">
      <w:pPr>
        <w:spacing w:after="0" w:line="360" w:lineRule="auto"/>
        <w:jc w:val="both"/>
        <w:rPr>
          <w:rFonts w:ascii="Arial" w:hAnsi="Arial" w:cs="Arial"/>
          <w:b/>
          <w:sz w:val="24"/>
          <w:szCs w:val="24"/>
        </w:rPr>
      </w:pPr>
    </w:p>
    <w:p w14:paraId="31FA52F8" w14:textId="77777777" w:rsidR="00374CDE" w:rsidRPr="00C474DF" w:rsidRDefault="00374CDE" w:rsidP="00374CDE">
      <w:pPr>
        <w:spacing w:after="0" w:line="360" w:lineRule="auto"/>
        <w:jc w:val="both"/>
        <w:rPr>
          <w:rFonts w:ascii="Arial" w:eastAsia="Times New Roman" w:hAnsi="Arial" w:cs="Arial"/>
          <w:b/>
          <w:sz w:val="24"/>
          <w:szCs w:val="24"/>
          <w:lang w:eastAsia="es-ES"/>
        </w:rPr>
      </w:pPr>
      <w:r w:rsidRPr="00C474DF">
        <w:rPr>
          <w:rFonts w:ascii="Arial" w:eastAsia="Times New Roman" w:hAnsi="Arial" w:cs="Arial"/>
          <w:sz w:val="24"/>
          <w:szCs w:val="24"/>
          <w:lang w:eastAsia="es-ES"/>
        </w:rPr>
        <w:t>El recurso de reposición tiene como finalidad que el mismo Juez que dictó la resolución impugnada la reconsidere y enmiende el error en que ha incurrido, ya sea revocando la providencia o dictando en su lugar una nueva resolución ajustada a derecho.</w:t>
      </w:r>
    </w:p>
    <w:p w14:paraId="6B4DC6A0"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21C9D81C" w14:textId="77777777" w:rsidR="00374CDE" w:rsidRPr="00C474DF" w:rsidRDefault="00374CDE" w:rsidP="00374CDE">
      <w:pPr>
        <w:spacing w:after="0" w:line="360" w:lineRule="auto"/>
        <w:jc w:val="both"/>
        <w:rPr>
          <w:rFonts w:ascii="Arial" w:eastAsia="Times New Roman" w:hAnsi="Arial" w:cs="Arial"/>
          <w:bCs/>
          <w:sz w:val="24"/>
          <w:szCs w:val="24"/>
          <w:lang w:eastAsia="es-ES"/>
        </w:rPr>
      </w:pPr>
      <w:r w:rsidRPr="00C474DF">
        <w:rPr>
          <w:rFonts w:ascii="Arial" w:eastAsia="Times New Roman" w:hAnsi="Arial" w:cs="Arial"/>
          <w:bCs/>
          <w:sz w:val="24"/>
          <w:szCs w:val="24"/>
          <w:lang w:eastAsia="es-ES"/>
        </w:rPr>
        <w:t xml:space="preserve">El artículo 242 del Código de Procedimiento Administrativo y de lo Contencioso Administrativo </w:t>
      </w:r>
      <w:r>
        <w:rPr>
          <w:rFonts w:ascii="Arial" w:eastAsia="Times New Roman" w:hAnsi="Arial" w:cs="Arial"/>
          <w:bCs/>
          <w:sz w:val="24"/>
          <w:szCs w:val="24"/>
          <w:lang w:eastAsia="es-ES"/>
        </w:rPr>
        <w:t>modificado por la Ley 2080 de 2021, regulo</w:t>
      </w:r>
      <w:r w:rsidRPr="00C474DF">
        <w:rPr>
          <w:rFonts w:ascii="Arial" w:eastAsia="Times New Roman" w:hAnsi="Arial" w:cs="Arial"/>
          <w:bCs/>
          <w:sz w:val="24"/>
          <w:szCs w:val="24"/>
          <w:lang w:eastAsia="es-ES"/>
        </w:rPr>
        <w:t xml:space="preserve"> el recurso de reposición así:</w:t>
      </w:r>
    </w:p>
    <w:p w14:paraId="57745C4C"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2605BD4E" w14:textId="77777777" w:rsidR="00374CDE" w:rsidRPr="00C474DF" w:rsidRDefault="00374CDE" w:rsidP="00374CDE">
      <w:pPr>
        <w:spacing w:after="0" w:line="360" w:lineRule="auto"/>
        <w:ind w:left="708" w:right="618"/>
        <w:jc w:val="both"/>
        <w:rPr>
          <w:rFonts w:ascii="Arial" w:eastAsia="Times New Roman" w:hAnsi="Arial" w:cs="Arial"/>
          <w:bCs/>
          <w:i/>
          <w:lang w:eastAsia="es-ES"/>
        </w:rPr>
      </w:pPr>
      <w:r w:rsidRPr="00C474DF">
        <w:rPr>
          <w:rFonts w:ascii="Arial" w:eastAsia="Times New Roman" w:hAnsi="Arial" w:cs="Arial"/>
          <w:bCs/>
          <w:i/>
          <w:lang w:eastAsia="es-ES"/>
        </w:rPr>
        <w:t>“ARTÍCULO 242.</w:t>
      </w:r>
      <w:r>
        <w:rPr>
          <w:rFonts w:ascii="Arial" w:eastAsia="Times New Roman" w:hAnsi="Arial" w:cs="Arial"/>
          <w:bCs/>
          <w:i/>
          <w:lang w:eastAsia="es-ES"/>
        </w:rPr>
        <w:t xml:space="preserve"> Modificado. Ley 2080 de 2021, art. 61. El recurso</w:t>
      </w:r>
      <w:r w:rsidRPr="00C474DF">
        <w:rPr>
          <w:rFonts w:ascii="Arial" w:eastAsia="Times New Roman" w:hAnsi="Arial" w:cs="Arial"/>
          <w:bCs/>
          <w:i/>
          <w:lang w:eastAsia="es-ES"/>
        </w:rPr>
        <w:t xml:space="preserve"> reposición</w:t>
      </w:r>
      <w:r>
        <w:rPr>
          <w:rFonts w:ascii="Arial" w:eastAsia="Times New Roman" w:hAnsi="Arial" w:cs="Arial"/>
          <w:bCs/>
          <w:i/>
          <w:lang w:eastAsia="es-ES"/>
        </w:rPr>
        <w:t xml:space="preserve"> procede contra todos los autos, salvo norma legal en contrario. En cuanto </w:t>
      </w:r>
      <w:r w:rsidRPr="00C474DF">
        <w:rPr>
          <w:rFonts w:ascii="Arial" w:eastAsia="Times New Roman" w:hAnsi="Arial" w:cs="Arial"/>
          <w:bCs/>
          <w:i/>
          <w:lang w:eastAsia="es-ES"/>
        </w:rPr>
        <w:t xml:space="preserve">a su oportunidad y trámite se aplicará lo dispuesto en el Código </w:t>
      </w:r>
      <w:r>
        <w:rPr>
          <w:rFonts w:ascii="Arial" w:eastAsia="Times New Roman" w:hAnsi="Arial" w:cs="Arial"/>
          <w:bCs/>
          <w:i/>
          <w:lang w:eastAsia="es-ES"/>
        </w:rPr>
        <w:t>General del Proceso</w:t>
      </w:r>
      <w:r w:rsidRPr="00C474DF">
        <w:rPr>
          <w:rFonts w:ascii="Arial" w:eastAsia="Times New Roman" w:hAnsi="Arial" w:cs="Arial"/>
          <w:bCs/>
          <w:i/>
          <w:lang w:eastAsia="es-ES"/>
        </w:rPr>
        <w:t>.”</w:t>
      </w:r>
    </w:p>
    <w:p w14:paraId="453C302E"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31111C32" w14:textId="77777777" w:rsidR="00374CDE" w:rsidRDefault="00374CDE" w:rsidP="00374CDE">
      <w:pPr>
        <w:spacing w:after="0" w:line="360" w:lineRule="auto"/>
        <w:jc w:val="both"/>
        <w:rPr>
          <w:rFonts w:ascii="Arial" w:eastAsia="Times New Roman" w:hAnsi="Arial" w:cs="Arial"/>
          <w:bCs/>
          <w:sz w:val="24"/>
          <w:szCs w:val="24"/>
          <w:lang w:eastAsia="es-ES"/>
        </w:rPr>
      </w:pPr>
      <w:r w:rsidRPr="00C474DF">
        <w:rPr>
          <w:rFonts w:ascii="Arial" w:eastAsia="Times New Roman" w:hAnsi="Arial" w:cs="Arial"/>
          <w:bCs/>
          <w:sz w:val="24"/>
          <w:szCs w:val="24"/>
          <w:lang w:eastAsia="es-ES"/>
        </w:rPr>
        <w:t>En atención a dicha remisión normativa, se tiene que el Código General del Proceso en su artículo 318 regula el recurso en mención:</w:t>
      </w:r>
    </w:p>
    <w:p w14:paraId="78736894" w14:textId="77777777" w:rsidR="00374CDE" w:rsidRPr="00C474DF" w:rsidRDefault="00374CDE" w:rsidP="00374CDE">
      <w:pPr>
        <w:spacing w:after="0" w:line="360" w:lineRule="auto"/>
        <w:jc w:val="both"/>
        <w:rPr>
          <w:rFonts w:ascii="Arial" w:eastAsia="Times New Roman" w:hAnsi="Arial" w:cs="Arial"/>
          <w:bCs/>
          <w:sz w:val="24"/>
          <w:szCs w:val="24"/>
          <w:lang w:eastAsia="es-ES"/>
        </w:rPr>
      </w:pPr>
    </w:p>
    <w:p w14:paraId="7E7FDB5D" w14:textId="77777777" w:rsidR="00374CDE" w:rsidRDefault="00374CDE" w:rsidP="00374CDE">
      <w:pPr>
        <w:spacing w:after="0" w:line="360" w:lineRule="auto"/>
        <w:ind w:left="709" w:right="567"/>
        <w:jc w:val="both"/>
        <w:rPr>
          <w:rFonts w:ascii="Arial" w:eastAsia="Times New Roman" w:hAnsi="Arial" w:cs="Arial"/>
          <w:b/>
          <w:bCs/>
          <w:i/>
          <w:iCs/>
          <w:lang w:eastAsia="es-ES"/>
        </w:rPr>
      </w:pPr>
      <w:r w:rsidRPr="00891AD8">
        <w:rPr>
          <w:rFonts w:ascii="Arial" w:eastAsia="Times New Roman" w:hAnsi="Arial" w:cs="Arial"/>
          <w:bCs/>
          <w:i/>
          <w:iCs/>
          <w:lang w:eastAsia="es-ES"/>
        </w:rPr>
        <w:t>“</w:t>
      </w:r>
      <w:r w:rsidRPr="00891AD8">
        <w:rPr>
          <w:rFonts w:ascii="Arial" w:eastAsia="Times New Roman" w:hAnsi="Arial" w:cs="Arial"/>
          <w:b/>
          <w:bCs/>
          <w:i/>
          <w:iCs/>
          <w:lang w:eastAsia="es-ES"/>
        </w:rPr>
        <w:t>Artículo 318. Procedencia y oportunidades.</w:t>
      </w:r>
    </w:p>
    <w:p w14:paraId="0A0F8AAE" w14:textId="77777777" w:rsidR="00374CDE" w:rsidRPr="00891AD8" w:rsidRDefault="00374CDE" w:rsidP="00374CDE">
      <w:pPr>
        <w:spacing w:after="0" w:line="360" w:lineRule="auto"/>
        <w:ind w:left="709" w:right="567"/>
        <w:jc w:val="both"/>
        <w:rPr>
          <w:rFonts w:ascii="Arial" w:eastAsia="Times New Roman" w:hAnsi="Arial" w:cs="Arial"/>
          <w:b/>
          <w:bCs/>
          <w:i/>
          <w:iCs/>
          <w:lang w:eastAsia="es-ES"/>
        </w:rPr>
      </w:pPr>
    </w:p>
    <w:p w14:paraId="1147ED7C" w14:textId="77777777" w:rsidR="00374CDE" w:rsidRPr="00891AD8" w:rsidRDefault="00374CDE" w:rsidP="00374CDE">
      <w:pPr>
        <w:spacing w:after="0"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Salvo norma en contrario, el recurso de reposición procede contra los autos que dicte el juez, contra los del magistrado sustanciador no susceptibles de súplica y contra los de la Sala de Casación Civil de la Corte Suprema de Justicia, para que se reformen o revoquen. </w:t>
      </w:r>
    </w:p>
    <w:p w14:paraId="0F6E7156"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lastRenderedPageBreak/>
        <w:t xml:space="preserve">El recurso de reposición no procede contra los autos que resuelvan un recurso de apelación, una súplica o una queja. </w:t>
      </w:r>
    </w:p>
    <w:p w14:paraId="1AFEA811"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recurso deberá interponerse con expresión de las razones que lo sustenten, en forma verbal inmediatamente se pronuncie el auto. Cuando el auto se pronuncie fuera de audiencia el recurso deberá interponerse por escrito dentro de los tres (3) días siguientes al de la notificación del auto. </w:t>
      </w:r>
    </w:p>
    <w:p w14:paraId="36825404"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auto que decide la reposición no es susceptible de ningún recurso, salvo que contenga puntos no decididos en el anterior, caso en el cual podrán interponerse los recursos pertinentes respecto de los puntos nuevos. </w:t>
      </w:r>
    </w:p>
    <w:p w14:paraId="40DDEE00" w14:textId="77777777" w:rsidR="00374CDE" w:rsidRPr="00891AD8" w:rsidRDefault="00374CDE" w:rsidP="00D46347">
      <w:pPr>
        <w:spacing w:before="100" w:beforeAutospacing="1" w:after="100" w:afterAutospacing="1" w:line="360" w:lineRule="auto"/>
        <w:ind w:left="709" w:right="567"/>
        <w:rPr>
          <w:rFonts w:ascii="Arial" w:eastAsia="Times New Roman" w:hAnsi="Arial" w:cs="Arial"/>
          <w:i/>
          <w:iCs/>
          <w:lang w:eastAsia="es-ES"/>
        </w:rPr>
      </w:pPr>
      <w:r w:rsidRPr="00891AD8">
        <w:rPr>
          <w:rFonts w:ascii="Arial" w:eastAsia="Times New Roman" w:hAnsi="Arial" w:cs="Arial"/>
          <w:i/>
          <w:iCs/>
          <w:lang w:eastAsia="es-ES"/>
        </w:rPr>
        <w:t xml:space="preserve">Los autos que dicten las salas de decisión no tienen reposición; podrá pedirse su aclaración o complementación, dentro del término de su ejecutoria. </w:t>
      </w:r>
    </w:p>
    <w:p w14:paraId="1D0059F5" w14:textId="77777777" w:rsidR="00374CDE" w:rsidRPr="00DE28FC" w:rsidRDefault="00374CDE" w:rsidP="00374CDE">
      <w:pPr>
        <w:spacing w:before="100" w:beforeAutospacing="1" w:after="100" w:afterAutospacing="1" w:line="360" w:lineRule="auto"/>
        <w:ind w:left="709" w:right="567"/>
        <w:jc w:val="both"/>
        <w:rPr>
          <w:rFonts w:ascii="Arial" w:eastAsia="Times New Roman" w:hAnsi="Arial" w:cs="Arial"/>
          <w:b/>
          <w:bCs/>
          <w:i/>
          <w:iCs/>
          <w:lang w:eastAsia="es-ES"/>
        </w:rPr>
      </w:pPr>
      <w:r w:rsidRPr="00891AD8">
        <w:rPr>
          <w:rFonts w:ascii="Arial" w:eastAsia="Times New Roman" w:hAnsi="Arial" w:cs="Arial"/>
          <w:b/>
          <w:bCs/>
          <w:i/>
          <w:iCs/>
          <w:lang w:eastAsia="es-ES"/>
        </w:rPr>
        <w:t>Parágrafo.</w:t>
      </w:r>
    </w:p>
    <w:p w14:paraId="3187CB52" w14:textId="77777777" w:rsidR="00374CDE" w:rsidRPr="00597B9A"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Cuando el recurrente impugne una providencia judicial mediante un recurso improcedente, el juez deberá tramitar la impugnación por las reglas del recurso que resultare procedente, siempre que haya sido interpuesto oportunamente. </w:t>
      </w:r>
    </w:p>
    <w:p w14:paraId="418FCEEC"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b/>
          <w:bCs/>
          <w:i/>
          <w:iCs/>
          <w:lang w:eastAsia="es-ES"/>
        </w:rPr>
      </w:pPr>
      <w:r w:rsidRPr="00891AD8">
        <w:rPr>
          <w:rFonts w:ascii="Arial" w:eastAsia="Times New Roman" w:hAnsi="Arial" w:cs="Arial"/>
          <w:b/>
          <w:bCs/>
          <w:i/>
          <w:iCs/>
          <w:lang w:eastAsia="es-ES"/>
        </w:rPr>
        <w:t>Artículo 319. Trámite.</w:t>
      </w:r>
    </w:p>
    <w:p w14:paraId="45020E2C"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i/>
          <w:iCs/>
          <w:lang w:eastAsia="es-ES"/>
        </w:rPr>
      </w:pPr>
      <w:r w:rsidRPr="00891AD8">
        <w:rPr>
          <w:rFonts w:ascii="Arial" w:eastAsia="Times New Roman" w:hAnsi="Arial" w:cs="Arial"/>
          <w:i/>
          <w:iCs/>
          <w:lang w:eastAsia="es-ES"/>
        </w:rPr>
        <w:t xml:space="preserve">El recurso de reposición se decidirá en la audiencia, previo traslado en ella a la parte contraria. </w:t>
      </w:r>
    </w:p>
    <w:p w14:paraId="7AE69109" w14:textId="77777777" w:rsidR="00374CDE" w:rsidRPr="00891AD8" w:rsidRDefault="00374CDE" w:rsidP="00374CDE">
      <w:pPr>
        <w:spacing w:before="100" w:beforeAutospacing="1" w:after="100" w:afterAutospacing="1" w:line="360" w:lineRule="auto"/>
        <w:ind w:left="709" w:right="567"/>
        <w:jc w:val="both"/>
        <w:rPr>
          <w:rFonts w:ascii="Arial" w:eastAsia="Times New Roman" w:hAnsi="Arial" w:cs="Arial"/>
          <w:bCs/>
          <w:i/>
          <w:iCs/>
          <w:lang w:eastAsia="es-ES"/>
        </w:rPr>
      </w:pPr>
      <w:r w:rsidRPr="00891AD8">
        <w:rPr>
          <w:rFonts w:ascii="Arial" w:eastAsia="Times New Roman" w:hAnsi="Arial" w:cs="Arial"/>
          <w:i/>
          <w:iCs/>
          <w:lang w:eastAsia="es-ES"/>
        </w:rPr>
        <w:t>Cuando sea procedente formularlo por escrito, se resolverá previo traslado a la parte contraria por tres (3) días como lo prevé el artículo 110.</w:t>
      </w:r>
      <w:r w:rsidRPr="00891AD8">
        <w:rPr>
          <w:rFonts w:ascii="Arial" w:eastAsia="Times New Roman" w:hAnsi="Arial" w:cs="Arial"/>
          <w:bCs/>
          <w:i/>
          <w:iCs/>
          <w:lang w:eastAsia="es-ES"/>
        </w:rPr>
        <w:t>”</w:t>
      </w:r>
    </w:p>
    <w:p w14:paraId="7A570B6A" w14:textId="77777777" w:rsidR="00374CDE" w:rsidRDefault="00374CDE" w:rsidP="00374CDE">
      <w:pPr>
        <w:spacing w:after="0" w:line="360" w:lineRule="auto"/>
        <w:jc w:val="both"/>
        <w:rPr>
          <w:rFonts w:ascii="Arial" w:hAnsi="Arial" w:cs="Arial"/>
          <w:sz w:val="24"/>
          <w:szCs w:val="24"/>
        </w:rPr>
      </w:pPr>
    </w:p>
    <w:p w14:paraId="4B2439EC" w14:textId="0B352616" w:rsidR="008003C3" w:rsidRDefault="00374CDE" w:rsidP="00F821F3">
      <w:pPr>
        <w:spacing w:after="0" w:line="360" w:lineRule="auto"/>
        <w:jc w:val="both"/>
        <w:rPr>
          <w:rFonts w:ascii="Arial" w:eastAsia="Times New Roman" w:hAnsi="Arial" w:cs="Arial"/>
          <w:sz w:val="24"/>
          <w:szCs w:val="24"/>
          <w:lang w:eastAsia="es-ES"/>
        </w:rPr>
      </w:pPr>
      <w:r w:rsidRPr="00E64E2F">
        <w:rPr>
          <w:rFonts w:ascii="Arial" w:hAnsi="Arial" w:cs="Arial"/>
          <w:sz w:val="24"/>
          <w:szCs w:val="24"/>
        </w:rPr>
        <w:t>Conforme la normatividad citada en precedencia el recurso de reposición procede contra la providencia contenida en el auto inter</w:t>
      </w:r>
      <w:r w:rsidR="008003C3">
        <w:rPr>
          <w:rFonts w:ascii="Arial" w:hAnsi="Arial" w:cs="Arial"/>
          <w:sz w:val="24"/>
          <w:szCs w:val="24"/>
        </w:rPr>
        <w:t xml:space="preserve">locutorio </w:t>
      </w:r>
      <w:r w:rsidRPr="00E64E2F">
        <w:rPr>
          <w:rFonts w:ascii="Arial" w:hAnsi="Arial" w:cs="Arial"/>
          <w:sz w:val="24"/>
          <w:szCs w:val="24"/>
        </w:rPr>
        <w:t>No.</w:t>
      </w:r>
      <w:r w:rsidR="008003C3">
        <w:rPr>
          <w:rFonts w:ascii="Arial" w:hAnsi="Arial" w:cs="Arial"/>
          <w:sz w:val="24"/>
          <w:szCs w:val="24"/>
        </w:rPr>
        <w:t xml:space="preserve"> </w:t>
      </w:r>
      <w:r w:rsidR="00F821F3">
        <w:rPr>
          <w:rFonts w:ascii="Arial" w:hAnsi="Arial" w:cs="Arial"/>
          <w:sz w:val="24"/>
          <w:szCs w:val="24"/>
        </w:rPr>
        <w:t>0034-24</w:t>
      </w:r>
      <w:r w:rsidRPr="00E64E2F">
        <w:rPr>
          <w:rFonts w:ascii="Arial" w:hAnsi="Arial" w:cs="Arial"/>
          <w:sz w:val="24"/>
          <w:szCs w:val="24"/>
        </w:rPr>
        <w:t xml:space="preserve"> de</w:t>
      </w:r>
      <w:r w:rsidR="005832E6">
        <w:rPr>
          <w:rFonts w:ascii="Arial" w:hAnsi="Arial" w:cs="Arial"/>
          <w:sz w:val="24"/>
          <w:szCs w:val="24"/>
        </w:rPr>
        <w:t xml:space="preserve"> </w:t>
      </w:r>
      <w:r w:rsidR="00F821F3">
        <w:rPr>
          <w:rFonts w:ascii="Arial" w:hAnsi="Arial" w:cs="Arial"/>
          <w:sz w:val="24"/>
          <w:szCs w:val="24"/>
        </w:rPr>
        <w:t>05 de marzo de 2024</w:t>
      </w:r>
      <w:r w:rsidRPr="00E64E2F">
        <w:rPr>
          <w:rFonts w:ascii="Arial" w:hAnsi="Arial" w:cs="Arial"/>
          <w:sz w:val="24"/>
          <w:szCs w:val="24"/>
        </w:rPr>
        <w:t>, por la cual se</w:t>
      </w:r>
      <w:r>
        <w:rPr>
          <w:rFonts w:ascii="Arial" w:hAnsi="Arial" w:cs="Arial"/>
          <w:sz w:val="24"/>
          <w:szCs w:val="24"/>
        </w:rPr>
        <w:t xml:space="preserve"> </w:t>
      </w:r>
      <w:r>
        <w:rPr>
          <w:rFonts w:ascii="Arial" w:eastAsia="Times New Roman" w:hAnsi="Arial" w:cs="Arial"/>
          <w:sz w:val="24"/>
          <w:szCs w:val="24"/>
          <w:lang w:eastAsia="es-ES"/>
        </w:rPr>
        <w:t>este operador judicial</w:t>
      </w:r>
      <w:r w:rsidR="00F821F3">
        <w:rPr>
          <w:rFonts w:ascii="Arial" w:eastAsia="Times New Roman" w:hAnsi="Arial" w:cs="Arial"/>
          <w:sz w:val="24"/>
          <w:szCs w:val="24"/>
          <w:lang w:eastAsia="es-ES"/>
        </w:rPr>
        <w:t xml:space="preserve"> declaró no prósperas las excepciones previas planteadas por las entidades demandadas Departamento Archipiélago de San Andrés, Providencia y Santa Catalina, EPS Sermedic SAS y la llamada en garantía Dora Gordon Martínez, por cuanto fue presentada de manera oportuna., </w:t>
      </w:r>
    </w:p>
    <w:p w14:paraId="51A3F635" w14:textId="194150C9" w:rsidR="00F821F3" w:rsidRDefault="00F821F3" w:rsidP="00F821F3">
      <w:pPr>
        <w:spacing w:after="0" w:line="360" w:lineRule="auto"/>
        <w:jc w:val="both"/>
        <w:rPr>
          <w:rFonts w:ascii="Arial" w:eastAsia="Times New Roman" w:hAnsi="Arial" w:cs="Arial"/>
          <w:sz w:val="24"/>
          <w:szCs w:val="24"/>
          <w:lang w:eastAsia="es-ES"/>
        </w:rPr>
      </w:pPr>
    </w:p>
    <w:p w14:paraId="79C4F1B4" w14:textId="7A44BEBB" w:rsidR="00F821F3" w:rsidRDefault="00F821F3" w:rsidP="00F821F3">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sz w:val="24"/>
          <w:szCs w:val="24"/>
          <w:lang w:eastAsia="es-ES"/>
        </w:rPr>
        <w:lastRenderedPageBreak/>
        <w:t xml:space="preserve">Ahora bien, </w:t>
      </w:r>
      <w:r w:rsidR="007032D8">
        <w:rPr>
          <w:rFonts w:ascii="Arial" w:eastAsia="Times New Roman" w:hAnsi="Arial" w:cs="Arial"/>
          <w:sz w:val="24"/>
          <w:szCs w:val="24"/>
          <w:lang w:eastAsia="es-ES"/>
        </w:rPr>
        <w:t xml:space="preserve">procede el despacho a pronunciarse frente al recurso de reposición y subsidio apelación frente al auto aludido, más en estricto sentido respecto de la declaratoria de impróspera frente a la excepción de </w:t>
      </w:r>
      <w:r w:rsidR="007032D8">
        <w:rPr>
          <w:rFonts w:ascii="Arial" w:eastAsia="Times New Roman" w:hAnsi="Arial" w:cs="Arial"/>
          <w:iCs/>
          <w:color w:val="000000" w:themeColor="text1"/>
          <w:sz w:val="24"/>
          <w:szCs w:val="24"/>
          <w:lang w:val="es-CO" w:eastAsia="es-CO"/>
        </w:rPr>
        <w:t xml:space="preserve">ineptitud de la demanda por falta de los requisitos formales, esto es la conciliación prejudicial como requisito de procedibilidad, </w:t>
      </w:r>
      <w:r w:rsidR="001E4AC9">
        <w:rPr>
          <w:rFonts w:ascii="Arial" w:eastAsia="Times New Roman" w:hAnsi="Arial" w:cs="Arial"/>
          <w:iCs/>
          <w:color w:val="000000" w:themeColor="text1"/>
          <w:sz w:val="24"/>
          <w:szCs w:val="24"/>
          <w:lang w:val="es-CO" w:eastAsia="es-CO"/>
        </w:rPr>
        <w:t>de la presente demanda.</w:t>
      </w:r>
    </w:p>
    <w:p w14:paraId="3A560205" w14:textId="41780DAB" w:rsidR="001E4AC9" w:rsidRDefault="001E4AC9" w:rsidP="00F821F3">
      <w:pPr>
        <w:spacing w:after="0" w:line="360" w:lineRule="auto"/>
        <w:jc w:val="both"/>
        <w:rPr>
          <w:rFonts w:ascii="Arial" w:eastAsia="Times New Roman" w:hAnsi="Arial" w:cs="Arial"/>
          <w:iCs/>
          <w:color w:val="000000" w:themeColor="text1"/>
          <w:sz w:val="24"/>
          <w:szCs w:val="24"/>
          <w:lang w:val="es-CO" w:eastAsia="es-CO"/>
        </w:rPr>
      </w:pPr>
    </w:p>
    <w:p w14:paraId="35B13E6D" w14:textId="15DA3E63" w:rsidR="001E4AC9" w:rsidRDefault="00AE10F5" w:rsidP="00F821F3">
      <w:pPr>
        <w:spacing w:after="0" w:line="360" w:lineRule="auto"/>
        <w:jc w:val="both"/>
        <w:rPr>
          <w:rFonts w:ascii="Arial" w:eastAsia="Times New Roman" w:hAnsi="Arial" w:cs="Arial"/>
          <w:iCs/>
          <w:color w:val="000000" w:themeColor="text1"/>
          <w:sz w:val="24"/>
          <w:szCs w:val="24"/>
          <w:lang w:val="es-CO" w:eastAsia="es-CO"/>
        </w:rPr>
      </w:pPr>
      <w:r>
        <w:rPr>
          <w:rFonts w:ascii="Arial" w:eastAsia="Times New Roman" w:hAnsi="Arial" w:cs="Arial"/>
          <w:iCs/>
          <w:color w:val="000000" w:themeColor="text1"/>
          <w:sz w:val="24"/>
          <w:szCs w:val="24"/>
          <w:lang w:val="es-CO" w:eastAsia="es-CO"/>
        </w:rPr>
        <w:t xml:space="preserve">Indica la parte recurrente que, el apoderado actor, presentó el 12 de enero de 2022 la solicitud de la conciliación </w:t>
      </w:r>
      <w:r w:rsidR="00B215B2">
        <w:rPr>
          <w:rFonts w:ascii="Arial" w:eastAsia="Times New Roman" w:hAnsi="Arial" w:cs="Arial"/>
          <w:iCs/>
          <w:color w:val="000000" w:themeColor="text1"/>
          <w:sz w:val="24"/>
          <w:szCs w:val="24"/>
          <w:lang w:val="es-CO" w:eastAsia="es-CO"/>
        </w:rPr>
        <w:t>prejudicial, sin embargo, no lo realizó conforme los requisitos exigidos por la Ley para tal fin, por lo cual la Procuraduría 141 Judicial II para Asuntos del Trabajo y la Seguridad Social la inadmitió y luego de corregidas dichas falencias, se procedió a su admisión el día 16 de febrero de 2022, fecha que indica el apoderado debe ser tenerse en cuenta por este juzgador como la real fecha de presentación de la misma, al ser el día en que realmente fue admitida la solicitud de conciliación, fecha en la cual ya había caducado la presente acción.</w:t>
      </w:r>
    </w:p>
    <w:p w14:paraId="70980925" w14:textId="2F0494F5" w:rsidR="00B215B2" w:rsidRDefault="00B215B2" w:rsidP="00F821F3">
      <w:pPr>
        <w:spacing w:after="0" w:line="360" w:lineRule="auto"/>
        <w:jc w:val="both"/>
        <w:rPr>
          <w:rFonts w:ascii="Arial" w:eastAsia="Times New Roman" w:hAnsi="Arial" w:cs="Arial"/>
          <w:iCs/>
          <w:color w:val="000000" w:themeColor="text1"/>
          <w:sz w:val="24"/>
          <w:szCs w:val="24"/>
          <w:lang w:val="es-CO" w:eastAsia="es-CO"/>
        </w:rPr>
      </w:pPr>
    </w:p>
    <w:p w14:paraId="44B8A3BC" w14:textId="3D99F0E7" w:rsidR="003F5500" w:rsidRDefault="003F5500" w:rsidP="003F5500">
      <w:pPr>
        <w:spacing w:after="0" w:line="360" w:lineRule="auto"/>
        <w:jc w:val="both"/>
        <w:rPr>
          <w:rFonts w:ascii="Arial" w:hAnsi="Arial" w:cs="Arial"/>
          <w:sz w:val="24"/>
          <w:szCs w:val="24"/>
        </w:rPr>
      </w:pPr>
      <w:r>
        <w:rPr>
          <w:rFonts w:ascii="Arial" w:eastAsia="Times New Roman" w:hAnsi="Arial" w:cs="Arial"/>
          <w:iCs/>
          <w:color w:val="000000" w:themeColor="text1"/>
          <w:sz w:val="24"/>
          <w:szCs w:val="24"/>
          <w:lang w:val="es-CO" w:eastAsia="es-CO"/>
        </w:rPr>
        <w:t xml:space="preserve">Para resolver lo anterior, el Despacho considera pertinente recordar </w:t>
      </w:r>
      <w:r>
        <w:rPr>
          <w:rFonts w:ascii="Arial" w:hAnsi="Arial" w:cs="Arial"/>
          <w:sz w:val="24"/>
          <w:szCs w:val="24"/>
        </w:rPr>
        <w:t xml:space="preserve">lo contemplado en el numeral 1° del artículo </w:t>
      </w:r>
      <w:r w:rsidRPr="00524BE0">
        <w:rPr>
          <w:rFonts w:ascii="Arial" w:hAnsi="Arial" w:cs="Arial"/>
          <w:sz w:val="24"/>
          <w:szCs w:val="24"/>
        </w:rPr>
        <w:t>161</w:t>
      </w:r>
      <w:r>
        <w:rPr>
          <w:rFonts w:ascii="Arial" w:hAnsi="Arial" w:cs="Arial"/>
          <w:sz w:val="24"/>
          <w:szCs w:val="24"/>
        </w:rPr>
        <w:t>°</w:t>
      </w:r>
      <w:r w:rsidRPr="00524BE0">
        <w:rPr>
          <w:rFonts w:ascii="Arial" w:hAnsi="Arial" w:cs="Arial"/>
          <w:sz w:val="24"/>
          <w:szCs w:val="24"/>
        </w:rPr>
        <w:t xml:space="preserve"> de la Ley 1437 de 2011, modificado por el Artículo 34 de la Ley 2080 de 202</w:t>
      </w:r>
      <w:r>
        <w:rPr>
          <w:rFonts w:ascii="Arial" w:hAnsi="Arial" w:cs="Arial"/>
          <w:sz w:val="24"/>
          <w:szCs w:val="24"/>
        </w:rPr>
        <w:t xml:space="preserve">1 así: </w:t>
      </w:r>
    </w:p>
    <w:p w14:paraId="7A6E38A3" w14:textId="77777777" w:rsidR="003F5500" w:rsidRDefault="003F5500" w:rsidP="003F5500">
      <w:pPr>
        <w:pStyle w:val="NormalWeb"/>
        <w:spacing w:line="270" w:lineRule="atLeast"/>
        <w:ind w:left="708"/>
        <w:jc w:val="both"/>
        <w:rPr>
          <w:rFonts w:ascii="Arial" w:hAnsi="Arial" w:cs="Arial"/>
          <w:i/>
          <w:iCs/>
          <w:sz w:val="22"/>
          <w:szCs w:val="22"/>
        </w:rPr>
      </w:pPr>
      <w:r>
        <w:rPr>
          <w:rFonts w:ascii="Arial" w:hAnsi="Arial" w:cs="Arial"/>
          <w:i/>
          <w:iCs/>
          <w:sz w:val="22"/>
          <w:szCs w:val="22"/>
        </w:rPr>
        <w:t>“(…)</w:t>
      </w:r>
    </w:p>
    <w:p w14:paraId="717FC125" w14:textId="77777777" w:rsidR="003F5500" w:rsidRPr="00515F32" w:rsidRDefault="003F5500" w:rsidP="003F5500">
      <w:pPr>
        <w:pStyle w:val="NormalWeb"/>
        <w:spacing w:line="270" w:lineRule="atLeast"/>
        <w:ind w:left="708"/>
        <w:jc w:val="both"/>
        <w:rPr>
          <w:rFonts w:ascii="Arial" w:hAnsi="Arial" w:cs="Arial"/>
          <w:i/>
          <w:iCs/>
          <w:sz w:val="22"/>
          <w:szCs w:val="22"/>
        </w:rPr>
      </w:pPr>
      <w:r w:rsidRPr="00515F32">
        <w:rPr>
          <w:rFonts w:ascii="Arial" w:hAnsi="Arial" w:cs="Arial"/>
          <w:i/>
          <w:iCs/>
          <w:sz w:val="22"/>
          <w:szCs w:val="22"/>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4D219310" w14:textId="77777777" w:rsidR="003F5500" w:rsidRPr="00515F32" w:rsidRDefault="003F5500" w:rsidP="003F5500">
      <w:pPr>
        <w:pStyle w:val="NormalWeb"/>
        <w:spacing w:line="270" w:lineRule="atLeast"/>
        <w:ind w:left="708"/>
        <w:jc w:val="both"/>
        <w:rPr>
          <w:rFonts w:ascii="Arial" w:hAnsi="Arial" w:cs="Arial"/>
          <w:sz w:val="22"/>
          <w:szCs w:val="22"/>
        </w:rPr>
      </w:pPr>
      <w:r w:rsidRPr="00515F32">
        <w:rPr>
          <w:rFonts w:ascii="Arial" w:hAnsi="Arial" w:cs="Arial"/>
          <w:i/>
          <w:iCs/>
          <w:sz w:val="22"/>
          <w:szCs w:val="22"/>
        </w:rPr>
        <w:t>&lt;Inciso modificado por el artículo </w:t>
      </w:r>
      <w:hyperlink r:id="rId8" w:anchor="34" w:history="1">
        <w:r w:rsidRPr="00515F32">
          <w:rPr>
            <w:rStyle w:val="Hipervnculo"/>
            <w:rFonts w:ascii="Arial" w:hAnsi="Arial" w:cs="Arial"/>
            <w:i/>
            <w:iCs/>
            <w:color w:val="auto"/>
            <w:sz w:val="22"/>
            <w:szCs w:val="22"/>
          </w:rPr>
          <w:t>34</w:t>
        </w:r>
      </w:hyperlink>
      <w:r w:rsidRPr="00515F32">
        <w:rPr>
          <w:rFonts w:ascii="Arial" w:hAnsi="Arial" w:cs="Arial"/>
          <w:i/>
          <w:iCs/>
          <w:sz w:val="22"/>
          <w:szCs w:val="22"/>
        </w:rPr>
        <w:t xml:space="preserve"> de la Ley 2080 de 2021. El nuevo texto es el siguiente:&gt; </w:t>
      </w:r>
      <w:r w:rsidRPr="00E434AF">
        <w:rPr>
          <w:rFonts w:ascii="Arial" w:hAnsi="Arial" w:cs="Arial"/>
          <w:bCs/>
          <w:i/>
          <w:iCs/>
          <w:sz w:val="22"/>
          <w:szCs w:val="22"/>
        </w:rPr>
        <w:t>El requisito de procedibilidad será facultativo en los asuntos laborales, pensionales,</w:t>
      </w:r>
      <w:r w:rsidRPr="00515F32">
        <w:rPr>
          <w:rFonts w:ascii="Arial" w:hAnsi="Arial" w:cs="Arial"/>
          <w:i/>
          <w:iCs/>
          <w:sz w:val="22"/>
          <w:szCs w:val="22"/>
        </w:rPr>
        <w:t xml:space="preserve"> en los procesos ejecutivos diferentes a los regulados en la Ley </w:t>
      </w:r>
      <w:hyperlink r:id="rId9" w:anchor="INICIO" w:history="1">
        <w:r w:rsidRPr="00515F32">
          <w:rPr>
            <w:rStyle w:val="Hipervnculo"/>
            <w:rFonts w:ascii="Arial" w:hAnsi="Arial" w:cs="Arial"/>
            <w:i/>
            <w:iCs/>
            <w:color w:val="auto"/>
            <w:sz w:val="22"/>
            <w:szCs w:val="22"/>
          </w:rPr>
          <w:t>1551</w:t>
        </w:r>
      </w:hyperlink>
      <w:r w:rsidRPr="00515F32">
        <w:rPr>
          <w:rFonts w:ascii="Arial" w:hAnsi="Arial" w:cs="Arial"/>
          <w:i/>
          <w:iCs/>
          <w:sz w:val="22"/>
          <w:szCs w:val="22"/>
        </w:rPr>
        <w:t>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r>
        <w:rPr>
          <w:rFonts w:ascii="Arial" w:hAnsi="Arial" w:cs="Arial"/>
          <w:i/>
          <w:iCs/>
          <w:sz w:val="22"/>
          <w:szCs w:val="22"/>
        </w:rPr>
        <w:t>”</w:t>
      </w:r>
      <w:r>
        <w:rPr>
          <w:rFonts w:ascii="Arial" w:hAnsi="Arial" w:cs="Arial"/>
          <w:sz w:val="22"/>
          <w:szCs w:val="22"/>
        </w:rPr>
        <w:t xml:space="preserve"> (Subrayadas y negrillas fuera del texto original)</w:t>
      </w:r>
    </w:p>
    <w:p w14:paraId="26124788" w14:textId="704BFD98" w:rsidR="003F5500" w:rsidRDefault="00C95134" w:rsidP="00F821F3">
      <w:pPr>
        <w:spacing w:after="0" w:line="360" w:lineRule="auto"/>
        <w:jc w:val="both"/>
        <w:rPr>
          <w:rFonts w:ascii="Arial" w:eastAsia="Times New Roman" w:hAnsi="Arial" w:cs="Arial"/>
          <w:sz w:val="24"/>
          <w:szCs w:val="24"/>
          <w:lang w:eastAsia="es-ES"/>
        </w:rPr>
      </w:pPr>
      <w:r>
        <w:rPr>
          <w:rFonts w:ascii="Arial" w:hAnsi="Arial" w:cs="Arial"/>
          <w:sz w:val="24"/>
          <w:szCs w:val="24"/>
        </w:rPr>
        <w:t>Asimism</w:t>
      </w:r>
      <w:r w:rsidRPr="00C95134">
        <w:rPr>
          <w:rFonts w:ascii="Arial" w:hAnsi="Arial" w:cs="Arial"/>
          <w:sz w:val="24"/>
          <w:szCs w:val="24"/>
        </w:rPr>
        <w:t xml:space="preserve">o, el artículo </w:t>
      </w:r>
      <w:r w:rsidRPr="00C95134">
        <w:rPr>
          <w:rStyle w:val="Textoennegrita"/>
          <w:rFonts w:ascii="Arial" w:hAnsi="Arial" w:cs="Arial"/>
          <w:b w:val="0"/>
          <w:sz w:val="24"/>
          <w:szCs w:val="24"/>
          <w:shd w:val="clear" w:color="auto" w:fill="FFFFFF"/>
        </w:rPr>
        <w:t>2.2.4.3.1.1.6. del decreto 1069 de 2015</w:t>
      </w:r>
      <w:r w:rsidRPr="00C95134">
        <w:rPr>
          <w:rStyle w:val="Refdenotaalpie"/>
          <w:rFonts w:ascii="Arial" w:eastAsia="Times New Roman" w:hAnsi="Arial" w:cs="Arial"/>
          <w:b/>
          <w:sz w:val="24"/>
          <w:szCs w:val="24"/>
          <w:lang w:val="es-CO" w:eastAsia="es-CO"/>
        </w:rPr>
        <w:footnoteReference w:id="5"/>
      </w:r>
      <w:r>
        <w:rPr>
          <w:rStyle w:val="Textoennegrita"/>
          <w:rFonts w:ascii="Arial" w:hAnsi="Arial" w:cs="Arial"/>
          <w:b w:val="0"/>
          <w:sz w:val="24"/>
          <w:szCs w:val="24"/>
          <w:shd w:val="clear" w:color="auto" w:fill="FFFFFF"/>
        </w:rPr>
        <w:t xml:space="preserve">, indica que: </w:t>
      </w:r>
    </w:p>
    <w:p w14:paraId="108AC2FD" w14:textId="39F3DE80" w:rsidR="00D674EC" w:rsidRDefault="00D674EC" w:rsidP="00F821F3">
      <w:pPr>
        <w:spacing w:after="0" w:line="360" w:lineRule="auto"/>
        <w:jc w:val="both"/>
        <w:rPr>
          <w:rFonts w:ascii="Arial" w:eastAsia="Times New Roman" w:hAnsi="Arial" w:cs="Arial"/>
          <w:sz w:val="24"/>
          <w:szCs w:val="24"/>
          <w:lang w:eastAsia="es-ES"/>
        </w:rPr>
      </w:pPr>
    </w:p>
    <w:p w14:paraId="59624D23" w14:textId="3E189C0D" w:rsidR="00D674EC" w:rsidRPr="00D674EC" w:rsidRDefault="00C95134" w:rsidP="00C95134">
      <w:pPr>
        <w:shd w:val="clear" w:color="auto" w:fill="FFFFFF"/>
        <w:spacing w:after="0" w:line="240" w:lineRule="auto"/>
        <w:ind w:left="708"/>
        <w:jc w:val="both"/>
        <w:rPr>
          <w:rFonts w:ascii="Arial" w:eastAsia="Times New Roman" w:hAnsi="Arial" w:cs="Arial"/>
          <w:i/>
          <w:lang w:val="es-CO" w:eastAsia="es-CO"/>
        </w:rPr>
      </w:pPr>
      <w:r>
        <w:rPr>
          <w:rFonts w:ascii="Arial" w:eastAsia="Times New Roman" w:hAnsi="Arial" w:cs="Arial"/>
          <w:b/>
          <w:bCs/>
          <w:i/>
          <w:lang w:val="es-CO" w:eastAsia="es-CO"/>
        </w:rPr>
        <w:t>“</w:t>
      </w:r>
      <w:r w:rsidR="00D674EC" w:rsidRPr="00C95134">
        <w:rPr>
          <w:rFonts w:ascii="Arial" w:eastAsia="Times New Roman" w:hAnsi="Arial" w:cs="Arial"/>
          <w:bCs/>
          <w:i/>
          <w:lang w:val="es-CO" w:eastAsia="es-CO"/>
        </w:rPr>
        <w:t>ARTÍCULO </w:t>
      </w:r>
      <w:bookmarkStart w:id="2" w:name="2.2.4.3.1.1.3"/>
      <w:bookmarkEnd w:id="2"/>
      <w:r w:rsidR="00D674EC" w:rsidRPr="00C95134">
        <w:rPr>
          <w:rFonts w:ascii="Arial" w:eastAsia="Times New Roman" w:hAnsi="Arial" w:cs="Arial"/>
          <w:bCs/>
          <w:i/>
          <w:lang w:val="es-CO" w:eastAsia="es-CO"/>
        </w:rPr>
        <w:t>2.2.4.3.1.1.3.</w:t>
      </w:r>
      <w:r w:rsidR="00D674EC" w:rsidRPr="00C95134">
        <w:rPr>
          <w:rFonts w:ascii="Arial" w:eastAsia="Times New Roman" w:hAnsi="Arial" w:cs="Arial"/>
          <w:bCs/>
          <w:i/>
          <w:iCs/>
          <w:lang w:val="es-CO" w:eastAsia="es-CO"/>
        </w:rPr>
        <w:t> Suspensión del término de caducidad de la acción</w:t>
      </w:r>
      <w:r w:rsidR="00D674EC" w:rsidRPr="005F3F19">
        <w:rPr>
          <w:rFonts w:ascii="Arial" w:eastAsia="Times New Roman" w:hAnsi="Arial" w:cs="Arial"/>
          <w:b/>
          <w:bCs/>
          <w:i/>
          <w:iCs/>
          <w:u w:val="single"/>
          <w:lang w:val="es-CO" w:eastAsia="es-CO"/>
        </w:rPr>
        <w:t>.</w:t>
      </w:r>
      <w:r w:rsidR="00D674EC" w:rsidRPr="00D674EC">
        <w:rPr>
          <w:rFonts w:ascii="Arial" w:eastAsia="Times New Roman" w:hAnsi="Arial" w:cs="Arial"/>
          <w:b/>
          <w:i/>
          <w:u w:val="single"/>
          <w:lang w:val="es-CO" w:eastAsia="es-CO"/>
        </w:rPr>
        <w:t xml:space="preserve"> La presentación de la solicitud de conciliación extrajudicial ante los agentes del </w:t>
      </w:r>
      <w:r w:rsidR="00D674EC" w:rsidRPr="00D674EC">
        <w:rPr>
          <w:rFonts w:ascii="Arial" w:eastAsia="Times New Roman" w:hAnsi="Arial" w:cs="Arial"/>
          <w:b/>
          <w:i/>
          <w:u w:val="single"/>
          <w:lang w:val="es-CO" w:eastAsia="es-CO"/>
        </w:rPr>
        <w:lastRenderedPageBreak/>
        <w:t>Ministerio Público suspende el término de prescripción o de caducidad, según el caso,</w:t>
      </w:r>
      <w:r w:rsidR="00D674EC" w:rsidRPr="00D674EC">
        <w:rPr>
          <w:rFonts w:ascii="Arial" w:eastAsia="Times New Roman" w:hAnsi="Arial" w:cs="Arial"/>
          <w:i/>
          <w:lang w:val="es-CO" w:eastAsia="es-CO"/>
        </w:rPr>
        <w:t xml:space="preserve"> hasta:</w:t>
      </w:r>
    </w:p>
    <w:p w14:paraId="2B3620C4"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5693CC01"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a) Que se logre el acuerdo conciliatorio, o</w:t>
      </w:r>
    </w:p>
    <w:p w14:paraId="7F06232B"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29801C89"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b) Se expidan las constancias a que se refiere el artículo 2 de la Ley 640 de 2001, o</w:t>
      </w:r>
    </w:p>
    <w:p w14:paraId="32D38D9C"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78EC6B57"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c) Se venza el término de tres (3) meses contados a partir de la presentación de la solicitud; lo que ocurra primero.</w:t>
      </w:r>
    </w:p>
    <w:p w14:paraId="20DEE85C"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2284DFB9"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En caso de que el acuerdo conciliatorio sea improbado por el juez o magistrado, el término de caducidad suspendido con la presentación de la solicitud de conciliación se reanudará a partir del día hábil siguiente al de la ejecutoria de la providencia correspondiente.</w:t>
      </w:r>
    </w:p>
    <w:p w14:paraId="5E878EED"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11830852"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La improbación del acuerdo conciliatorio no hace tránsito a cosa juzgada.</w:t>
      </w:r>
    </w:p>
    <w:p w14:paraId="6AE2ECAE" w14:textId="77777777" w:rsidR="00D674EC" w:rsidRPr="00D674EC" w:rsidRDefault="00D674EC" w:rsidP="00C95134">
      <w:pPr>
        <w:shd w:val="clear" w:color="auto" w:fill="FFFFFF"/>
        <w:spacing w:after="0" w:line="240" w:lineRule="auto"/>
        <w:ind w:left="708"/>
        <w:jc w:val="both"/>
        <w:rPr>
          <w:rFonts w:ascii="Arial" w:eastAsia="Times New Roman" w:hAnsi="Arial" w:cs="Arial"/>
          <w:i/>
          <w:lang w:val="es-CO" w:eastAsia="es-CO"/>
        </w:rPr>
      </w:pPr>
      <w:r w:rsidRPr="00D674EC">
        <w:rPr>
          <w:rFonts w:ascii="Arial" w:eastAsia="Times New Roman" w:hAnsi="Arial" w:cs="Arial"/>
          <w:i/>
          <w:lang w:val="es-CO" w:eastAsia="es-CO"/>
        </w:rPr>
        <w:t> </w:t>
      </w:r>
    </w:p>
    <w:p w14:paraId="1E9EC693" w14:textId="070C529D" w:rsidR="00D674EC" w:rsidRPr="00D674EC" w:rsidRDefault="00D674EC" w:rsidP="00C95134">
      <w:pPr>
        <w:shd w:val="clear" w:color="auto" w:fill="FFFFFF"/>
        <w:spacing w:after="0" w:line="240" w:lineRule="auto"/>
        <w:ind w:left="708"/>
        <w:jc w:val="both"/>
        <w:rPr>
          <w:rFonts w:ascii="Arial" w:eastAsia="Times New Roman" w:hAnsi="Arial" w:cs="Arial"/>
          <w:lang w:val="es-CO" w:eastAsia="es-CO"/>
        </w:rPr>
      </w:pPr>
      <w:r w:rsidRPr="00C95134">
        <w:rPr>
          <w:rFonts w:ascii="Arial" w:eastAsia="Times New Roman" w:hAnsi="Arial" w:cs="Arial"/>
          <w:bCs/>
          <w:i/>
          <w:lang w:val="es-CO" w:eastAsia="es-CO"/>
        </w:rPr>
        <w:t>PARÁGRAFO </w:t>
      </w:r>
      <w:bookmarkStart w:id="3" w:name="2.2.4.3.1.1.3.p"/>
      <w:bookmarkEnd w:id="3"/>
      <w:r w:rsidRPr="00D674EC">
        <w:rPr>
          <w:rFonts w:ascii="Arial" w:eastAsia="Times New Roman" w:hAnsi="Arial" w:cs="Arial"/>
          <w:i/>
          <w:lang w:val="es-CO" w:eastAsia="es-CO"/>
        </w:rPr>
        <w:t>. Las partes por mutuo acuerdo podrán prorrogar el término de tres (3) meses consagrado para el trámite conciliatorio extrajudicial, pero en dicho lapso no operará la suspensión del término de caducidad o prescripción.</w:t>
      </w:r>
      <w:r w:rsidR="00C95134">
        <w:rPr>
          <w:rFonts w:ascii="Arial" w:eastAsia="Times New Roman" w:hAnsi="Arial" w:cs="Arial"/>
          <w:i/>
          <w:lang w:val="es-CO" w:eastAsia="es-CO"/>
        </w:rPr>
        <w:t>”</w:t>
      </w:r>
      <w:r w:rsidR="005F3F19">
        <w:rPr>
          <w:rFonts w:ascii="Arial" w:eastAsia="Times New Roman" w:hAnsi="Arial" w:cs="Arial"/>
          <w:lang w:val="es-CO" w:eastAsia="es-CO"/>
        </w:rPr>
        <w:t xml:space="preserve"> (Subraya y negrillas fuera del texto original)</w:t>
      </w:r>
    </w:p>
    <w:p w14:paraId="422C2C2D" w14:textId="77777777" w:rsidR="0055485D" w:rsidRDefault="0055485D" w:rsidP="00F821F3">
      <w:pPr>
        <w:spacing w:after="0" w:line="360" w:lineRule="auto"/>
        <w:jc w:val="both"/>
        <w:rPr>
          <w:rFonts w:ascii="Arial" w:eastAsia="Times New Roman" w:hAnsi="Arial" w:cs="Arial"/>
          <w:sz w:val="24"/>
          <w:szCs w:val="24"/>
          <w:lang w:eastAsia="es-ES"/>
        </w:rPr>
      </w:pPr>
    </w:p>
    <w:p w14:paraId="4213F9AC" w14:textId="77777777" w:rsidR="006F3CDB" w:rsidRDefault="00A5336D"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Conforme lo anterior, se tiene que, la parte actora </w:t>
      </w:r>
      <w:r w:rsidR="0055485D">
        <w:rPr>
          <w:rFonts w:ascii="Arial" w:eastAsia="Times New Roman" w:hAnsi="Arial" w:cs="Arial"/>
          <w:sz w:val="24"/>
          <w:szCs w:val="24"/>
          <w:lang w:eastAsia="es-ES"/>
        </w:rPr>
        <w:t>radicó</w:t>
      </w:r>
      <w:r>
        <w:rPr>
          <w:rFonts w:ascii="Arial" w:eastAsia="Times New Roman" w:hAnsi="Arial" w:cs="Arial"/>
          <w:sz w:val="24"/>
          <w:szCs w:val="24"/>
          <w:lang w:eastAsia="es-ES"/>
        </w:rPr>
        <w:t xml:space="preserve"> la solicitud de conciliación el día 12 de enero de 2022</w:t>
      </w:r>
      <w:r>
        <w:rPr>
          <w:rStyle w:val="Refdenotaalpie"/>
          <w:rFonts w:ascii="Arial" w:eastAsia="Times New Roman" w:hAnsi="Arial" w:cs="Arial"/>
          <w:sz w:val="24"/>
          <w:szCs w:val="24"/>
          <w:lang w:eastAsia="es-ES"/>
        </w:rPr>
        <w:footnoteReference w:id="6"/>
      </w:r>
      <w:r w:rsidR="00906AEF">
        <w:rPr>
          <w:rFonts w:ascii="Arial" w:eastAsia="Times New Roman" w:hAnsi="Arial" w:cs="Arial"/>
          <w:sz w:val="24"/>
          <w:szCs w:val="24"/>
          <w:lang w:eastAsia="es-ES"/>
        </w:rPr>
        <w:t>, sin embargo, por auto de 2 de febrero de 2022</w:t>
      </w:r>
      <w:r w:rsidR="00906AEF">
        <w:rPr>
          <w:rStyle w:val="Refdenotaalpie"/>
          <w:rFonts w:ascii="Arial" w:eastAsia="Times New Roman" w:hAnsi="Arial" w:cs="Arial"/>
          <w:sz w:val="24"/>
          <w:szCs w:val="24"/>
          <w:lang w:eastAsia="es-ES"/>
        </w:rPr>
        <w:footnoteReference w:id="7"/>
      </w:r>
      <w:r w:rsidR="00906AEF">
        <w:rPr>
          <w:rFonts w:ascii="Arial" w:eastAsia="Times New Roman" w:hAnsi="Arial" w:cs="Arial"/>
          <w:sz w:val="24"/>
          <w:szCs w:val="24"/>
          <w:lang w:eastAsia="es-ES"/>
        </w:rPr>
        <w:t xml:space="preserve"> la </w:t>
      </w:r>
      <w:r w:rsidR="00777A7B">
        <w:rPr>
          <w:rFonts w:ascii="Arial" w:eastAsia="Times New Roman" w:hAnsi="Arial" w:cs="Arial"/>
          <w:sz w:val="24"/>
          <w:szCs w:val="24"/>
          <w:lang w:eastAsia="es-ES"/>
        </w:rPr>
        <w:t>P</w:t>
      </w:r>
      <w:r w:rsidR="00906AEF">
        <w:rPr>
          <w:rFonts w:ascii="Arial" w:eastAsia="Times New Roman" w:hAnsi="Arial" w:cs="Arial"/>
          <w:sz w:val="24"/>
          <w:szCs w:val="24"/>
          <w:lang w:eastAsia="es-ES"/>
        </w:rPr>
        <w:t>rocuraduría 141 Judicial II para Asuntos del Trabajo y Seguridad Social</w:t>
      </w:r>
      <w:r w:rsidR="00777A7B" w:rsidRPr="00777A7B">
        <w:t xml:space="preserve"> </w:t>
      </w:r>
      <w:r w:rsidR="00777A7B">
        <w:rPr>
          <w:rFonts w:ascii="Arial" w:eastAsia="Times New Roman" w:hAnsi="Arial" w:cs="Arial"/>
          <w:sz w:val="24"/>
          <w:szCs w:val="24"/>
          <w:lang w:eastAsia="es-ES"/>
        </w:rPr>
        <w:t xml:space="preserve">concedió </w:t>
      </w:r>
      <w:r w:rsidR="00777A7B" w:rsidRPr="00777A7B">
        <w:rPr>
          <w:rFonts w:ascii="Arial" w:eastAsia="Times New Roman" w:hAnsi="Arial" w:cs="Arial"/>
          <w:sz w:val="24"/>
          <w:szCs w:val="24"/>
          <w:lang w:eastAsia="es-ES"/>
        </w:rPr>
        <w:t>a la parte convocante el término de cinco (5) días para que subsane los defectos a</w:t>
      </w:r>
      <w:r w:rsidR="00777A7B">
        <w:rPr>
          <w:rFonts w:ascii="Arial" w:eastAsia="Times New Roman" w:hAnsi="Arial" w:cs="Arial"/>
          <w:sz w:val="24"/>
          <w:szCs w:val="24"/>
          <w:lang w:eastAsia="es-ES"/>
        </w:rPr>
        <w:t xml:space="preserve">notados en la parte motiva del </w:t>
      </w:r>
      <w:r w:rsidR="00777A7B" w:rsidRPr="00777A7B">
        <w:rPr>
          <w:rFonts w:ascii="Arial" w:eastAsia="Times New Roman" w:hAnsi="Arial" w:cs="Arial"/>
          <w:sz w:val="24"/>
          <w:szCs w:val="24"/>
          <w:lang w:eastAsia="es-ES"/>
        </w:rPr>
        <w:t xml:space="preserve">auto, </w:t>
      </w:r>
      <w:r w:rsidR="00777A7B">
        <w:rPr>
          <w:rFonts w:ascii="Arial" w:eastAsia="Times New Roman" w:hAnsi="Arial" w:cs="Arial"/>
          <w:sz w:val="24"/>
          <w:szCs w:val="24"/>
          <w:lang w:eastAsia="es-ES"/>
        </w:rPr>
        <w:t>situación corregida por la parte convocante el 1</w:t>
      </w:r>
      <w:r w:rsidR="00EB2B7F">
        <w:rPr>
          <w:rFonts w:ascii="Arial" w:eastAsia="Times New Roman" w:hAnsi="Arial" w:cs="Arial"/>
          <w:sz w:val="24"/>
          <w:szCs w:val="24"/>
          <w:lang w:eastAsia="es-ES"/>
        </w:rPr>
        <w:t>6</w:t>
      </w:r>
      <w:r w:rsidR="00777A7B">
        <w:rPr>
          <w:rFonts w:ascii="Arial" w:eastAsia="Times New Roman" w:hAnsi="Arial" w:cs="Arial"/>
          <w:sz w:val="24"/>
          <w:szCs w:val="24"/>
          <w:lang w:eastAsia="es-ES"/>
        </w:rPr>
        <w:t xml:space="preserve"> de febrero de 2022</w:t>
      </w:r>
      <w:r w:rsidR="00777A7B">
        <w:rPr>
          <w:rStyle w:val="Refdenotaalpie"/>
          <w:rFonts w:ascii="Arial" w:eastAsia="Times New Roman" w:hAnsi="Arial" w:cs="Arial"/>
          <w:sz w:val="24"/>
          <w:szCs w:val="24"/>
          <w:lang w:eastAsia="es-ES"/>
        </w:rPr>
        <w:footnoteReference w:id="8"/>
      </w:r>
      <w:r w:rsidR="00EB2B7F">
        <w:rPr>
          <w:rFonts w:ascii="Arial" w:eastAsia="Times New Roman" w:hAnsi="Arial" w:cs="Arial"/>
          <w:sz w:val="24"/>
          <w:szCs w:val="24"/>
          <w:lang w:eastAsia="es-ES"/>
        </w:rPr>
        <w:t>, en este sentido, y teniendo en cuenta la norma que antecede, la fecha de presentación de la solicitud de conciliación es clara para este juzgador, esto es el 12 de enero de 2022, por cuanto si bien, se le otorgó a la parte convocante un término para subsanar requisitos los cuales adolecía, ello no</w:t>
      </w:r>
      <w:r w:rsidR="00994923">
        <w:rPr>
          <w:rFonts w:ascii="Arial" w:eastAsia="Times New Roman" w:hAnsi="Arial" w:cs="Arial"/>
          <w:sz w:val="24"/>
          <w:szCs w:val="24"/>
          <w:lang w:eastAsia="es-ES"/>
        </w:rPr>
        <w:t xml:space="preserve"> es óbice para tener en cuenta dicha fecha como la presentada, por cu</w:t>
      </w:r>
      <w:r w:rsidR="005832E6">
        <w:rPr>
          <w:rFonts w:ascii="Arial" w:eastAsia="Times New Roman" w:hAnsi="Arial" w:cs="Arial"/>
          <w:sz w:val="24"/>
          <w:szCs w:val="24"/>
          <w:lang w:eastAsia="es-ES"/>
        </w:rPr>
        <w:t xml:space="preserve">anto la norma indica de forma </w:t>
      </w:r>
      <w:r w:rsidR="00994923">
        <w:rPr>
          <w:rFonts w:ascii="Arial" w:eastAsia="Times New Roman" w:hAnsi="Arial" w:cs="Arial"/>
          <w:sz w:val="24"/>
          <w:szCs w:val="24"/>
          <w:lang w:eastAsia="es-ES"/>
        </w:rPr>
        <w:t xml:space="preserve">que la presentación de la solicitud suspende la caducidad, más no refriere que, el auto que admita la solicitud es la fecha que ha de contarse como término para interrupción de la caducidad de la acción, en este sentido, yerra el recurrente al indicar como fecha de presentación el día en que la parte subsana la demanda, por cuanto, lo que realizó dicho apoderado fue </w:t>
      </w:r>
      <w:r w:rsidR="001261F3">
        <w:rPr>
          <w:rFonts w:ascii="Arial" w:eastAsia="Times New Roman" w:hAnsi="Arial" w:cs="Arial"/>
          <w:sz w:val="24"/>
          <w:szCs w:val="24"/>
          <w:lang w:eastAsia="es-ES"/>
        </w:rPr>
        <w:t>dar cumplimiento al auto proferido por el Ministerio Público y allegar la documentación faltante para poder continuar el trámite prejudicial reseñado.</w:t>
      </w:r>
    </w:p>
    <w:p w14:paraId="4ACBC903" w14:textId="56C15DA0" w:rsidR="001261F3" w:rsidRDefault="00C94863"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Por</w:t>
      </w:r>
      <w:r w:rsidR="00A61B5E">
        <w:rPr>
          <w:rFonts w:ascii="Arial" w:eastAsia="Times New Roman" w:hAnsi="Arial" w:cs="Arial"/>
          <w:sz w:val="24"/>
          <w:szCs w:val="24"/>
          <w:lang w:eastAsia="es-ES"/>
        </w:rPr>
        <w:t xml:space="preserve"> lo anterior</w:t>
      </w:r>
      <w:r>
        <w:rPr>
          <w:rFonts w:ascii="Arial" w:eastAsia="Times New Roman" w:hAnsi="Arial" w:cs="Arial"/>
          <w:sz w:val="24"/>
          <w:szCs w:val="24"/>
          <w:lang w:eastAsia="es-ES"/>
        </w:rPr>
        <w:t xml:space="preserve">, </w:t>
      </w:r>
      <w:r w:rsidR="001261F3">
        <w:rPr>
          <w:rFonts w:ascii="Arial" w:eastAsia="Times New Roman" w:hAnsi="Arial" w:cs="Arial"/>
          <w:sz w:val="24"/>
          <w:szCs w:val="24"/>
          <w:lang w:eastAsia="es-ES"/>
        </w:rPr>
        <w:t xml:space="preserve">y habiendo claridad respecto </w:t>
      </w:r>
      <w:r w:rsidR="00C42C5A">
        <w:rPr>
          <w:rFonts w:ascii="Arial" w:eastAsia="Times New Roman" w:hAnsi="Arial" w:cs="Arial"/>
          <w:sz w:val="24"/>
          <w:szCs w:val="24"/>
          <w:lang w:eastAsia="es-ES"/>
        </w:rPr>
        <w:t>de la fecha de presentación de la conciliación prejudicial como requisito de procedibilidad, ha de decir este despacho que, no ha de prosperar el recurso de reposición</w:t>
      </w:r>
      <w:r w:rsidR="002A0257">
        <w:rPr>
          <w:rFonts w:ascii="Arial" w:eastAsia="Times New Roman" w:hAnsi="Arial" w:cs="Arial"/>
          <w:sz w:val="24"/>
          <w:szCs w:val="24"/>
          <w:lang w:eastAsia="es-ES"/>
        </w:rPr>
        <w:t xml:space="preserve"> aludido</w:t>
      </w:r>
      <w:r w:rsidR="00C42C5A">
        <w:rPr>
          <w:rFonts w:ascii="Arial" w:eastAsia="Times New Roman" w:hAnsi="Arial" w:cs="Arial"/>
          <w:sz w:val="24"/>
          <w:szCs w:val="24"/>
          <w:lang w:eastAsia="es-ES"/>
        </w:rPr>
        <w:t xml:space="preserve">. </w:t>
      </w:r>
    </w:p>
    <w:p w14:paraId="566C00BA" w14:textId="20B1700C" w:rsidR="00A61B5E" w:rsidRDefault="00A61B5E" w:rsidP="00777A7B">
      <w:pPr>
        <w:spacing w:after="0" w:line="360" w:lineRule="auto"/>
        <w:jc w:val="both"/>
        <w:rPr>
          <w:rFonts w:ascii="Arial" w:eastAsia="Times New Roman" w:hAnsi="Arial" w:cs="Arial"/>
          <w:sz w:val="24"/>
          <w:szCs w:val="24"/>
          <w:lang w:eastAsia="es-ES"/>
        </w:rPr>
      </w:pPr>
    </w:p>
    <w:p w14:paraId="52242EEF" w14:textId="5E177F08" w:rsidR="00A61B5E" w:rsidRDefault="00A61B5E"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 otra parte, el recurso de apelación frente al auto No. 0034-24 de 5 de marzo de 2024, no procede de conformidad con el artículo 243 de la Ley 1437 de 2011.</w:t>
      </w:r>
    </w:p>
    <w:p w14:paraId="7B1EF353" w14:textId="358D788A" w:rsidR="00C94863" w:rsidRDefault="00C94863" w:rsidP="00777A7B">
      <w:pPr>
        <w:spacing w:after="0" w:line="360" w:lineRule="auto"/>
        <w:jc w:val="both"/>
        <w:rPr>
          <w:rFonts w:ascii="Arial" w:eastAsia="Times New Roman" w:hAnsi="Arial" w:cs="Arial"/>
          <w:sz w:val="24"/>
          <w:szCs w:val="24"/>
          <w:lang w:eastAsia="es-ES"/>
        </w:rPr>
      </w:pPr>
    </w:p>
    <w:p w14:paraId="0F560347" w14:textId="3626F526" w:rsidR="00C94863" w:rsidRDefault="00C94863" w:rsidP="00777A7B">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consecuencia,</w:t>
      </w:r>
      <w:r w:rsidR="004A70B0">
        <w:rPr>
          <w:rFonts w:ascii="Arial" w:eastAsia="Times New Roman" w:hAnsi="Arial" w:cs="Arial"/>
          <w:sz w:val="24"/>
          <w:szCs w:val="24"/>
          <w:lang w:eastAsia="es-ES"/>
        </w:rPr>
        <w:t xml:space="preserve"> </w:t>
      </w:r>
      <w:r w:rsidR="00E1141C">
        <w:rPr>
          <w:rFonts w:ascii="Arial" w:eastAsia="Times New Roman" w:hAnsi="Arial" w:cs="Arial"/>
          <w:sz w:val="24"/>
          <w:szCs w:val="24"/>
          <w:lang w:eastAsia="es-ES"/>
        </w:rPr>
        <w:t xml:space="preserve">el Despacho no repondrá auto No. 0034-24 de 5 de marzo de 2024 </w:t>
      </w:r>
      <w:r w:rsidR="00BF1FD0">
        <w:rPr>
          <w:rFonts w:ascii="Arial" w:eastAsia="Times New Roman" w:hAnsi="Arial" w:cs="Arial"/>
          <w:sz w:val="24"/>
          <w:szCs w:val="24"/>
          <w:lang w:eastAsia="es-ES"/>
        </w:rPr>
        <w:t>y negará</w:t>
      </w:r>
      <w:r w:rsidR="00E1141C">
        <w:rPr>
          <w:rFonts w:ascii="Arial" w:eastAsia="Times New Roman" w:hAnsi="Arial" w:cs="Arial"/>
          <w:sz w:val="24"/>
          <w:szCs w:val="24"/>
          <w:lang w:eastAsia="es-ES"/>
        </w:rPr>
        <w:t xml:space="preserve"> por improcedente el recurso de apelación frente al mismo, conforme fue expuesto en precedencia.</w:t>
      </w:r>
    </w:p>
    <w:p w14:paraId="61C16CC1" w14:textId="77777777" w:rsidR="008003C3" w:rsidRDefault="008003C3" w:rsidP="00374CDE">
      <w:pPr>
        <w:spacing w:after="0" w:line="360" w:lineRule="auto"/>
        <w:ind w:left="708" w:hanging="708"/>
        <w:jc w:val="both"/>
        <w:rPr>
          <w:rFonts w:ascii="Arial" w:hAnsi="Arial" w:cs="Arial"/>
          <w:sz w:val="24"/>
          <w:szCs w:val="24"/>
        </w:rPr>
      </w:pPr>
    </w:p>
    <w:p w14:paraId="783F2637" w14:textId="77777777" w:rsidR="00374CDE" w:rsidRPr="00EF76F4" w:rsidRDefault="00374CDE" w:rsidP="00374CDE">
      <w:pPr>
        <w:spacing w:after="0" w:line="360" w:lineRule="auto"/>
        <w:jc w:val="both"/>
        <w:rPr>
          <w:rFonts w:ascii="Arial" w:eastAsia="Times New Roman" w:hAnsi="Arial" w:cs="Arial"/>
          <w:bCs/>
          <w:sz w:val="24"/>
          <w:szCs w:val="24"/>
          <w:lang w:eastAsia="es-ES"/>
        </w:rPr>
      </w:pPr>
      <w:r w:rsidRPr="00EF76F4">
        <w:rPr>
          <w:rFonts w:ascii="Arial" w:eastAsia="Times New Roman" w:hAnsi="Arial" w:cs="Arial"/>
          <w:bCs/>
          <w:sz w:val="24"/>
          <w:szCs w:val="24"/>
          <w:lang w:eastAsia="es-ES"/>
        </w:rPr>
        <w:t xml:space="preserve">En mérito de lo expuesto, </w:t>
      </w:r>
      <w:r w:rsidRPr="00EF76F4">
        <w:rPr>
          <w:rFonts w:ascii="Arial" w:eastAsia="Times New Roman" w:hAnsi="Arial" w:cs="Arial"/>
          <w:b/>
          <w:bCs/>
          <w:sz w:val="24"/>
          <w:szCs w:val="24"/>
          <w:lang w:eastAsia="es-ES"/>
        </w:rPr>
        <w:t>EL JUZGADO ÚNICO ADMINISTRATIVO DEL CIRCUITO DE SAN ANDRÉS, PROVIDENCIA Y SANTA CATALINA</w:t>
      </w:r>
      <w:r w:rsidRPr="00EF76F4">
        <w:rPr>
          <w:rFonts w:ascii="Arial" w:eastAsia="Times New Roman" w:hAnsi="Arial" w:cs="Arial"/>
          <w:bCs/>
          <w:sz w:val="24"/>
          <w:szCs w:val="24"/>
          <w:lang w:eastAsia="es-ES"/>
        </w:rPr>
        <w:t>, administrando justicia en nombre de la república por autoridad de la ley,</w:t>
      </w:r>
    </w:p>
    <w:p w14:paraId="63A20497" w14:textId="77777777" w:rsidR="00D46347" w:rsidRDefault="00D46347" w:rsidP="00374CDE">
      <w:pPr>
        <w:spacing w:after="0" w:line="360" w:lineRule="auto"/>
        <w:jc w:val="center"/>
        <w:rPr>
          <w:rFonts w:ascii="Arial" w:eastAsia="Times New Roman" w:hAnsi="Arial" w:cs="Arial"/>
          <w:b/>
          <w:bCs/>
          <w:sz w:val="24"/>
          <w:szCs w:val="24"/>
          <w:lang w:eastAsia="es-ES"/>
        </w:rPr>
      </w:pPr>
    </w:p>
    <w:p w14:paraId="29404291" w14:textId="62D1459F" w:rsidR="00374CDE" w:rsidRDefault="00374CDE" w:rsidP="00374CDE">
      <w:pPr>
        <w:spacing w:after="0" w:line="360" w:lineRule="auto"/>
        <w:jc w:val="center"/>
        <w:rPr>
          <w:rFonts w:ascii="Arial" w:eastAsia="Times New Roman" w:hAnsi="Arial" w:cs="Arial"/>
          <w:b/>
          <w:bCs/>
          <w:sz w:val="24"/>
          <w:szCs w:val="24"/>
          <w:lang w:eastAsia="es-ES"/>
        </w:rPr>
      </w:pPr>
      <w:r w:rsidRPr="00EF76F4">
        <w:rPr>
          <w:rFonts w:ascii="Arial" w:eastAsia="Times New Roman" w:hAnsi="Arial" w:cs="Arial"/>
          <w:b/>
          <w:bCs/>
          <w:sz w:val="24"/>
          <w:szCs w:val="24"/>
          <w:lang w:eastAsia="es-ES"/>
        </w:rPr>
        <w:t>RESUELVE:</w:t>
      </w:r>
    </w:p>
    <w:p w14:paraId="1168E2B8" w14:textId="77777777" w:rsidR="00A61B5E" w:rsidRDefault="00A61B5E" w:rsidP="00374CDE">
      <w:pPr>
        <w:spacing w:after="0" w:line="360" w:lineRule="auto"/>
        <w:jc w:val="center"/>
        <w:rPr>
          <w:rFonts w:ascii="Arial" w:eastAsia="Times New Roman" w:hAnsi="Arial" w:cs="Arial"/>
          <w:b/>
          <w:bCs/>
          <w:sz w:val="24"/>
          <w:szCs w:val="24"/>
          <w:lang w:eastAsia="es-ES"/>
        </w:rPr>
      </w:pPr>
    </w:p>
    <w:p w14:paraId="68239F39" w14:textId="26EC0039" w:rsidR="00D46347" w:rsidRPr="00BF1FD0" w:rsidRDefault="00374CDE" w:rsidP="00B66523">
      <w:pPr>
        <w:spacing w:after="0" w:line="360" w:lineRule="auto"/>
        <w:jc w:val="both"/>
        <w:rPr>
          <w:rFonts w:ascii="Arial" w:eastAsia="Times New Roman" w:hAnsi="Arial" w:cs="Arial"/>
          <w:sz w:val="24"/>
          <w:szCs w:val="24"/>
          <w:lang w:eastAsia="es-ES"/>
        </w:rPr>
      </w:pPr>
      <w:r w:rsidRPr="00BF1FD0">
        <w:rPr>
          <w:rFonts w:ascii="Arial" w:eastAsia="Times New Roman" w:hAnsi="Arial" w:cs="Arial"/>
          <w:b/>
          <w:bCs/>
          <w:sz w:val="24"/>
          <w:szCs w:val="24"/>
          <w:lang w:eastAsia="es-ES"/>
        </w:rPr>
        <w:t>PRIMERO:</w:t>
      </w:r>
      <w:r w:rsidR="00BF1FD0" w:rsidRPr="00BF1FD0">
        <w:rPr>
          <w:rFonts w:ascii="Arial" w:eastAsia="Times New Roman" w:hAnsi="Arial" w:cs="Arial"/>
          <w:b/>
          <w:bCs/>
          <w:sz w:val="24"/>
          <w:szCs w:val="24"/>
          <w:lang w:eastAsia="es-ES"/>
        </w:rPr>
        <w:t xml:space="preserve"> NO REPONER </w:t>
      </w:r>
      <w:r w:rsidR="00BF1FD0" w:rsidRPr="00BF1FD0">
        <w:rPr>
          <w:rFonts w:ascii="Arial" w:eastAsia="Times New Roman" w:hAnsi="Arial" w:cs="Arial"/>
          <w:bCs/>
          <w:sz w:val="24"/>
          <w:szCs w:val="24"/>
          <w:lang w:eastAsia="es-ES"/>
        </w:rPr>
        <w:t>el</w:t>
      </w:r>
      <w:r w:rsidR="00BF1FD0" w:rsidRPr="00BF1FD0">
        <w:rPr>
          <w:rFonts w:ascii="Arial" w:hAnsi="Arial" w:cs="Arial"/>
          <w:color w:val="000000"/>
          <w:sz w:val="24"/>
          <w:szCs w:val="24"/>
        </w:rPr>
        <w:t xml:space="preserve"> </w:t>
      </w:r>
      <w:r w:rsidR="00BF1FD0" w:rsidRPr="00BF1FD0">
        <w:rPr>
          <w:rFonts w:ascii="Arial" w:eastAsia="Times New Roman" w:hAnsi="Arial" w:cs="Arial"/>
          <w:sz w:val="24"/>
          <w:szCs w:val="24"/>
          <w:lang w:eastAsia="es-ES"/>
        </w:rPr>
        <w:t>auto No. 0034-24 de 5 de marzo de 2024</w:t>
      </w:r>
      <w:r w:rsidR="00BF1FD0">
        <w:rPr>
          <w:rFonts w:ascii="Arial" w:eastAsia="Times New Roman" w:hAnsi="Arial" w:cs="Arial"/>
          <w:sz w:val="24"/>
          <w:szCs w:val="24"/>
          <w:lang w:eastAsia="es-ES"/>
        </w:rPr>
        <w:t>,</w:t>
      </w:r>
      <w:r w:rsidR="00BF1FD0" w:rsidRPr="00BF1FD0">
        <w:rPr>
          <w:rFonts w:ascii="Arial" w:eastAsia="Times New Roman" w:hAnsi="Arial" w:cs="Arial"/>
          <w:sz w:val="24"/>
          <w:szCs w:val="24"/>
          <w:lang w:eastAsia="es-ES"/>
        </w:rPr>
        <w:t xml:space="preserve"> </w:t>
      </w:r>
      <w:r w:rsidR="00BF1FD0" w:rsidRPr="00BF1FD0">
        <w:rPr>
          <w:rFonts w:ascii="Arial" w:hAnsi="Arial" w:cs="Arial"/>
          <w:color w:val="000000"/>
          <w:sz w:val="24"/>
          <w:szCs w:val="24"/>
        </w:rPr>
        <w:t>de conformidad con lo expuesto en la parte motiva de este proveído.</w:t>
      </w:r>
    </w:p>
    <w:p w14:paraId="6F9BEEDA" w14:textId="77777777" w:rsidR="003F33B6" w:rsidRDefault="003F33B6" w:rsidP="00CC24F1">
      <w:pPr>
        <w:spacing w:after="0" w:line="360" w:lineRule="auto"/>
        <w:jc w:val="both"/>
        <w:rPr>
          <w:rFonts w:ascii="Arial" w:eastAsia="Times New Roman" w:hAnsi="Arial" w:cs="Arial"/>
          <w:b/>
          <w:bCs/>
          <w:sz w:val="24"/>
          <w:szCs w:val="24"/>
          <w:lang w:eastAsia="es-ES"/>
        </w:rPr>
      </w:pPr>
    </w:p>
    <w:p w14:paraId="4CB0340B" w14:textId="5FE15E2C" w:rsidR="00B66523" w:rsidRPr="00BF1FD0" w:rsidRDefault="003F33B6" w:rsidP="00CC24F1">
      <w:pPr>
        <w:spacing w:after="0"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SEGUNDO: </w:t>
      </w:r>
      <w:r w:rsidR="00BF1FD0">
        <w:rPr>
          <w:rFonts w:ascii="Arial" w:eastAsia="Times New Roman" w:hAnsi="Arial" w:cs="Arial"/>
          <w:b/>
          <w:bCs/>
          <w:sz w:val="24"/>
          <w:szCs w:val="24"/>
          <w:lang w:eastAsia="es-ES"/>
        </w:rPr>
        <w:t>NIEGASE</w:t>
      </w:r>
      <w:r w:rsidR="00BF1FD0">
        <w:rPr>
          <w:rFonts w:ascii="Arial" w:eastAsia="Times New Roman" w:hAnsi="Arial" w:cs="Arial"/>
          <w:bCs/>
          <w:sz w:val="24"/>
          <w:szCs w:val="24"/>
          <w:lang w:eastAsia="es-ES"/>
        </w:rPr>
        <w:t xml:space="preserve"> por improcedente el recurso de apelación contra </w:t>
      </w:r>
      <w:r w:rsidR="00BF1FD0" w:rsidRPr="00BF1FD0">
        <w:rPr>
          <w:rFonts w:ascii="Arial" w:eastAsia="Times New Roman" w:hAnsi="Arial" w:cs="Arial"/>
          <w:bCs/>
          <w:sz w:val="24"/>
          <w:szCs w:val="24"/>
          <w:lang w:eastAsia="es-ES"/>
        </w:rPr>
        <w:t>el</w:t>
      </w:r>
      <w:r w:rsidR="00BF1FD0" w:rsidRPr="00BF1FD0">
        <w:rPr>
          <w:rFonts w:ascii="Arial" w:hAnsi="Arial" w:cs="Arial"/>
          <w:color w:val="000000"/>
          <w:sz w:val="24"/>
          <w:szCs w:val="24"/>
        </w:rPr>
        <w:t xml:space="preserve"> </w:t>
      </w:r>
      <w:r w:rsidR="00BF1FD0" w:rsidRPr="00BF1FD0">
        <w:rPr>
          <w:rFonts w:ascii="Arial" w:eastAsia="Times New Roman" w:hAnsi="Arial" w:cs="Arial"/>
          <w:sz w:val="24"/>
          <w:szCs w:val="24"/>
          <w:lang w:eastAsia="es-ES"/>
        </w:rPr>
        <w:t>auto No. 0034-24 de 5 de marzo de 2024</w:t>
      </w:r>
      <w:r w:rsidR="00BF1FD0">
        <w:rPr>
          <w:rFonts w:ascii="Arial" w:eastAsia="Times New Roman" w:hAnsi="Arial" w:cs="Arial"/>
          <w:sz w:val="24"/>
          <w:szCs w:val="24"/>
          <w:lang w:eastAsia="es-ES"/>
        </w:rPr>
        <w:t xml:space="preserve">, </w:t>
      </w:r>
      <w:r w:rsidR="00BF1FD0" w:rsidRPr="00BF1FD0">
        <w:rPr>
          <w:rFonts w:ascii="Arial" w:hAnsi="Arial" w:cs="Arial"/>
          <w:color w:val="000000"/>
          <w:sz w:val="24"/>
          <w:szCs w:val="24"/>
        </w:rPr>
        <w:t>de conformidad con lo expuesto en la parte motiva de este proveído.</w:t>
      </w:r>
    </w:p>
    <w:p w14:paraId="0F0F9965" w14:textId="77777777" w:rsidR="00CC24F1" w:rsidRPr="00D46347" w:rsidRDefault="00CC24F1" w:rsidP="00CC24F1">
      <w:pPr>
        <w:spacing w:after="0" w:line="360" w:lineRule="auto"/>
        <w:jc w:val="both"/>
        <w:rPr>
          <w:rFonts w:ascii="Arial" w:eastAsia="Times New Roman" w:hAnsi="Arial" w:cs="Arial"/>
          <w:sz w:val="24"/>
          <w:szCs w:val="24"/>
          <w:lang w:eastAsia="es-ES"/>
        </w:rPr>
      </w:pPr>
    </w:p>
    <w:p w14:paraId="538C6693" w14:textId="291233D6" w:rsidR="00374CDE" w:rsidRPr="00CC24F1" w:rsidRDefault="00374CDE" w:rsidP="00374CDE">
      <w:pPr>
        <w:spacing w:line="360" w:lineRule="auto"/>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TERCERO: </w:t>
      </w:r>
      <w:r w:rsidR="00CC24F1">
        <w:rPr>
          <w:rFonts w:ascii="Arial" w:eastAsia="Times New Roman" w:hAnsi="Arial" w:cs="Arial"/>
          <w:sz w:val="24"/>
          <w:szCs w:val="24"/>
          <w:lang w:eastAsia="es-ES"/>
        </w:rPr>
        <w:t xml:space="preserve">Ejecutoriada esta providencia, </w:t>
      </w:r>
      <w:r w:rsidR="00AA5D63">
        <w:rPr>
          <w:rFonts w:ascii="Arial" w:eastAsia="Times New Roman" w:hAnsi="Arial" w:cs="Arial"/>
          <w:sz w:val="24"/>
          <w:szCs w:val="24"/>
          <w:lang w:eastAsia="es-ES"/>
        </w:rPr>
        <w:t xml:space="preserve">continúese el trámite correspondiente. </w:t>
      </w:r>
    </w:p>
    <w:p w14:paraId="7ED74D83" w14:textId="1AD7443B" w:rsidR="00374CDE" w:rsidRDefault="00374CDE" w:rsidP="00374CDE">
      <w:pPr>
        <w:spacing w:after="0" w:line="240" w:lineRule="auto"/>
        <w:jc w:val="center"/>
        <w:outlineLvl w:val="0"/>
        <w:rPr>
          <w:rFonts w:ascii="Arial" w:hAnsi="Arial" w:cs="Arial"/>
          <w:b/>
          <w:bCs/>
        </w:rPr>
      </w:pPr>
    </w:p>
    <w:p w14:paraId="4F615BE8" w14:textId="77777777" w:rsidR="002A0257" w:rsidRDefault="002A0257" w:rsidP="00374CDE">
      <w:pPr>
        <w:spacing w:after="0" w:line="240" w:lineRule="auto"/>
        <w:jc w:val="center"/>
        <w:outlineLvl w:val="0"/>
        <w:rPr>
          <w:rFonts w:ascii="Arial" w:hAnsi="Arial" w:cs="Arial"/>
          <w:b/>
          <w:bCs/>
        </w:rPr>
      </w:pPr>
    </w:p>
    <w:p w14:paraId="24C58B22" w14:textId="77777777" w:rsidR="00374CDE" w:rsidRDefault="00374CDE" w:rsidP="00374CDE">
      <w:pPr>
        <w:spacing w:after="0" w:line="240" w:lineRule="auto"/>
        <w:jc w:val="center"/>
        <w:outlineLvl w:val="0"/>
        <w:rPr>
          <w:rFonts w:ascii="Arial" w:hAnsi="Arial" w:cs="Arial"/>
          <w:b/>
          <w:bCs/>
          <w:sz w:val="24"/>
          <w:szCs w:val="24"/>
        </w:rPr>
      </w:pPr>
      <w:r w:rsidRPr="00A93644">
        <w:rPr>
          <w:rFonts w:ascii="Arial" w:hAnsi="Arial" w:cs="Arial"/>
          <w:b/>
          <w:bCs/>
          <w:sz w:val="24"/>
          <w:szCs w:val="24"/>
        </w:rPr>
        <w:t>NOTIFÍQUESE Y CÚMPLASE</w:t>
      </w:r>
    </w:p>
    <w:p w14:paraId="2CBCADCE" w14:textId="77777777" w:rsidR="00441E05" w:rsidRDefault="00441E05" w:rsidP="00374CDE">
      <w:pPr>
        <w:spacing w:after="0" w:line="240" w:lineRule="auto"/>
        <w:jc w:val="center"/>
        <w:outlineLvl w:val="0"/>
        <w:rPr>
          <w:rFonts w:ascii="Arial" w:hAnsi="Arial" w:cs="Arial"/>
          <w:b/>
          <w:bCs/>
          <w:sz w:val="24"/>
          <w:szCs w:val="24"/>
        </w:rPr>
      </w:pPr>
    </w:p>
    <w:p w14:paraId="054141DB" w14:textId="2FD75767" w:rsidR="00374CDE" w:rsidRPr="00A93644" w:rsidRDefault="00441E05" w:rsidP="00374CDE">
      <w:pPr>
        <w:spacing w:after="0" w:line="240" w:lineRule="auto"/>
        <w:jc w:val="center"/>
        <w:outlineLvl w:val="0"/>
        <w:rPr>
          <w:rFonts w:ascii="Arial" w:hAnsi="Arial" w:cs="Arial"/>
          <w:b/>
          <w:bCs/>
          <w:sz w:val="24"/>
          <w:szCs w:val="24"/>
        </w:rPr>
      </w:pPr>
      <w:r>
        <w:rPr>
          <w:rFonts w:ascii="Arial" w:hAnsi="Arial" w:cs="Arial"/>
          <w:b/>
          <w:bCs/>
          <w:sz w:val="24"/>
          <w:szCs w:val="24"/>
        </w:rPr>
        <w:t>(FIRMA ELECTRÓNICA)</w:t>
      </w:r>
    </w:p>
    <w:p w14:paraId="338832F8" w14:textId="77777777" w:rsidR="00374CDE" w:rsidRPr="00A93644" w:rsidRDefault="00374CDE" w:rsidP="00374CDE">
      <w:pPr>
        <w:spacing w:after="0" w:line="240" w:lineRule="auto"/>
        <w:jc w:val="center"/>
        <w:outlineLvl w:val="0"/>
        <w:rPr>
          <w:rFonts w:ascii="Arial" w:hAnsi="Arial" w:cs="Arial"/>
          <w:b/>
          <w:bCs/>
          <w:sz w:val="24"/>
          <w:szCs w:val="24"/>
        </w:rPr>
      </w:pPr>
    </w:p>
    <w:p w14:paraId="0B1827B8" w14:textId="77777777" w:rsidR="00374CDE" w:rsidRPr="00A93644" w:rsidRDefault="00374CDE" w:rsidP="00A93644">
      <w:pPr>
        <w:spacing w:after="0" w:line="360" w:lineRule="auto"/>
        <w:jc w:val="center"/>
        <w:outlineLvl w:val="0"/>
        <w:rPr>
          <w:rFonts w:ascii="Arial" w:hAnsi="Arial" w:cs="Arial"/>
          <w:b/>
          <w:bCs/>
          <w:sz w:val="24"/>
          <w:szCs w:val="24"/>
        </w:rPr>
      </w:pPr>
      <w:r w:rsidRPr="00A93644">
        <w:rPr>
          <w:rFonts w:ascii="Arial" w:hAnsi="Arial" w:cs="Arial"/>
          <w:b/>
          <w:bCs/>
          <w:sz w:val="24"/>
          <w:szCs w:val="24"/>
        </w:rPr>
        <w:t>RUTDER ENRIQUE CANTILLO CHIQUILLO</w:t>
      </w:r>
    </w:p>
    <w:p w14:paraId="50415A8D" w14:textId="62F00B0C" w:rsidR="001C1877" w:rsidRPr="000B6501" w:rsidRDefault="00374CDE" w:rsidP="000B6501">
      <w:pPr>
        <w:spacing w:after="0" w:line="360" w:lineRule="auto"/>
        <w:jc w:val="center"/>
        <w:outlineLvl w:val="0"/>
        <w:rPr>
          <w:rFonts w:ascii="Arial" w:hAnsi="Arial" w:cs="Arial"/>
          <w:b/>
          <w:bCs/>
          <w:sz w:val="24"/>
          <w:szCs w:val="24"/>
        </w:rPr>
      </w:pPr>
      <w:r w:rsidRPr="00A93644">
        <w:rPr>
          <w:rFonts w:ascii="Arial" w:hAnsi="Arial" w:cs="Arial"/>
          <w:b/>
          <w:bCs/>
          <w:sz w:val="24"/>
          <w:szCs w:val="24"/>
        </w:rPr>
        <w:t>JUEZ</w:t>
      </w:r>
    </w:p>
    <w:sectPr w:rsidR="001C1877" w:rsidRPr="000B6501" w:rsidSect="00EF6533">
      <w:headerReference w:type="default" r:id="rId10"/>
      <w:footerReference w:type="default" r:id="rId11"/>
      <w:pgSz w:w="12242" w:h="18824" w:code="5"/>
      <w:pgMar w:top="1418" w:right="1701" w:bottom="1418" w:left="1701"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E69B" w14:textId="77777777" w:rsidR="00002607" w:rsidRDefault="00002607" w:rsidP="0029283B">
      <w:pPr>
        <w:spacing w:after="0" w:line="240" w:lineRule="auto"/>
      </w:pPr>
      <w:r>
        <w:separator/>
      </w:r>
    </w:p>
  </w:endnote>
  <w:endnote w:type="continuationSeparator" w:id="0">
    <w:p w14:paraId="5C6685D3" w14:textId="77777777" w:rsidR="00002607" w:rsidRDefault="00002607"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464185"/>
      <w:docPartObj>
        <w:docPartGallery w:val="Page Numbers (Bottom of Page)"/>
        <w:docPartUnique/>
      </w:docPartObj>
    </w:sdtPr>
    <w:sdtEndPr/>
    <w:sdtContent>
      <w:p w14:paraId="1EE49952" w14:textId="77777777" w:rsidR="009034EA" w:rsidRDefault="009034EA">
        <w:pPr>
          <w:pStyle w:val="Piedepgina"/>
          <w:jc w:val="right"/>
        </w:pPr>
      </w:p>
      <w:tbl>
        <w:tblPr>
          <w:tblStyle w:val="Tablaconcuadrcula"/>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464"/>
          <w:gridCol w:w="3968"/>
          <w:gridCol w:w="2379"/>
        </w:tblGrid>
        <w:tr w:rsidR="009034EA" w:rsidRPr="00454D83" w14:paraId="7124A009" w14:textId="77777777" w:rsidTr="009034EA">
          <w:trPr>
            <w:trHeight w:val="286"/>
          </w:trPr>
          <w:tc>
            <w:tcPr>
              <w:tcW w:w="2244" w:type="dxa"/>
            </w:tcPr>
            <w:p w14:paraId="42DAB21C" w14:textId="77777777" w:rsidR="009034EA" w:rsidRPr="00454D83" w:rsidRDefault="009034EA" w:rsidP="00C90F6B">
              <w:pPr>
                <w:pStyle w:val="Piedepgina"/>
                <w:rPr>
                  <w:rFonts w:ascii="Arial" w:hAnsi="Arial" w:cs="Arial"/>
                  <w:sz w:val="16"/>
                  <w:szCs w:val="16"/>
                </w:rPr>
              </w:pPr>
              <w:r>
                <w:rPr>
                  <w:rFonts w:ascii="Arial" w:hAnsi="Arial" w:cs="Arial"/>
                  <w:bCs/>
                  <w:color w:val="0D0D0D" w:themeColor="text1" w:themeTint="F2"/>
                  <w:sz w:val="16"/>
                  <w:szCs w:val="16"/>
                </w:rPr>
                <w:t>Código:  FCAJ-SAI-05</w:t>
              </w:r>
              <w:r w:rsidRPr="00454D83">
                <w:rPr>
                  <w:rFonts w:ascii="Arial" w:hAnsi="Arial" w:cs="Arial"/>
                  <w:bCs/>
                  <w:color w:val="0D0D0D" w:themeColor="text1" w:themeTint="F2"/>
                  <w:sz w:val="16"/>
                  <w:szCs w:val="16"/>
                </w:rPr>
                <w:t xml:space="preserve">                     </w:t>
              </w:r>
            </w:p>
          </w:tc>
          <w:tc>
            <w:tcPr>
              <w:tcW w:w="1464" w:type="dxa"/>
            </w:tcPr>
            <w:p w14:paraId="5AEFB569" w14:textId="77777777" w:rsidR="009034EA" w:rsidRPr="00454D83" w:rsidRDefault="009034EA" w:rsidP="00C90F6B">
              <w:pPr>
                <w:pStyle w:val="Piedepgina"/>
                <w:rPr>
                  <w:rFonts w:ascii="Arial" w:hAnsi="Arial" w:cs="Arial"/>
                  <w:sz w:val="16"/>
                  <w:szCs w:val="16"/>
                </w:rPr>
              </w:pPr>
              <w:r w:rsidRPr="00454D83">
                <w:rPr>
                  <w:rFonts w:ascii="Arial" w:hAnsi="Arial" w:cs="Arial"/>
                  <w:bCs/>
                  <w:color w:val="0D0D0D" w:themeColor="text1" w:themeTint="F2"/>
                  <w:sz w:val="16"/>
                  <w:szCs w:val="16"/>
                </w:rPr>
                <w:t>Versión: 0</w:t>
              </w:r>
              <w:r>
                <w:rPr>
                  <w:rFonts w:ascii="Arial" w:hAnsi="Arial" w:cs="Arial"/>
                  <w:bCs/>
                  <w:color w:val="0D0D0D" w:themeColor="text1" w:themeTint="F2"/>
                  <w:sz w:val="16"/>
                  <w:szCs w:val="16"/>
                </w:rPr>
                <w:t>1</w:t>
              </w:r>
            </w:p>
          </w:tc>
          <w:tc>
            <w:tcPr>
              <w:tcW w:w="3968" w:type="dxa"/>
            </w:tcPr>
            <w:p w14:paraId="390F63CC" w14:textId="77777777" w:rsidR="009034EA" w:rsidRPr="00454D83" w:rsidRDefault="009034EA" w:rsidP="00C90F6B">
              <w:pPr>
                <w:pStyle w:val="Piedepgina"/>
                <w:rPr>
                  <w:rFonts w:ascii="Arial" w:hAnsi="Arial" w:cs="Arial"/>
                  <w:sz w:val="16"/>
                  <w:szCs w:val="16"/>
                </w:rPr>
              </w:pPr>
              <w:r w:rsidRPr="00454D83">
                <w:rPr>
                  <w:rFonts w:ascii="Arial" w:hAnsi="Arial" w:cs="Arial"/>
                  <w:bCs/>
                  <w:color w:val="0D0D0D" w:themeColor="text1" w:themeTint="F2"/>
                  <w:sz w:val="16"/>
                  <w:szCs w:val="16"/>
                </w:rPr>
                <w:t>Fecha: 16/08/2018</w:t>
              </w:r>
            </w:p>
          </w:tc>
          <w:tc>
            <w:tcPr>
              <w:tcW w:w="2379" w:type="dxa"/>
            </w:tcPr>
            <w:p w14:paraId="1E745D1B" w14:textId="77777777" w:rsidR="009034EA" w:rsidRPr="00454D83" w:rsidRDefault="009034EA" w:rsidP="00C90F6B">
              <w:pPr>
                <w:pStyle w:val="Piedepgina"/>
                <w:jc w:val="right"/>
                <w:rPr>
                  <w:rFonts w:ascii="Arial" w:hAnsi="Arial" w:cs="Arial"/>
                  <w:bCs/>
                  <w:color w:val="0D0D0D" w:themeColor="text1" w:themeTint="F2"/>
                  <w:sz w:val="16"/>
                  <w:szCs w:val="16"/>
                </w:rPr>
              </w:pPr>
            </w:p>
          </w:tc>
        </w:tr>
      </w:tbl>
      <w:p w14:paraId="251C6132" w14:textId="62FEBDF3" w:rsidR="009034EA" w:rsidRDefault="009034EA">
        <w:pPr>
          <w:pStyle w:val="Piedepgina"/>
          <w:jc w:val="right"/>
        </w:pPr>
        <w:r>
          <w:fldChar w:fldCharType="begin"/>
        </w:r>
        <w:r>
          <w:instrText>PAGE   \* MERGEFORMAT</w:instrText>
        </w:r>
        <w:r>
          <w:fldChar w:fldCharType="separate"/>
        </w:r>
        <w:r w:rsidR="005832E6">
          <w:rPr>
            <w:noProof/>
          </w:rPr>
          <w:t>8</w:t>
        </w:r>
        <w:r>
          <w:fldChar w:fldCharType="end"/>
        </w:r>
      </w:p>
    </w:sdtContent>
  </w:sdt>
  <w:p w14:paraId="4CC9929B" w14:textId="77777777" w:rsidR="009034EA" w:rsidRPr="008B3965" w:rsidRDefault="009034EA" w:rsidP="00BA4E0E">
    <w:pPr>
      <w:pStyle w:val="Encabezado"/>
      <w:jc w:val="both"/>
      <w:rPr>
        <w:rFonts w:ascii="Arial" w:hAnsi="Arial" w:cs="Arial"/>
        <w:sz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7A71C" w14:textId="77777777" w:rsidR="00002607" w:rsidRDefault="00002607" w:rsidP="0029283B">
      <w:pPr>
        <w:spacing w:after="0" w:line="240" w:lineRule="auto"/>
      </w:pPr>
      <w:r>
        <w:separator/>
      </w:r>
    </w:p>
  </w:footnote>
  <w:footnote w:type="continuationSeparator" w:id="0">
    <w:p w14:paraId="324A7E6A" w14:textId="77777777" w:rsidR="00002607" w:rsidRDefault="00002607" w:rsidP="0029283B">
      <w:pPr>
        <w:spacing w:after="0" w:line="240" w:lineRule="auto"/>
      </w:pPr>
      <w:r>
        <w:continuationSeparator/>
      </w:r>
    </w:p>
  </w:footnote>
  <w:footnote w:id="1">
    <w:p w14:paraId="59172973" w14:textId="77777777" w:rsidR="009034EA" w:rsidRPr="000D6E5D" w:rsidRDefault="009034EA" w:rsidP="00BD4875">
      <w:pPr>
        <w:pStyle w:val="Textonotapie"/>
        <w:rPr>
          <w:rFonts w:ascii="Times New Roman" w:hAnsi="Times New Roman"/>
          <w:sz w:val="18"/>
          <w:szCs w:val="18"/>
          <w:lang w:val="es-CO"/>
        </w:rPr>
      </w:pPr>
      <w:r w:rsidRPr="000D6E5D">
        <w:rPr>
          <w:rStyle w:val="Refdenotaalpie"/>
          <w:rFonts w:ascii="Times New Roman" w:hAnsi="Times New Roman"/>
          <w:sz w:val="18"/>
          <w:szCs w:val="18"/>
        </w:rPr>
        <w:footnoteRef/>
      </w:r>
      <w:r w:rsidRPr="000D6E5D">
        <w:rPr>
          <w:rFonts w:ascii="Times New Roman" w:hAnsi="Times New Roman"/>
          <w:sz w:val="18"/>
          <w:szCs w:val="18"/>
        </w:rPr>
        <w:t xml:space="preserve"> </w:t>
      </w:r>
      <w:r w:rsidRPr="000D6E5D">
        <w:rPr>
          <w:rFonts w:ascii="Times New Roman" w:hAnsi="Times New Roman"/>
          <w:sz w:val="18"/>
          <w:szCs w:val="18"/>
          <w:lang w:val="es-CO"/>
        </w:rPr>
        <w:t>Anexo</w:t>
      </w:r>
      <w:r>
        <w:rPr>
          <w:rFonts w:ascii="Times New Roman" w:hAnsi="Times New Roman"/>
          <w:sz w:val="18"/>
          <w:szCs w:val="18"/>
          <w:lang w:val="es-CO"/>
        </w:rPr>
        <w:t xml:space="preserve"> 28</w:t>
      </w:r>
      <w:r w:rsidRPr="000D6E5D">
        <w:rPr>
          <w:rFonts w:ascii="Times New Roman" w:hAnsi="Times New Roman"/>
          <w:sz w:val="18"/>
          <w:szCs w:val="18"/>
          <w:lang w:val="es-CO"/>
        </w:rPr>
        <w:t xml:space="preserve"> del cuaderno digital</w:t>
      </w:r>
    </w:p>
  </w:footnote>
  <w:footnote w:id="2">
    <w:p w14:paraId="669723D1" w14:textId="0AC9D200" w:rsidR="009034EA" w:rsidRPr="004042DE" w:rsidRDefault="009034EA">
      <w:pPr>
        <w:pStyle w:val="Textonotapie"/>
        <w:rPr>
          <w:rFonts w:ascii="Times New Roman" w:hAnsi="Times New Roman" w:cs="Times New Roman"/>
          <w:sz w:val="18"/>
          <w:szCs w:val="18"/>
        </w:rPr>
      </w:pPr>
      <w:r w:rsidRPr="004042DE">
        <w:rPr>
          <w:rStyle w:val="Refdenotaalpie"/>
          <w:rFonts w:ascii="Times New Roman" w:hAnsi="Times New Roman" w:cs="Times New Roman"/>
          <w:sz w:val="18"/>
          <w:szCs w:val="18"/>
        </w:rPr>
        <w:footnoteRef/>
      </w:r>
      <w:r w:rsidRPr="004042DE">
        <w:rPr>
          <w:rFonts w:ascii="Times New Roman" w:hAnsi="Times New Roman" w:cs="Times New Roman"/>
          <w:sz w:val="18"/>
          <w:szCs w:val="18"/>
        </w:rPr>
        <w:t xml:space="preserve"> Anexo 67 del E.D.</w:t>
      </w:r>
    </w:p>
  </w:footnote>
  <w:footnote w:id="3">
    <w:p w14:paraId="4A0197C0" w14:textId="4992F167" w:rsidR="009034EA" w:rsidRPr="00EB20DD" w:rsidRDefault="009034EA">
      <w:pPr>
        <w:pStyle w:val="Textonotapie"/>
        <w:rPr>
          <w:rFonts w:ascii="Times New Roman" w:hAnsi="Times New Roman" w:cs="Times New Roman"/>
          <w:sz w:val="18"/>
          <w:szCs w:val="18"/>
        </w:rPr>
      </w:pPr>
      <w:r w:rsidRPr="00EB20DD">
        <w:rPr>
          <w:rStyle w:val="Refdenotaalpie"/>
          <w:rFonts w:ascii="Times New Roman" w:hAnsi="Times New Roman" w:cs="Times New Roman"/>
          <w:sz w:val="18"/>
          <w:szCs w:val="18"/>
        </w:rPr>
        <w:footnoteRef/>
      </w:r>
      <w:r w:rsidRPr="00EB20DD">
        <w:rPr>
          <w:rFonts w:ascii="Times New Roman" w:hAnsi="Times New Roman" w:cs="Times New Roman"/>
          <w:sz w:val="18"/>
          <w:szCs w:val="18"/>
        </w:rPr>
        <w:t xml:space="preserve"> Anexo 67 ED</w:t>
      </w:r>
    </w:p>
  </w:footnote>
  <w:footnote w:id="4">
    <w:p w14:paraId="600F5FE7" w14:textId="7B076A60" w:rsidR="009034EA" w:rsidRDefault="009034EA">
      <w:pPr>
        <w:pStyle w:val="Textonotapie"/>
      </w:pPr>
      <w:r>
        <w:rPr>
          <w:rStyle w:val="Refdenotaalpie"/>
        </w:rPr>
        <w:footnoteRef/>
      </w:r>
      <w:r>
        <w:t xml:space="preserve"> </w:t>
      </w:r>
      <w:r w:rsidRPr="00EB20DD">
        <w:rPr>
          <w:rFonts w:ascii="Times New Roman" w:hAnsi="Times New Roman" w:cs="Times New Roman"/>
          <w:sz w:val="18"/>
          <w:szCs w:val="18"/>
        </w:rPr>
        <w:t xml:space="preserve">Anexo </w:t>
      </w:r>
      <w:r>
        <w:rPr>
          <w:rFonts w:ascii="Times New Roman" w:hAnsi="Times New Roman" w:cs="Times New Roman"/>
          <w:sz w:val="18"/>
          <w:szCs w:val="18"/>
        </w:rPr>
        <w:t>68</w:t>
      </w:r>
      <w:r w:rsidRPr="00EB20DD">
        <w:rPr>
          <w:rFonts w:ascii="Times New Roman" w:hAnsi="Times New Roman" w:cs="Times New Roman"/>
          <w:sz w:val="18"/>
          <w:szCs w:val="18"/>
        </w:rPr>
        <w:t xml:space="preserve"> ED</w:t>
      </w:r>
    </w:p>
  </w:footnote>
  <w:footnote w:id="5">
    <w:p w14:paraId="51946DC9" w14:textId="77777777" w:rsidR="009034EA" w:rsidRDefault="009034EA" w:rsidP="00C95134">
      <w:pPr>
        <w:pStyle w:val="Ttulo2"/>
        <w:shd w:val="clear" w:color="auto" w:fill="FFFFFF"/>
        <w:spacing w:before="0"/>
        <w:jc w:val="both"/>
      </w:pPr>
      <w:r w:rsidRPr="00D674EC">
        <w:rPr>
          <w:rStyle w:val="Refdenotaalpie"/>
          <w:rFonts w:ascii="Times New Roman" w:hAnsi="Times New Roman" w:cs="Times New Roman"/>
          <w:b/>
          <w:color w:val="auto"/>
          <w:sz w:val="18"/>
          <w:szCs w:val="18"/>
        </w:rPr>
        <w:footnoteRef/>
      </w:r>
      <w:r w:rsidRPr="00D674EC">
        <w:rPr>
          <w:rFonts w:ascii="Times New Roman" w:hAnsi="Times New Roman" w:cs="Times New Roman"/>
          <w:b/>
          <w:color w:val="auto"/>
          <w:sz w:val="18"/>
          <w:szCs w:val="18"/>
        </w:rPr>
        <w:t xml:space="preserve"> </w:t>
      </w:r>
      <w:r w:rsidRPr="00D674EC">
        <w:rPr>
          <w:rStyle w:val="Textoennegrita"/>
          <w:rFonts w:ascii="Times New Roman" w:hAnsi="Times New Roman" w:cs="Times New Roman"/>
          <w:b w:val="0"/>
          <w:bCs w:val="0"/>
          <w:color w:val="auto"/>
          <w:sz w:val="18"/>
          <w:szCs w:val="18"/>
        </w:rPr>
        <w:t>Decreto 1069 de 2015</w:t>
      </w:r>
      <w:r w:rsidRPr="00D674EC">
        <w:rPr>
          <w:rFonts w:ascii="Times New Roman" w:hAnsi="Times New Roman" w:cs="Times New Roman"/>
          <w:b/>
          <w:color w:val="auto"/>
          <w:sz w:val="18"/>
          <w:szCs w:val="18"/>
          <w:shd w:val="clear" w:color="auto" w:fill="FFFFFF"/>
        </w:rPr>
        <w:t xml:space="preserve"> </w:t>
      </w:r>
      <w:r w:rsidRPr="00D674EC">
        <w:rPr>
          <w:rStyle w:val="Textoennegrita"/>
          <w:rFonts w:ascii="Times New Roman" w:hAnsi="Times New Roman" w:cs="Times New Roman"/>
          <w:b w:val="0"/>
          <w:color w:val="auto"/>
          <w:sz w:val="18"/>
          <w:szCs w:val="18"/>
          <w:shd w:val="clear" w:color="auto" w:fill="FFFFFF"/>
        </w:rPr>
        <w:t>“Por medio del cual se expide el Decreto Único Reglamentario del Sector Justicia y del Derecho”</w:t>
      </w:r>
    </w:p>
  </w:footnote>
  <w:footnote w:id="6">
    <w:p w14:paraId="1C8DCE17" w14:textId="47DDC7D3" w:rsidR="009034EA" w:rsidRPr="00A5336D" w:rsidRDefault="009034EA">
      <w:pPr>
        <w:pStyle w:val="Textonotapie"/>
        <w:rPr>
          <w:rFonts w:ascii="Times New Roman" w:hAnsi="Times New Roman" w:cs="Times New Roman"/>
          <w:sz w:val="18"/>
          <w:szCs w:val="18"/>
        </w:rPr>
      </w:pPr>
      <w:r w:rsidRPr="00A5336D">
        <w:rPr>
          <w:rStyle w:val="Refdenotaalpie"/>
          <w:rFonts w:ascii="Times New Roman" w:hAnsi="Times New Roman" w:cs="Times New Roman"/>
          <w:sz w:val="18"/>
          <w:szCs w:val="18"/>
        </w:rPr>
        <w:footnoteRef/>
      </w:r>
      <w:r w:rsidRPr="00A5336D">
        <w:rPr>
          <w:rFonts w:ascii="Times New Roman" w:hAnsi="Times New Roman" w:cs="Times New Roman"/>
          <w:sz w:val="18"/>
          <w:szCs w:val="18"/>
        </w:rPr>
        <w:t xml:space="preserve"> Anexo 01 de la carpeta pruebas y anexos</w:t>
      </w:r>
    </w:p>
  </w:footnote>
  <w:footnote w:id="7">
    <w:p w14:paraId="322A30B2" w14:textId="02A1FBD2" w:rsidR="009034EA" w:rsidRDefault="009034EA">
      <w:pPr>
        <w:pStyle w:val="Textonotapie"/>
      </w:pPr>
      <w:r>
        <w:rPr>
          <w:rStyle w:val="Refdenotaalpie"/>
        </w:rPr>
        <w:footnoteRef/>
      </w:r>
      <w:r>
        <w:t xml:space="preserve"> </w:t>
      </w:r>
      <w:r w:rsidRPr="00A5336D">
        <w:rPr>
          <w:rFonts w:ascii="Times New Roman" w:hAnsi="Times New Roman" w:cs="Times New Roman"/>
          <w:sz w:val="18"/>
          <w:szCs w:val="18"/>
        </w:rPr>
        <w:t>A</w:t>
      </w:r>
      <w:r>
        <w:rPr>
          <w:rFonts w:ascii="Times New Roman" w:hAnsi="Times New Roman" w:cs="Times New Roman"/>
          <w:sz w:val="18"/>
          <w:szCs w:val="18"/>
        </w:rPr>
        <w:t>nexo 02</w:t>
      </w:r>
      <w:r w:rsidRPr="00A5336D">
        <w:rPr>
          <w:rFonts w:ascii="Times New Roman" w:hAnsi="Times New Roman" w:cs="Times New Roman"/>
          <w:sz w:val="18"/>
          <w:szCs w:val="18"/>
        </w:rPr>
        <w:t xml:space="preserve"> de la carpeta pruebas y anexos</w:t>
      </w:r>
    </w:p>
  </w:footnote>
  <w:footnote w:id="8">
    <w:p w14:paraId="52F6F6E9" w14:textId="65DBBD7A" w:rsidR="009034EA" w:rsidRDefault="009034EA">
      <w:pPr>
        <w:pStyle w:val="Textonotapie"/>
      </w:pPr>
      <w:r>
        <w:rPr>
          <w:rStyle w:val="Refdenotaalpie"/>
        </w:rPr>
        <w:footnoteRef/>
      </w:r>
      <w:r>
        <w:t xml:space="preserve"> </w:t>
      </w:r>
      <w:r w:rsidRPr="00A5336D">
        <w:rPr>
          <w:rFonts w:ascii="Times New Roman" w:hAnsi="Times New Roman" w:cs="Times New Roman"/>
          <w:sz w:val="18"/>
          <w:szCs w:val="18"/>
        </w:rPr>
        <w:t>A</w:t>
      </w:r>
      <w:r>
        <w:rPr>
          <w:rFonts w:ascii="Times New Roman" w:hAnsi="Times New Roman" w:cs="Times New Roman"/>
          <w:sz w:val="18"/>
          <w:szCs w:val="18"/>
        </w:rPr>
        <w:t>nexo 04</w:t>
      </w:r>
      <w:r w:rsidRPr="00A5336D">
        <w:rPr>
          <w:rFonts w:ascii="Times New Roman" w:hAnsi="Times New Roman" w:cs="Times New Roman"/>
          <w:sz w:val="18"/>
          <w:szCs w:val="18"/>
        </w:rPr>
        <w:t xml:space="preserve"> de la carpeta pruebas y anexos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5B4F" w14:textId="77777777" w:rsidR="009034EA" w:rsidRDefault="009034EA" w:rsidP="00C90F6B">
    <w:pPr>
      <w:pStyle w:val="Encabezado"/>
      <w:rPr>
        <w:rFonts w:ascii="Arial Black" w:hAnsi="Arial Black"/>
        <w:b/>
        <w:color w:val="000000"/>
        <w:sz w:val="20"/>
        <w:szCs w:val="20"/>
        <w14:textOutline w14:w="12700" w14:cap="rnd" w14:cmpd="sng" w14:algn="ctr">
          <w14:noFill/>
          <w14:prstDash w14:val="solid"/>
          <w14:bevel/>
        </w14:textOutline>
      </w:rPr>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59264" behindDoc="1" locked="0" layoutInCell="0" allowOverlap="1" wp14:anchorId="44CEE635" wp14:editId="50624F94">
          <wp:simplePos x="0" y="0"/>
          <wp:positionH relativeFrom="margin">
            <wp:align>center</wp:align>
          </wp:positionH>
          <wp:positionV relativeFrom="page">
            <wp:posOffset>324485</wp:posOffset>
          </wp:positionV>
          <wp:extent cx="2618105" cy="772795"/>
          <wp:effectExtent l="0" t="0" r="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810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14:paraId="1886AA30" w14:textId="77777777" w:rsidR="009034EA" w:rsidRDefault="009034EA" w:rsidP="00C90F6B">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013BA7AB" w14:textId="77777777" w:rsidR="009034EA" w:rsidRDefault="009034EA" w:rsidP="00EF6533">
    <w:pPr>
      <w:pStyle w:val="NormalWeb"/>
      <w:tabs>
        <w:tab w:val="left" w:pos="780"/>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r>
      <w:rPr>
        <w:b/>
        <w:sz w:val="20"/>
        <w:szCs w:val="20"/>
        <w14:textOutline w14:w="12700" w14:cap="rnd" w14:cmpd="sng" w14:algn="ctr">
          <w14:noFill/>
          <w14:prstDash w14:val="solid"/>
          <w14:bevel/>
        </w14:textOutline>
      </w:rPr>
      <w:tab/>
    </w:r>
  </w:p>
  <w:p w14:paraId="689BEF62" w14:textId="77777777" w:rsidR="009034EA" w:rsidRDefault="009034EA"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mc:AlternateContent>
        <mc:Choice Requires="wps">
          <w:drawing>
            <wp:anchor distT="45720" distB="45720" distL="114300" distR="114300" simplePos="0" relativeHeight="251663360" behindDoc="0" locked="0" layoutInCell="1" allowOverlap="1" wp14:anchorId="6693AFD0" wp14:editId="4ACCB09A">
              <wp:simplePos x="0" y="0"/>
              <wp:positionH relativeFrom="column">
                <wp:posOffset>1140287</wp:posOffset>
              </wp:positionH>
              <wp:positionV relativeFrom="paragraph">
                <wp:posOffset>117269</wp:posOffset>
              </wp:positionV>
              <wp:extent cx="3633470" cy="9906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990600"/>
                      </a:xfrm>
                      <a:prstGeom prst="rect">
                        <a:avLst/>
                      </a:prstGeom>
                      <a:solidFill>
                        <a:srgbClr val="FFFFFF"/>
                      </a:solidFill>
                      <a:ln w="9525">
                        <a:noFill/>
                        <a:miter lim="800000"/>
                        <a:headEnd/>
                        <a:tailEnd/>
                      </a:ln>
                    </wps:spPr>
                    <wps:txbx>
                      <w:txbxContent>
                        <w:p w14:paraId="3D6ADF1B" w14:textId="77777777" w:rsidR="009034EA" w:rsidRPr="00755EC8" w:rsidRDefault="009034EA"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47FDE80C" w14:textId="77777777" w:rsidR="009034EA" w:rsidRPr="000852DF" w:rsidRDefault="009034EA" w:rsidP="00EF653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3AFD0" id="_x0000_t202" coordsize="21600,21600" o:spt="202" path="m,l,21600r21600,l21600,xe">
              <v:stroke joinstyle="miter"/>
              <v:path gradientshapeok="t" o:connecttype="rect"/>
            </v:shapetype>
            <v:shape id="Cuadro de texto 2" o:spid="_x0000_s1026" type="#_x0000_t202" style="position:absolute;margin-left:89.8pt;margin-top:9.25pt;width:286.1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" stroked="f">
              <v:textbox>
                <w:txbxContent>
                  <w:p w14:paraId="3D6ADF1B" w14:textId="77777777" w:rsidR="009034EA" w:rsidRPr="00755EC8" w:rsidRDefault="009034EA" w:rsidP="00EF6533">
                    <w:pPr>
                      <w:pStyle w:val="NormalWeb"/>
                      <w:spacing w:before="0" w:beforeAutospacing="0" w:after="0" w:afterAutospacing="0" w:line="360" w:lineRule="auto"/>
                      <w:jc w:val="center"/>
                      <w:rPr>
                        <w:rFonts w:ascii="Arial" w:hAnsi="Arial" w:cs="Arial"/>
                        <w:b/>
                        <w:sz w:val="22"/>
                        <w:szCs w:val="22"/>
                      </w:rPr>
                    </w:pPr>
                    <w:r w:rsidRPr="00755EC8">
                      <w:rPr>
                        <w:rFonts w:ascii="Arial" w:hAnsi="Arial" w:cs="Arial"/>
                        <w:b/>
                        <w:sz w:val="22"/>
                        <w:szCs w:val="22"/>
                      </w:rPr>
                      <w:t>JUZGADO ÚNICO CONTENCIOSO ADMINISTRATIVO DEL DEPARTAMENTO ARCHIPIÉLAGO DE SAN ANDRÉS, PROVIDENCIA Y SANTA CATALINA</w:t>
                    </w:r>
                  </w:p>
                  <w:p w14:paraId="47FDE80C" w14:textId="77777777" w:rsidR="009034EA" w:rsidRPr="000852DF" w:rsidRDefault="009034EA" w:rsidP="00EF6533">
                    <w:pPr>
                      <w:rPr>
                        <w:lang w:val="es-CO"/>
                      </w:rPr>
                    </w:pPr>
                  </w:p>
                </w:txbxContent>
              </v:textbox>
              <w10:wrap type="square"/>
            </v:shape>
          </w:pict>
        </mc:Fallback>
      </mc:AlternateContent>
    </w:r>
  </w:p>
  <w:p w14:paraId="413B7F82" w14:textId="77777777" w:rsidR="009034EA" w:rsidRDefault="009034EA" w:rsidP="00C90F6B">
    <w:pPr>
      <w:pStyle w:val="Encabezado"/>
    </w:pPr>
  </w:p>
  <w:p w14:paraId="22977BAA" w14:textId="77777777" w:rsidR="009034EA" w:rsidRDefault="009034EA" w:rsidP="00C90F6B">
    <w:pPr>
      <w:pStyle w:val="Encabezado"/>
    </w:pPr>
  </w:p>
  <w:p w14:paraId="286FEFA4" w14:textId="77777777" w:rsidR="009034EA" w:rsidRDefault="009034EA" w:rsidP="00C90F6B">
    <w:pPr>
      <w:pStyle w:val="Encabezado"/>
    </w:pPr>
  </w:p>
  <w:p w14:paraId="694939F9" w14:textId="77777777" w:rsidR="009034EA" w:rsidRDefault="009034EA" w:rsidP="00C90F6B">
    <w:pPr>
      <w:pStyle w:val="Encabezado"/>
    </w:pPr>
  </w:p>
  <w:p w14:paraId="3941E5AA" w14:textId="77777777" w:rsidR="009034EA" w:rsidRDefault="009034EA" w:rsidP="00C90F6B">
    <w:pPr>
      <w:pStyle w:val="Encabezado"/>
    </w:pPr>
    <w:r w:rsidRPr="00EF6533">
      <w:rPr>
        <w:rFonts w:ascii="Arial Black" w:hAnsi="Arial Black"/>
        <w:b/>
        <w:noProof/>
        <w:color w:val="000000"/>
        <w:sz w:val="20"/>
        <w:szCs w:val="20"/>
        <w:lang w:val="es-CO" w:eastAsia="es-CO"/>
        <w14:textOutline w14:w="12700" w14:cap="rnd" w14:cmpd="sng" w14:algn="ctr">
          <w14:noFill/>
          <w14:prstDash w14:val="solid"/>
          <w14:bevel/>
        </w14:textOutline>
      </w:rPr>
      <w:drawing>
        <wp:anchor distT="0" distB="0" distL="114300" distR="114300" simplePos="0" relativeHeight="251661312" behindDoc="0" locked="0" layoutInCell="1" allowOverlap="1" wp14:anchorId="299FEF52" wp14:editId="77ACDB6D">
          <wp:simplePos x="0" y="0"/>
          <wp:positionH relativeFrom="column">
            <wp:posOffset>5143623</wp:posOffset>
          </wp:positionH>
          <wp:positionV relativeFrom="paragraph">
            <wp:posOffset>73462</wp:posOffset>
          </wp:positionV>
          <wp:extent cx="711835" cy="133350"/>
          <wp:effectExtent l="0" t="0" r="0" b="0"/>
          <wp:wrapThrough wrapText="bothSides">
            <wp:wrapPolygon edited="0">
              <wp:start x="0" y="0"/>
              <wp:lineTo x="0" y="18514"/>
              <wp:lineTo x="20810" y="18514"/>
              <wp:lineTo x="20810"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cma logo 2.gif"/>
                  <pic:cNvPicPr/>
                </pic:nvPicPr>
                <pic:blipFill>
                  <a:blip r:embed="rId2">
                    <a:extLst>
                      <a:ext uri="{28A0092B-C50C-407E-A947-70E740481C1C}">
                        <a14:useLocalDpi xmlns:a14="http://schemas.microsoft.com/office/drawing/2010/main" val="0"/>
                      </a:ext>
                    </a:extLst>
                  </a:blip>
                  <a:stretch>
                    <a:fillRect/>
                  </a:stretch>
                </pic:blipFill>
                <pic:spPr>
                  <a:xfrm>
                    <a:off x="0" y="0"/>
                    <a:ext cx="711835" cy="133350"/>
                  </a:xfrm>
                  <a:prstGeom prst="rect">
                    <a:avLst/>
                  </a:prstGeom>
                </pic:spPr>
              </pic:pic>
            </a:graphicData>
          </a:graphic>
        </wp:anchor>
      </w:drawing>
    </w:r>
  </w:p>
  <w:p w14:paraId="30148D4A" w14:textId="77777777" w:rsidR="009034EA" w:rsidRPr="00C90F6B" w:rsidRDefault="009034EA" w:rsidP="00C90F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BBB"/>
    <w:multiLevelType w:val="multilevel"/>
    <w:tmpl w:val="F84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A760B"/>
    <w:multiLevelType w:val="hybridMultilevel"/>
    <w:tmpl w:val="C60EC310"/>
    <w:lvl w:ilvl="0" w:tplc="9D0C51B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076F87"/>
    <w:multiLevelType w:val="hybridMultilevel"/>
    <w:tmpl w:val="A2F8B0E8"/>
    <w:lvl w:ilvl="0" w:tplc="C2DABE14">
      <w:start w:val="1"/>
      <w:numFmt w:val="upp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4C576DDF"/>
    <w:multiLevelType w:val="multilevel"/>
    <w:tmpl w:val="89CA8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9344747">
    <w:abstractNumId w:val="3"/>
  </w:num>
  <w:num w:numId="2" w16cid:durableId="1346982065">
    <w:abstractNumId w:val="0"/>
  </w:num>
  <w:num w:numId="3" w16cid:durableId="573197016">
    <w:abstractNumId w:val="2"/>
  </w:num>
  <w:num w:numId="4" w16cid:durableId="1758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D8"/>
    <w:rsid w:val="00002607"/>
    <w:rsid w:val="0001286C"/>
    <w:rsid w:val="00014743"/>
    <w:rsid w:val="000215F6"/>
    <w:rsid w:val="0002731B"/>
    <w:rsid w:val="00033A7D"/>
    <w:rsid w:val="00035B2B"/>
    <w:rsid w:val="000375F3"/>
    <w:rsid w:val="000478D8"/>
    <w:rsid w:val="000629F0"/>
    <w:rsid w:val="00063BAA"/>
    <w:rsid w:val="000727BD"/>
    <w:rsid w:val="000859D4"/>
    <w:rsid w:val="000956CD"/>
    <w:rsid w:val="000A2A0B"/>
    <w:rsid w:val="000A2BDA"/>
    <w:rsid w:val="000A487D"/>
    <w:rsid w:val="000A4D4E"/>
    <w:rsid w:val="000B2DE2"/>
    <w:rsid w:val="000B4875"/>
    <w:rsid w:val="000B6501"/>
    <w:rsid w:val="000C72E3"/>
    <w:rsid w:val="000D7C65"/>
    <w:rsid w:val="000E78F3"/>
    <w:rsid w:val="00102AC5"/>
    <w:rsid w:val="00110CBA"/>
    <w:rsid w:val="00113A02"/>
    <w:rsid w:val="00117F9B"/>
    <w:rsid w:val="001261F3"/>
    <w:rsid w:val="00131A41"/>
    <w:rsid w:val="001333F3"/>
    <w:rsid w:val="00143014"/>
    <w:rsid w:val="00146913"/>
    <w:rsid w:val="00153B3D"/>
    <w:rsid w:val="00157832"/>
    <w:rsid w:val="00175E0C"/>
    <w:rsid w:val="00181970"/>
    <w:rsid w:val="00182124"/>
    <w:rsid w:val="00186EF6"/>
    <w:rsid w:val="0019376C"/>
    <w:rsid w:val="001A1331"/>
    <w:rsid w:val="001A176D"/>
    <w:rsid w:val="001C183B"/>
    <w:rsid w:val="001C1877"/>
    <w:rsid w:val="001C5F7E"/>
    <w:rsid w:val="001C6FD7"/>
    <w:rsid w:val="001D11F3"/>
    <w:rsid w:val="001D5A3E"/>
    <w:rsid w:val="001D7D71"/>
    <w:rsid w:val="001E1EF3"/>
    <w:rsid w:val="001E4AC9"/>
    <w:rsid w:val="001F0C82"/>
    <w:rsid w:val="00205EF8"/>
    <w:rsid w:val="00207396"/>
    <w:rsid w:val="00217A9E"/>
    <w:rsid w:val="00225258"/>
    <w:rsid w:val="002322D8"/>
    <w:rsid w:val="00233076"/>
    <w:rsid w:val="00241B17"/>
    <w:rsid w:val="0024332A"/>
    <w:rsid w:val="00244B66"/>
    <w:rsid w:val="00255234"/>
    <w:rsid w:val="00256746"/>
    <w:rsid w:val="00260D63"/>
    <w:rsid w:val="00280529"/>
    <w:rsid w:val="002824A4"/>
    <w:rsid w:val="002911EF"/>
    <w:rsid w:val="0029283B"/>
    <w:rsid w:val="002A0257"/>
    <w:rsid w:val="002A2A29"/>
    <w:rsid w:val="002A761D"/>
    <w:rsid w:val="002C4572"/>
    <w:rsid w:val="002F5833"/>
    <w:rsid w:val="00315237"/>
    <w:rsid w:val="003220A2"/>
    <w:rsid w:val="00324B92"/>
    <w:rsid w:val="00327BB0"/>
    <w:rsid w:val="00357115"/>
    <w:rsid w:val="0036359A"/>
    <w:rsid w:val="00374CDE"/>
    <w:rsid w:val="00376126"/>
    <w:rsid w:val="003819F0"/>
    <w:rsid w:val="00395F4D"/>
    <w:rsid w:val="00396E18"/>
    <w:rsid w:val="003A078C"/>
    <w:rsid w:val="003A07AF"/>
    <w:rsid w:val="003A231E"/>
    <w:rsid w:val="003A2953"/>
    <w:rsid w:val="003A32E5"/>
    <w:rsid w:val="003A447A"/>
    <w:rsid w:val="003C245C"/>
    <w:rsid w:val="003C70F1"/>
    <w:rsid w:val="003D10CE"/>
    <w:rsid w:val="003E54FC"/>
    <w:rsid w:val="003E7DD5"/>
    <w:rsid w:val="003F10E2"/>
    <w:rsid w:val="003F33B6"/>
    <w:rsid w:val="003F5500"/>
    <w:rsid w:val="004008F7"/>
    <w:rsid w:val="00401F7F"/>
    <w:rsid w:val="00403BEE"/>
    <w:rsid w:val="004042DE"/>
    <w:rsid w:val="00404495"/>
    <w:rsid w:val="0042764D"/>
    <w:rsid w:val="00441245"/>
    <w:rsid w:val="00441E05"/>
    <w:rsid w:val="00455D8E"/>
    <w:rsid w:val="004565CD"/>
    <w:rsid w:val="00461082"/>
    <w:rsid w:val="004710E0"/>
    <w:rsid w:val="00482F0D"/>
    <w:rsid w:val="004A70B0"/>
    <w:rsid w:val="004A7FDB"/>
    <w:rsid w:val="004C3C3B"/>
    <w:rsid w:val="004C6E00"/>
    <w:rsid w:val="004D0CC6"/>
    <w:rsid w:val="004D4108"/>
    <w:rsid w:val="004F75BA"/>
    <w:rsid w:val="0050538D"/>
    <w:rsid w:val="00515974"/>
    <w:rsid w:val="00520EF6"/>
    <w:rsid w:val="00532C59"/>
    <w:rsid w:val="00537EA4"/>
    <w:rsid w:val="0055485D"/>
    <w:rsid w:val="00557074"/>
    <w:rsid w:val="005633F2"/>
    <w:rsid w:val="00564D70"/>
    <w:rsid w:val="005663EF"/>
    <w:rsid w:val="00567ED5"/>
    <w:rsid w:val="00573ECB"/>
    <w:rsid w:val="005832E6"/>
    <w:rsid w:val="0059255D"/>
    <w:rsid w:val="0059289A"/>
    <w:rsid w:val="005A0263"/>
    <w:rsid w:val="005B6909"/>
    <w:rsid w:val="005C4DE6"/>
    <w:rsid w:val="005D240A"/>
    <w:rsid w:val="005E1191"/>
    <w:rsid w:val="005E5992"/>
    <w:rsid w:val="005F3F19"/>
    <w:rsid w:val="005F6F11"/>
    <w:rsid w:val="00601A75"/>
    <w:rsid w:val="00603802"/>
    <w:rsid w:val="006122F1"/>
    <w:rsid w:val="006128F1"/>
    <w:rsid w:val="006265B7"/>
    <w:rsid w:val="00632049"/>
    <w:rsid w:val="0063661F"/>
    <w:rsid w:val="00646FEF"/>
    <w:rsid w:val="00661A67"/>
    <w:rsid w:val="00664820"/>
    <w:rsid w:val="00674628"/>
    <w:rsid w:val="006757A6"/>
    <w:rsid w:val="00675B04"/>
    <w:rsid w:val="00677292"/>
    <w:rsid w:val="00685382"/>
    <w:rsid w:val="006A0B4E"/>
    <w:rsid w:val="006A197E"/>
    <w:rsid w:val="006B3A4E"/>
    <w:rsid w:val="006B403D"/>
    <w:rsid w:val="006C0DAF"/>
    <w:rsid w:val="006D0560"/>
    <w:rsid w:val="006F3CDB"/>
    <w:rsid w:val="006F44C0"/>
    <w:rsid w:val="006F6FF5"/>
    <w:rsid w:val="0070280B"/>
    <w:rsid w:val="007032D8"/>
    <w:rsid w:val="00706CB9"/>
    <w:rsid w:val="00710994"/>
    <w:rsid w:val="00730DB3"/>
    <w:rsid w:val="0073754B"/>
    <w:rsid w:val="00742F6A"/>
    <w:rsid w:val="00765A63"/>
    <w:rsid w:val="0077180A"/>
    <w:rsid w:val="00775F6E"/>
    <w:rsid w:val="00777A7B"/>
    <w:rsid w:val="00781E72"/>
    <w:rsid w:val="007833EB"/>
    <w:rsid w:val="007856EF"/>
    <w:rsid w:val="007A0922"/>
    <w:rsid w:val="007A453E"/>
    <w:rsid w:val="007B3E0D"/>
    <w:rsid w:val="007B5A65"/>
    <w:rsid w:val="007B6552"/>
    <w:rsid w:val="007D7C96"/>
    <w:rsid w:val="007E4A1B"/>
    <w:rsid w:val="007F38A8"/>
    <w:rsid w:val="008003C3"/>
    <w:rsid w:val="00800CD0"/>
    <w:rsid w:val="00813334"/>
    <w:rsid w:val="0081367F"/>
    <w:rsid w:val="008458C8"/>
    <w:rsid w:val="00865117"/>
    <w:rsid w:val="0087212C"/>
    <w:rsid w:val="00875386"/>
    <w:rsid w:val="008753A2"/>
    <w:rsid w:val="00885FA3"/>
    <w:rsid w:val="00886114"/>
    <w:rsid w:val="00891778"/>
    <w:rsid w:val="008A0757"/>
    <w:rsid w:val="008A4C86"/>
    <w:rsid w:val="008B28B2"/>
    <w:rsid w:val="008B299E"/>
    <w:rsid w:val="008B2D92"/>
    <w:rsid w:val="008B371C"/>
    <w:rsid w:val="008B3965"/>
    <w:rsid w:val="008B4EDB"/>
    <w:rsid w:val="008C7DED"/>
    <w:rsid w:val="008D04BA"/>
    <w:rsid w:val="008E0E2E"/>
    <w:rsid w:val="008E4E4E"/>
    <w:rsid w:val="008E6484"/>
    <w:rsid w:val="008F4B4D"/>
    <w:rsid w:val="008F6C32"/>
    <w:rsid w:val="008F6EBF"/>
    <w:rsid w:val="009034EA"/>
    <w:rsid w:val="00906AEF"/>
    <w:rsid w:val="009074E5"/>
    <w:rsid w:val="00912C20"/>
    <w:rsid w:val="0091609D"/>
    <w:rsid w:val="00933FBD"/>
    <w:rsid w:val="009457E6"/>
    <w:rsid w:val="00952448"/>
    <w:rsid w:val="009550C8"/>
    <w:rsid w:val="0096556A"/>
    <w:rsid w:val="00973589"/>
    <w:rsid w:val="009838BD"/>
    <w:rsid w:val="0099064A"/>
    <w:rsid w:val="00992539"/>
    <w:rsid w:val="00994923"/>
    <w:rsid w:val="00995161"/>
    <w:rsid w:val="009A004A"/>
    <w:rsid w:val="009C097E"/>
    <w:rsid w:val="009C7AA0"/>
    <w:rsid w:val="009D4D91"/>
    <w:rsid w:val="009D577C"/>
    <w:rsid w:val="009E1B9B"/>
    <w:rsid w:val="009E4D2F"/>
    <w:rsid w:val="009F7233"/>
    <w:rsid w:val="00A0140B"/>
    <w:rsid w:val="00A023F5"/>
    <w:rsid w:val="00A05363"/>
    <w:rsid w:val="00A12533"/>
    <w:rsid w:val="00A12EE0"/>
    <w:rsid w:val="00A22CC5"/>
    <w:rsid w:val="00A35E87"/>
    <w:rsid w:val="00A362F4"/>
    <w:rsid w:val="00A413BC"/>
    <w:rsid w:val="00A44054"/>
    <w:rsid w:val="00A52EA9"/>
    <w:rsid w:val="00A5336D"/>
    <w:rsid w:val="00A61B5E"/>
    <w:rsid w:val="00A65478"/>
    <w:rsid w:val="00A71474"/>
    <w:rsid w:val="00A85954"/>
    <w:rsid w:val="00A93644"/>
    <w:rsid w:val="00AA3377"/>
    <w:rsid w:val="00AA59C8"/>
    <w:rsid w:val="00AA5D63"/>
    <w:rsid w:val="00AB0749"/>
    <w:rsid w:val="00AC4A11"/>
    <w:rsid w:val="00AC74C5"/>
    <w:rsid w:val="00AD1AC2"/>
    <w:rsid w:val="00AD1C12"/>
    <w:rsid w:val="00AD66FC"/>
    <w:rsid w:val="00AE10F5"/>
    <w:rsid w:val="00AE3731"/>
    <w:rsid w:val="00B07EB9"/>
    <w:rsid w:val="00B11516"/>
    <w:rsid w:val="00B1516A"/>
    <w:rsid w:val="00B215B2"/>
    <w:rsid w:val="00B2473C"/>
    <w:rsid w:val="00B24EC4"/>
    <w:rsid w:val="00B30C2E"/>
    <w:rsid w:val="00B32329"/>
    <w:rsid w:val="00B40634"/>
    <w:rsid w:val="00B4126D"/>
    <w:rsid w:val="00B4229C"/>
    <w:rsid w:val="00B4349F"/>
    <w:rsid w:val="00B44491"/>
    <w:rsid w:val="00B534CC"/>
    <w:rsid w:val="00B53BBE"/>
    <w:rsid w:val="00B54C85"/>
    <w:rsid w:val="00B6407B"/>
    <w:rsid w:val="00B6453E"/>
    <w:rsid w:val="00B66523"/>
    <w:rsid w:val="00B75FB1"/>
    <w:rsid w:val="00B770CE"/>
    <w:rsid w:val="00B777FC"/>
    <w:rsid w:val="00B920BF"/>
    <w:rsid w:val="00B93131"/>
    <w:rsid w:val="00B96FD7"/>
    <w:rsid w:val="00BA193A"/>
    <w:rsid w:val="00BA3BB4"/>
    <w:rsid w:val="00BA4E0E"/>
    <w:rsid w:val="00BA5293"/>
    <w:rsid w:val="00BC2A1A"/>
    <w:rsid w:val="00BC7AA1"/>
    <w:rsid w:val="00BD2AFE"/>
    <w:rsid w:val="00BD4875"/>
    <w:rsid w:val="00BF11FE"/>
    <w:rsid w:val="00BF1FD0"/>
    <w:rsid w:val="00BF3987"/>
    <w:rsid w:val="00BF7093"/>
    <w:rsid w:val="00C0206B"/>
    <w:rsid w:val="00C110A6"/>
    <w:rsid w:val="00C20BB1"/>
    <w:rsid w:val="00C3111F"/>
    <w:rsid w:val="00C3699C"/>
    <w:rsid w:val="00C40F3F"/>
    <w:rsid w:val="00C412C0"/>
    <w:rsid w:val="00C42C5A"/>
    <w:rsid w:val="00C5060D"/>
    <w:rsid w:val="00C51E62"/>
    <w:rsid w:val="00C6420A"/>
    <w:rsid w:val="00C71468"/>
    <w:rsid w:val="00C85688"/>
    <w:rsid w:val="00C90F6B"/>
    <w:rsid w:val="00C94863"/>
    <w:rsid w:val="00C95134"/>
    <w:rsid w:val="00C959D5"/>
    <w:rsid w:val="00CB7E29"/>
    <w:rsid w:val="00CC24F1"/>
    <w:rsid w:val="00CC59FF"/>
    <w:rsid w:val="00CC6C5E"/>
    <w:rsid w:val="00CD1845"/>
    <w:rsid w:val="00CE5BD4"/>
    <w:rsid w:val="00CF5A7D"/>
    <w:rsid w:val="00CF5F6E"/>
    <w:rsid w:val="00CF7286"/>
    <w:rsid w:val="00D30D00"/>
    <w:rsid w:val="00D414E9"/>
    <w:rsid w:val="00D46347"/>
    <w:rsid w:val="00D60656"/>
    <w:rsid w:val="00D6176D"/>
    <w:rsid w:val="00D62FEE"/>
    <w:rsid w:val="00D674EC"/>
    <w:rsid w:val="00D712B3"/>
    <w:rsid w:val="00D71BAB"/>
    <w:rsid w:val="00D71F62"/>
    <w:rsid w:val="00D8434A"/>
    <w:rsid w:val="00D84AB5"/>
    <w:rsid w:val="00D90F48"/>
    <w:rsid w:val="00DB3705"/>
    <w:rsid w:val="00DB7F14"/>
    <w:rsid w:val="00DC1157"/>
    <w:rsid w:val="00DC1BAC"/>
    <w:rsid w:val="00DC4708"/>
    <w:rsid w:val="00DC5A99"/>
    <w:rsid w:val="00DD2A55"/>
    <w:rsid w:val="00DE317C"/>
    <w:rsid w:val="00DF07E5"/>
    <w:rsid w:val="00DF1A93"/>
    <w:rsid w:val="00E1141C"/>
    <w:rsid w:val="00E12D6B"/>
    <w:rsid w:val="00E34859"/>
    <w:rsid w:val="00E462C1"/>
    <w:rsid w:val="00E54488"/>
    <w:rsid w:val="00E558DC"/>
    <w:rsid w:val="00E60D4D"/>
    <w:rsid w:val="00E67320"/>
    <w:rsid w:val="00E83D26"/>
    <w:rsid w:val="00E87E10"/>
    <w:rsid w:val="00EA3FAB"/>
    <w:rsid w:val="00EB2036"/>
    <w:rsid w:val="00EB20DD"/>
    <w:rsid w:val="00EB2B7F"/>
    <w:rsid w:val="00EB5B59"/>
    <w:rsid w:val="00EB73FC"/>
    <w:rsid w:val="00ED1875"/>
    <w:rsid w:val="00EF6533"/>
    <w:rsid w:val="00F142BC"/>
    <w:rsid w:val="00F14F74"/>
    <w:rsid w:val="00F239B3"/>
    <w:rsid w:val="00F30DD3"/>
    <w:rsid w:val="00F3186A"/>
    <w:rsid w:val="00F32197"/>
    <w:rsid w:val="00F45326"/>
    <w:rsid w:val="00F51552"/>
    <w:rsid w:val="00F5196B"/>
    <w:rsid w:val="00F53BE3"/>
    <w:rsid w:val="00F6205C"/>
    <w:rsid w:val="00F67F9D"/>
    <w:rsid w:val="00F814FE"/>
    <w:rsid w:val="00F821F3"/>
    <w:rsid w:val="00FA1233"/>
    <w:rsid w:val="00FB556F"/>
    <w:rsid w:val="00FD399B"/>
    <w:rsid w:val="00FE3A51"/>
    <w:rsid w:val="00FE3D52"/>
    <w:rsid w:val="00FF0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F62D24"/>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8"/>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7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A053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0478D8"/>
    <w:pPr>
      <w:tabs>
        <w:tab w:val="center" w:pos="4252"/>
        <w:tab w:val="right" w:pos="8504"/>
      </w:tabs>
      <w:spacing w:after="0" w:line="240" w:lineRule="auto"/>
    </w:pPr>
  </w:style>
  <w:style w:type="character" w:customStyle="1" w:styleId="EncabezadoCar">
    <w:name w:val="Encabezado Car"/>
    <w:aliases w:val="Car Car"/>
    <w:basedOn w:val="Fuentedeprrafopredeter"/>
    <w:link w:val="Encabezado"/>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iPriority w:val="99"/>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tulo4Car">
    <w:name w:val="Título 4 Car"/>
    <w:basedOn w:val="Fuentedeprrafopredeter"/>
    <w:link w:val="Ttulo4"/>
    <w:uiPriority w:val="9"/>
    <w:semiHidden/>
    <w:rsid w:val="00A05363"/>
    <w:rPr>
      <w:rFonts w:asciiTheme="majorHAnsi" w:eastAsiaTheme="majorEastAsia" w:hAnsiTheme="majorHAnsi" w:cstheme="majorBidi"/>
      <w:i/>
      <w:iCs/>
      <w:color w:val="365F91" w:themeColor="accent1" w:themeShade="BF"/>
      <w:lang w:val="es-ES"/>
    </w:rPr>
  </w:style>
  <w:style w:type="paragraph" w:customStyle="1" w:styleId="timeline-inverted">
    <w:name w:val="timeline-inverted"/>
    <w:basedOn w:val="Normal"/>
    <w:uiPriority w:val="99"/>
    <w:rsid w:val="00A05363"/>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3D10CE"/>
    <w:rPr>
      <w:color w:val="605E5C"/>
      <w:shd w:val="clear" w:color="auto" w:fill="E1DFDD"/>
    </w:rPr>
  </w:style>
  <w:style w:type="paragraph" w:styleId="Textonotapie">
    <w:name w:val="footnote text"/>
    <w:basedOn w:val="Normal"/>
    <w:link w:val="TextonotapieCar"/>
    <w:uiPriority w:val="99"/>
    <w:semiHidden/>
    <w:unhideWhenUsed/>
    <w:rsid w:val="001430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3014"/>
    <w:rPr>
      <w:sz w:val="20"/>
      <w:szCs w:val="20"/>
      <w:lang w:val="es-ES"/>
    </w:rPr>
  </w:style>
  <w:style w:type="character" w:styleId="Refdenotaalpie">
    <w:name w:val="footnote reference"/>
    <w:basedOn w:val="Fuentedeprrafopredeter"/>
    <w:uiPriority w:val="99"/>
    <w:semiHidden/>
    <w:unhideWhenUsed/>
    <w:rsid w:val="00143014"/>
    <w:rPr>
      <w:vertAlign w:val="superscript"/>
    </w:rPr>
  </w:style>
  <w:style w:type="paragraph" w:customStyle="1" w:styleId="referencia">
    <w:name w:val="referencia"/>
    <w:basedOn w:val="Normal"/>
    <w:rsid w:val="0014301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entrado">
    <w:name w:val="centrado"/>
    <w:basedOn w:val="Normal"/>
    <w:rsid w:val="006757A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6757A6"/>
  </w:style>
  <w:style w:type="paragraph" w:styleId="Prrafodelista">
    <w:name w:val="List Paragraph"/>
    <w:basedOn w:val="Normal"/>
    <w:uiPriority w:val="34"/>
    <w:qFormat/>
    <w:rsid w:val="00374CDE"/>
    <w:pPr>
      <w:ind w:left="720"/>
      <w:contextualSpacing/>
    </w:pPr>
  </w:style>
  <w:style w:type="character" w:styleId="Textoennegrita">
    <w:name w:val="Strong"/>
    <w:basedOn w:val="Fuentedeprrafopredeter"/>
    <w:uiPriority w:val="22"/>
    <w:qFormat/>
    <w:rsid w:val="00D674EC"/>
    <w:rPr>
      <w:b/>
      <w:bCs/>
    </w:rPr>
  </w:style>
  <w:style w:type="character" w:styleId="nfasis">
    <w:name w:val="Emphasis"/>
    <w:basedOn w:val="Fuentedeprrafopredeter"/>
    <w:uiPriority w:val="20"/>
    <w:qFormat/>
    <w:rsid w:val="00D674EC"/>
    <w:rPr>
      <w:i/>
      <w:iCs/>
    </w:rPr>
  </w:style>
  <w:style w:type="character" w:customStyle="1" w:styleId="Ttulo2Car">
    <w:name w:val="Título 2 Car"/>
    <w:basedOn w:val="Fuentedeprrafopredeter"/>
    <w:link w:val="Ttulo2"/>
    <w:uiPriority w:val="9"/>
    <w:rsid w:val="00D674EC"/>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65684">
      <w:bodyDiv w:val="1"/>
      <w:marLeft w:val="0"/>
      <w:marRight w:val="0"/>
      <w:marTop w:val="0"/>
      <w:marBottom w:val="0"/>
      <w:divBdr>
        <w:top w:val="none" w:sz="0" w:space="0" w:color="auto"/>
        <w:left w:val="none" w:sz="0" w:space="0" w:color="auto"/>
        <w:bottom w:val="none" w:sz="0" w:space="0" w:color="auto"/>
        <w:right w:val="none" w:sz="0" w:space="0" w:color="auto"/>
      </w:divBdr>
    </w:div>
    <w:div w:id="394855669">
      <w:bodyDiv w:val="1"/>
      <w:marLeft w:val="0"/>
      <w:marRight w:val="0"/>
      <w:marTop w:val="0"/>
      <w:marBottom w:val="0"/>
      <w:divBdr>
        <w:top w:val="none" w:sz="0" w:space="0" w:color="auto"/>
        <w:left w:val="none" w:sz="0" w:space="0" w:color="auto"/>
        <w:bottom w:val="none" w:sz="0" w:space="0" w:color="auto"/>
        <w:right w:val="none" w:sz="0" w:space="0" w:color="auto"/>
      </w:divBdr>
    </w:div>
    <w:div w:id="621234354">
      <w:bodyDiv w:val="1"/>
      <w:marLeft w:val="0"/>
      <w:marRight w:val="0"/>
      <w:marTop w:val="0"/>
      <w:marBottom w:val="0"/>
      <w:divBdr>
        <w:top w:val="none" w:sz="0" w:space="0" w:color="auto"/>
        <w:left w:val="none" w:sz="0" w:space="0" w:color="auto"/>
        <w:bottom w:val="none" w:sz="0" w:space="0" w:color="auto"/>
        <w:right w:val="none" w:sz="0" w:space="0" w:color="auto"/>
      </w:divBdr>
    </w:div>
    <w:div w:id="630210669">
      <w:bodyDiv w:val="1"/>
      <w:marLeft w:val="0"/>
      <w:marRight w:val="0"/>
      <w:marTop w:val="0"/>
      <w:marBottom w:val="0"/>
      <w:divBdr>
        <w:top w:val="none" w:sz="0" w:space="0" w:color="auto"/>
        <w:left w:val="none" w:sz="0" w:space="0" w:color="auto"/>
        <w:bottom w:val="none" w:sz="0" w:space="0" w:color="auto"/>
        <w:right w:val="none" w:sz="0" w:space="0" w:color="auto"/>
      </w:divBdr>
    </w:div>
    <w:div w:id="995376541">
      <w:bodyDiv w:val="1"/>
      <w:marLeft w:val="0"/>
      <w:marRight w:val="0"/>
      <w:marTop w:val="0"/>
      <w:marBottom w:val="0"/>
      <w:divBdr>
        <w:top w:val="none" w:sz="0" w:space="0" w:color="auto"/>
        <w:left w:val="none" w:sz="0" w:space="0" w:color="auto"/>
        <w:bottom w:val="none" w:sz="0" w:space="0" w:color="auto"/>
        <w:right w:val="none" w:sz="0" w:space="0" w:color="auto"/>
      </w:divBdr>
    </w:div>
    <w:div w:id="1216308833">
      <w:bodyDiv w:val="1"/>
      <w:marLeft w:val="0"/>
      <w:marRight w:val="0"/>
      <w:marTop w:val="0"/>
      <w:marBottom w:val="0"/>
      <w:divBdr>
        <w:top w:val="none" w:sz="0" w:space="0" w:color="auto"/>
        <w:left w:val="none" w:sz="0" w:space="0" w:color="auto"/>
        <w:bottom w:val="none" w:sz="0" w:space="0" w:color="auto"/>
        <w:right w:val="none" w:sz="0" w:space="0" w:color="auto"/>
      </w:divBdr>
    </w:div>
    <w:div w:id="1365054116">
      <w:bodyDiv w:val="1"/>
      <w:marLeft w:val="0"/>
      <w:marRight w:val="0"/>
      <w:marTop w:val="0"/>
      <w:marBottom w:val="0"/>
      <w:divBdr>
        <w:top w:val="none" w:sz="0" w:space="0" w:color="auto"/>
        <w:left w:val="none" w:sz="0" w:space="0" w:color="auto"/>
        <w:bottom w:val="none" w:sz="0" w:space="0" w:color="auto"/>
        <w:right w:val="none" w:sz="0" w:space="0" w:color="auto"/>
      </w:divBdr>
    </w:div>
    <w:div w:id="1539859433">
      <w:bodyDiv w:val="1"/>
      <w:marLeft w:val="0"/>
      <w:marRight w:val="0"/>
      <w:marTop w:val="0"/>
      <w:marBottom w:val="0"/>
      <w:divBdr>
        <w:top w:val="none" w:sz="0" w:space="0" w:color="auto"/>
        <w:left w:val="none" w:sz="0" w:space="0" w:color="auto"/>
        <w:bottom w:val="none" w:sz="0" w:space="0" w:color="auto"/>
        <w:right w:val="none" w:sz="0" w:space="0" w:color="auto"/>
      </w:divBdr>
    </w:div>
    <w:div w:id="1839806085">
      <w:bodyDiv w:val="1"/>
      <w:marLeft w:val="0"/>
      <w:marRight w:val="0"/>
      <w:marTop w:val="0"/>
      <w:marBottom w:val="0"/>
      <w:divBdr>
        <w:top w:val="none" w:sz="0" w:space="0" w:color="auto"/>
        <w:left w:val="none" w:sz="0" w:space="0" w:color="auto"/>
        <w:bottom w:val="none" w:sz="0" w:space="0" w:color="auto"/>
        <w:right w:val="none" w:sz="0" w:space="0" w:color="auto"/>
      </w:divBdr>
    </w:div>
    <w:div w:id="19792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80_20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551_201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821A-C295-4DD6-B0B1-F3B917E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Rutder Enrique Cantillo Chiquillo</cp:lastModifiedBy>
  <cp:revision>3</cp:revision>
  <cp:lastPrinted>2020-01-28T21:57:00Z</cp:lastPrinted>
  <dcterms:created xsi:type="dcterms:W3CDTF">2024-10-18T17:27:00Z</dcterms:created>
  <dcterms:modified xsi:type="dcterms:W3CDTF">2024-10-18T17:30:00Z</dcterms:modified>
</cp:coreProperties>
</file>