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13" w:rsidRDefault="00C57013" w:rsidP="00171EE2">
      <w:pPr>
        <w:jc w:val="both"/>
      </w:pPr>
    </w:p>
    <w:p w:rsidR="00C57013" w:rsidRDefault="00C57013" w:rsidP="00171EE2">
      <w:pPr>
        <w:jc w:val="both"/>
      </w:pPr>
    </w:p>
    <w:p w:rsidR="00C57013" w:rsidRDefault="00C57013" w:rsidP="00DD0B8B">
      <w:pPr>
        <w:spacing w:after="0"/>
        <w:jc w:val="both"/>
      </w:pPr>
      <w:r>
        <w:t>Doctora</w:t>
      </w:r>
    </w:p>
    <w:p w:rsidR="00C57013" w:rsidRPr="00DD0B8B" w:rsidRDefault="00302010" w:rsidP="00DD0B8B">
      <w:pPr>
        <w:spacing w:after="0"/>
        <w:jc w:val="both"/>
        <w:rPr>
          <w:b/>
        </w:rPr>
      </w:pPr>
      <w:r w:rsidRPr="00DD0B8B">
        <w:rPr>
          <w:b/>
        </w:rPr>
        <w:t>HEIDI MILENA CHAVEZ MARTINEZ</w:t>
      </w:r>
    </w:p>
    <w:p w:rsidR="00302010" w:rsidRDefault="00DD0B8B" w:rsidP="00DD0B8B">
      <w:pPr>
        <w:spacing w:after="0"/>
        <w:jc w:val="both"/>
      </w:pPr>
      <w:r>
        <w:t>Contraloría delegada para la responsabilidad fiscal</w:t>
      </w:r>
    </w:p>
    <w:p w:rsidR="00302010" w:rsidRDefault="00DD0B8B" w:rsidP="00DD0B8B">
      <w:pPr>
        <w:spacing w:after="0"/>
        <w:jc w:val="both"/>
      </w:pPr>
      <w:r>
        <w:t>Contraloría general de la república</w:t>
      </w:r>
    </w:p>
    <w:p w:rsidR="006C6ACD" w:rsidRDefault="006C6ACD" w:rsidP="00DD0B8B">
      <w:pPr>
        <w:spacing w:after="0"/>
        <w:jc w:val="both"/>
      </w:pPr>
    </w:p>
    <w:p w:rsidR="006C6ACD" w:rsidRDefault="006C6ACD" w:rsidP="00DD0B8B">
      <w:pPr>
        <w:spacing w:after="0"/>
        <w:jc w:val="both"/>
      </w:pPr>
    </w:p>
    <w:p w:rsidR="006C6ACD" w:rsidRPr="00974FB3" w:rsidRDefault="00974FB3" w:rsidP="00DD0B8B">
      <w:pPr>
        <w:spacing w:after="0"/>
        <w:jc w:val="both"/>
        <w:rPr>
          <w:b/>
        </w:rPr>
      </w:pPr>
      <w:r w:rsidRPr="00974FB3">
        <w:rPr>
          <w:b/>
        </w:rPr>
        <w:t>ASUNTO: DILIGENCIA DE VERSIÓN LIBRE PRF 88112-2017-30360</w:t>
      </w:r>
    </w:p>
    <w:p w:rsidR="00974FB3" w:rsidRDefault="00974FB3" w:rsidP="00DD0B8B">
      <w:pPr>
        <w:spacing w:after="0"/>
        <w:jc w:val="both"/>
      </w:pPr>
    </w:p>
    <w:p w:rsidR="00974FB3" w:rsidRDefault="00974FB3" w:rsidP="00DD0B8B">
      <w:pPr>
        <w:spacing w:after="0"/>
        <w:jc w:val="both"/>
      </w:pPr>
    </w:p>
    <w:p w:rsidR="00974FB3" w:rsidRDefault="00974FB3" w:rsidP="00DD0B8B">
      <w:pPr>
        <w:spacing w:after="0"/>
        <w:jc w:val="both"/>
      </w:pPr>
      <w:r>
        <w:t>Respetada Doctora;</w:t>
      </w:r>
    </w:p>
    <w:p w:rsidR="00C57013" w:rsidRDefault="00C57013" w:rsidP="00171EE2">
      <w:pPr>
        <w:jc w:val="both"/>
      </w:pPr>
    </w:p>
    <w:p w:rsidR="00AF5AAB" w:rsidRPr="000773C6" w:rsidRDefault="001277F2" w:rsidP="00171EE2">
      <w:pPr>
        <w:jc w:val="both"/>
      </w:pPr>
      <w:r>
        <w:t xml:space="preserve">Sea lo primero </w:t>
      </w:r>
      <w:r w:rsidR="00974FB3">
        <w:t>anotar que</w:t>
      </w:r>
      <w:r w:rsidR="00687576">
        <w:t>,</w:t>
      </w:r>
      <w:r>
        <w:t xml:space="preserve"> </w:t>
      </w:r>
      <w:r w:rsidR="008C1F6B">
        <w:t>a esta instancia</w:t>
      </w:r>
      <w:r w:rsidR="00EF3DBF">
        <w:t xml:space="preserve"> </w:t>
      </w:r>
      <w:r w:rsidR="00AF5AAB">
        <w:rPr>
          <w:rFonts w:ascii="Calibri" w:hAnsi="Calibri" w:cs="Calibri"/>
          <w:color w:val="000000"/>
          <w:shd w:val="clear" w:color="auto" w:fill="FFFFFF"/>
        </w:rPr>
        <w:t>por medio de la presente</w:t>
      </w:r>
      <w:r w:rsidR="00F8553A">
        <w:rPr>
          <w:rFonts w:ascii="Calibri" w:hAnsi="Calibri" w:cs="Calibri"/>
          <w:color w:val="000000"/>
          <w:shd w:val="clear" w:color="auto" w:fill="FFFFFF"/>
        </w:rPr>
        <w:t>,</w:t>
      </w:r>
      <w:r w:rsidR="00AF5AAB">
        <w:rPr>
          <w:rFonts w:ascii="Calibri" w:hAnsi="Calibri" w:cs="Calibri"/>
          <w:color w:val="000000"/>
          <w:shd w:val="clear" w:color="auto" w:fill="FFFFFF"/>
        </w:rPr>
        <w:t xml:space="preserve"> respetuosamente me permito solicitar se decrete la CADUCIDAD DE LA ACCIÓN FISCAL de conformidad con lo establecido en el artículo 9 de la ley 610 de 2000 que a la letra dice:  </w:t>
      </w:r>
      <w:r w:rsidR="00AF5AAB">
        <w:rPr>
          <w:rStyle w:val="xxcontentpasted0"/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Artículo 9°. </w:t>
      </w:r>
      <w:r w:rsidR="00AF5AAB">
        <w:rPr>
          <w:rFonts w:ascii="Calibri" w:hAnsi="Calibri" w:cs="Calibri"/>
          <w:color w:val="040C28"/>
          <w:bdr w:val="none" w:sz="0" w:space="0" w:color="auto" w:frame="1"/>
          <w:shd w:val="clear" w:color="auto" w:fill="FFFFFF"/>
        </w:rPr>
        <w:t>Caducidad</w:t>
      </w:r>
      <w:r w:rsidR="00AF5AAB">
        <w:rPr>
          <w:rStyle w:val="xxcontentpasted0"/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 y prescripción. La </w:t>
      </w:r>
      <w:r w:rsidR="00AF5AAB">
        <w:rPr>
          <w:rFonts w:ascii="Calibri" w:hAnsi="Calibri" w:cs="Calibri"/>
          <w:color w:val="040C28"/>
          <w:bdr w:val="none" w:sz="0" w:space="0" w:color="auto" w:frame="1"/>
          <w:shd w:val="clear" w:color="auto" w:fill="FFFFFF"/>
        </w:rPr>
        <w:t>acción fiscal</w:t>
      </w:r>
      <w:r w:rsidR="00AF5AAB">
        <w:rPr>
          <w:rStyle w:val="xxcontentpasted0"/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 caducará si transcurridos cinco (5) años desde la ocurrencia del hecho generador del daño al patrimonio público, no se ha proferido auto de apertura del proceso de responsabilidad </w:t>
      </w:r>
      <w:r w:rsidR="00AF5AAB">
        <w:rPr>
          <w:rFonts w:ascii="Calibri" w:hAnsi="Calibri" w:cs="Calibri"/>
          <w:color w:val="040C28"/>
          <w:bdr w:val="none" w:sz="0" w:space="0" w:color="auto" w:frame="1"/>
          <w:shd w:val="clear" w:color="auto" w:fill="FFFFFF"/>
        </w:rPr>
        <w:t>fiscal. </w:t>
      </w:r>
      <w:proofErr w:type="gramStart"/>
      <w:r w:rsidR="00F8553A">
        <w:rPr>
          <w:rFonts w:ascii="Calibri" w:hAnsi="Calibri" w:cs="Calibri"/>
          <w:color w:val="040C28"/>
          <w:bdr w:val="none" w:sz="0" w:space="0" w:color="auto" w:frame="1"/>
          <w:shd w:val="clear" w:color="auto" w:fill="FFFFFF"/>
        </w:rPr>
        <w:t>(</w:t>
      </w:r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  Y</w:t>
      </w:r>
      <w:proofErr w:type="gramEnd"/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 de conformidad con la sentencia C-090 de 2022 que declaró su reviviscencia</w:t>
      </w:r>
      <w:r w:rsidR="00F8553A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)</w:t>
      </w:r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. </w:t>
      </w:r>
      <w:r w:rsidR="00F8553A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Efectiva</w:t>
      </w:r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mente no pertenezco al Senado de la Republica ni me desempeño</w:t>
      </w:r>
      <w:r w:rsidR="00D36DF0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 en la actualidad</w:t>
      </w:r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 como funcionario del mismo, ni fui ordenador del gasto, desde el 2 </w:t>
      </w:r>
      <w:proofErr w:type="gramStart"/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>Septiembre</w:t>
      </w:r>
      <w:proofErr w:type="gramEnd"/>
      <w:r w:rsidR="00AF5AAB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 del año 2014.</w:t>
      </w:r>
      <w:r w:rsidR="00D44B11">
        <w:rPr>
          <w:rFonts w:ascii="Calibri" w:hAnsi="Calibri" w:cs="Calibri"/>
          <w:color w:val="202124"/>
          <w:bdr w:val="none" w:sz="0" w:space="0" w:color="auto" w:frame="1"/>
          <w:shd w:val="clear" w:color="auto" w:fill="FFFFFF"/>
        </w:rPr>
        <w:t xml:space="preserve"> Los hechos presuntamente irregulares se presentaron </w:t>
      </w:r>
      <w:r w:rsidR="00D44B11">
        <w:t>en el periodo comprendido entre el mes junio de 2010 a mayo de 2015,</w:t>
      </w:r>
      <w:r w:rsidR="007F19DA">
        <w:t xml:space="preserve"> y la norma es clara en advertir que</w:t>
      </w:r>
      <w:r w:rsidR="00B56467">
        <w:t xml:space="preserve"> la caducidad</w:t>
      </w:r>
      <w:r w:rsidR="00306563">
        <w:t xml:space="preserve"> es </w:t>
      </w:r>
      <w:r w:rsidR="00306563" w:rsidRPr="00306563">
        <w:rPr>
          <w:u w:val="single"/>
        </w:rPr>
        <w:t>desde la ocurrencia del hecho generador del daño al patrimonio público</w:t>
      </w:r>
      <w:r w:rsidR="000773C6">
        <w:rPr>
          <w:u w:val="single"/>
        </w:rPr>
        <w:t xml:space="preserve">. </w:t>
      </w:r>
      <w:r w:rsidR="000773C6">
        <w:t xml:space="preserve"> Mal se </w:t>
      </w:r>
      <w:r w:rsidR="000128D5">
        <w:t>haría en</w:t>
      </w:r>
      <w:r w:rsidR="000773C6">
        <w:t xml:space="preserve"> querer dar una interpretación que </w:t>
      </w:r>
      <w:r w:rsidR="00C1022D">
        <w:t xml:space="preserve">en realidad la norma no tiene, al decir; </w:t>
      </w:r>
      <w:r w:rsidR="00594640">
        <w:t>que el termino para que se configure el fenómeno jurídico de la caducidad</w:t>
      </w:r>
      <w:r w:rsidR="000128D5">
        <w:t>,</w:t>
      </w:r>
      <w:r w:rsidR="00594640">
        <w:t xml:space="preserve"> es desde </w:t>
      </w:r>
      <w:r w:rsidR="000128D5">
        <w:t>el momento</w:t>
      </w:r>
      <w:r w:rsidR="00747CFE">
        <w:t xml:space="preserve"> o la fecha en que se materializó el daño</w:t>
      </w:r>
      <w:r w:rsidR="000128D5">
        <w:t>.</w:t>
      </w:r>
      <w:r w:rsidR="00955FF6">
        <w:t xml:space="preserve"> La norma es clarísima, es desde la ocurrencia del HECHO GENERADOR</w:t>
      </w:r>
      <w:r w:rsidR="00080569">
        <w:t xml:space="preserve"> </w:t>
      </w:r>
      <w:r w:rsidR="003D2BA2">
        <w:t>(2010-2015)</w:t>
      </w:r>
      <w:r w:rsidR="00955FF6">
        <w:t>, mas no, desde la materialización del daño.</w:t>
      </w:r>
      <w:r w:rsidR="00AB37AE">
        <w:t xml:space="preserve"> En consecuencia, </w:t>
      </w:r>
      <w:r w:rsidR="00A975EF">
        <w:t>la acción fiscal no está vigente</w:t>
      </w:r>
      <w:r w:rsidR="003D2BA2">
        <w:t xml:space="preserve"> pues</w:t>
      </w:r>
      <w:r w:rsidR="00A975EF">
        <w:t xml:space="preserve"> ya se cumplió el termino para la caducidad de la acción.</w:t>
      </w:r>
    </w:p>
    <w:p w:rsidR="001277F2" w:rsidRDefault="001277F2" w:rsidP="005441D9">
      <w:pPr>
        <w:jc w:val="both"/>
      </w:pPr>
    </w:p>
    <w:p w:rsidR="0015042D" w:rsidRDefault="0096303E" w:rsidP="005441D9">
      <w:pPr>
        <w:jc w:val="both"/>
      </w:pPr>
      <w:r>
        <w:t xml:space="preserve">De otra </w:t>
      </w:r>
      <w:r w:rsidR="003B107B">
        <w:t>parte,</w:t>
      </w:r>
      <w:r>
        <w:t xml:space="preserve"> respecto de los hechos en </w:t>
      </w:r>
      <w:r w:rsidR="0018008C">
        <w:t>sí</w:t>
      </w:r>
      <w:r w:rsidR="00FD3E5D">
        <w:t>, resulta preciso señalar que</w:t>
      </w:r>
      <w:r w:rsidR="00722419">
        <w:t xml:space="preserve"> mi ingreso al Senado data del 3 de agosto de 2012, </w:t>
      </w:r>
      <w:r w:rsidR="0071513B">
        <w:t xml:space="preserve">fecha en la cual </w:t>
      </w:r>
      <w:r w:rsidR="00C21554">
        <w:t xml:space="preserve">existían funcionarios de la sección de Registro y Control encargados de la elaboración de la </w:t>
      </w:r>
      <w:r w:rsidR="003073FD">
        <w:t>nómina. L</w:t>
      </w:r>
      <w:r w:rsidR="00C21554">
        <w:t xml:space="preserve">a mayoría de funcionarios encargados de dicha </w:t>
      </w:r>
      <w:r w:rsidR="003073FD">
        <w:t>función tenían como jefe inmediato a la jefe de registro y control y ya tenían una gran experiencia en la elaboración y liquidación de la nómina</w:t>
      </w:r>
      <w:r w:rsidR="0034183C">
        <w:t xml:space="preserve">. </w:t>
      </w:r>
      <w:r w:rsidR="00516F5C">
        <w:t>En la sección de registro y control</w:t>
      </w:r>
      <w:r w:rsidR="00FA0D6F">
        <w:t>,</w:t>
      </w:r>
      <w:r w:rsidR="00516F5C">
        <w:t xml:space="preserve"> personal idóneo y experimentado eran quienes liquidaban la nómina del Senado y duraban un mes realizando dicho traba</w:t>
      </w:r>
      <w:r w:rsidR="00FA0D6F">
        <w:t>jo.</w:t>
      </w:r>
      <w:r w:rsidR="0004482A">
        <w:t xml:space="preserve"> Esa era la oficina y dependencia encargada de realizar </w:t>
      </w:r>
      <w:r w:rsidR="009733A9">
        <w:t xml:space="preserve">ese trabajo específico y por cierto realmente técnico. </w:t>
      </w:r>
      <w:r w:rsidR="00FA0D6F">
        <w:t xml:space="preserve"> Teniendo en cuenta los anteriores preceptos y que </w:t>
      </w:r>
      <w:r w:rsidR="002A2498">
        <w:t>así</w:t>
      </w:r>
      <w:r w:rsidR="00FA0D6F">
        <w:t xml:space="preserve"> venían realizando la liquidación de la nomina y sin tener advertencia alguna por parte de</w:t>
      </w:r>
      <w:r w:rsidR="002A2498">
        <w:t xml:space="preserve"> la oficina de control interno de la entidad, no había fundamento alguno para desconfiar o si quiera sospechar que se estaban presentando</w:t>
      </w:r>
      <w:r w:rsidR="000B7B84">
        <w:t xml:space="preserve"> unas posibles irregularidades en las liquidaciones por conceptos de prima de servicios </w:t>
      </w:r>
      <w:r w:rsidR="00105EBD">
        <w:t xml:space="preserve">y/u otros conceptos </w:t>
      </w:r>
      <w:r w:rsidR="00B351E0">
        <w:t>de los funcionarios</w:t>
      </w:r>
      <w:r w:rsidR="000B7B84">
        <w:t xml:space="preserve"> retirados en julio de 2014</w:t>
      </w:r>
      <w:r w:rsidR="00B351E0">
        <w:t xml:space="preserve">. </w:t>
      </w:r>
      <w:r w:rsidR="009733A9">
        <w:t xml:space="preserve">Es decir, </w:t>
      </w:r>
      <w:r w:rsidR="00963D3E">
        <w:t>los añ</w:t>
      </w:r>
      <w:r w:rsidR="00E16413">
        <w:t xml:space="preserve">os anteriores </w:t>
      </w:r>
      <w:r w:rsidR="00D155E8">
        <w:t xml:space="preserve">se </w:t>
      </w:r>
      <w:r w:rsidR="00D155E8">
        <w:lastRenderedPageBreak/>
        <w:t>realizaban las liquidaciones de esa manera</w:t>
      </w:r>
      <w:r w:rsidR="00581A2C">
        <w:t xml:space="preserve"> </w:t>
      </w:r>
      <w:r w:rsidR="00C90B9E">
        <w:t>¿por</w:t>
      </w:r>
      <w:r w:rsidR="00212626">
        <w:t xml:space="preserve"> qué</w:t>
      </w:r>
      <w:r w:rsidR="00581A2C">
        <w:t xml:space="preserve"> tendría que sospechar</w:t>
      </w:r>
      <w:r w:rsidR="00212626">
        <w:t xml:space="preserve"> o prejuzgar</w:t>
      </w:r>
      <w:r w:rsidR="00581A2C">
        <w:t xml:space="preserve"> de la mala fe de los </w:t>
      </w:r>
      <w:r w:rsidR="00782114">
        <w:t>servidores</w:t>
      </w:r>
      <w:r w:rsidR="00581A2C">
        <w:t xml:space="preserve"> que realizaban esas funciones?</w:t>
      </w:r>
      <w:r w:rsidR="00212626">
        <w:t xml:space="preserve"> Maxime</w:t>
      </w:r>
      <w:r w:rsidR="00193FA2">
        <w:t>,</w:t>
      </w:r>
      <w:r w:rsidR="00212626">
        <w:t xml:space="preserve"> cuando observamos que mi formación profesional es la de abogado</w:t>
      </w:r>
      <w:r w:rsidR="00301258">
        <w:t xml:space="preserve"> </w:t>
      </w:r>
      <w:r w:rsidR="00244315">
        <w:t xml:space="preserve">versus, la formación profesional que </w:t>
      </w:r>
      <w:r w:rsidR="00B54972">
        <w:t>tenían</w:t>
      </w:r>
      <w:r w:rsidR="00244315">
        <w:t xml:space="preserve"> quienes elaboraban la nomina como por ejemplo la de ingeniero de sistemas e insisto, la gran experiencia de muchos años</w:t>
      </w:r>
      <w:r w:rsidR="00B54972">
        <w:t xml:space="preserve"> de</w:t>
      </w:r>
      <w:r w:rsidR="0019413C">
        <w:t>l</w:t>
      </w:r>
      <w:r w:rsidR="00B54972">
        <w:t xml:space="preserve"> resto de funcionarios que trabajaban en la sección de registro y control.</w:t>
      </w:r>
      <w:r w:rsidR="00F331B7">
        <w:t xml:space="preserve"> </w:t>
      </w:r>
    </w:p>
    <w:p w:rsidR="0015042D" w:rsidRDefault="0015042D"/>
    <w:p w:rsidR="0096303E" w:rsidRDefault="00F331B7" w:rsidP="000D1FB8">
      <w:pPr>
        <w:jc w:val="both"/>
      </w:pPr>
      <w:r>
        <w:t xml:space="preserve">Ahora, no recuerdo cuantos funcionarios se liquidaron para esa </w:t>
      </w:r>
      <w:r w:rsidR="00D01188">
        <w:t>fecha,</w:t>
      </w:r>
      <w:r w:rsidR="001A4EC1">
        <w:t xml:space="preserve"> es decir julio 2014,</w:t>
      </w:r>
      <w:r>
        <w:t xml:space="preserve"> pero si recuerdo que se trataba de cambio legislativo</w:t>
      </w:r>
      <w:r w:rsidR="000507D9">
        <w:t>, lo cual implicaba una carga grande de trabajo</w:t>
      </w:r>
      <w:r w:rsidR="00E86EA1">
        <w:t>. Yo salí del Senado prácticamente al mes siguiente</w:t>
      </w:r>
      <w:r w:rsidR="000E4167">
        <w:t xml:space="preserve"> lo cual impidió que pudiese haber advertido con mayor detenimiento cualquier presunta irregularidad</w:t>
      </w:r>
      <w:r w:rsidR="00836718">
        <w:t xml:space="preserve"> y menos cuando todas esas operaciones</w:t>
      </w:r>
      <w:r w:rsidR="00D12198">
        <w:t xml:space="preserve"> y/o liquidaciones</w:t>
      </w:r>
      <w:r w:rsidR="00836718">
        <w:t xml:space="preserve"> se hacían con </w:t>
      </w:r>
      <w:r w:rsidR="00DB15FC">
        <w:t xml:space="preserve">un </w:t>
      </w:r>
      <w:r w:rsidR="00D12198">
        <w:t>software llamado</w:t>
      </w:r>
      <w:r w:rsidR="00CD0114">
        <w:t xml:space="preserve"> HOMINIS</w:t>
      </w:r>
      <w:r w:rsidR="00D12198">
        <w:t xml:space="preserve">. </w:t>
      </w:r>
      <w:r w:rsidR="002C0BBE">
        <w:t>Ese sistema o programa esta</w:t>
      </w:r>
      <w:r w:rsidR="00BC6F9D">
        <w:t xml:space="preserve">ba </w:t>
      </w:r>
      <w:r w:rsidR="002C0BBE">
        <w:t xml:space="preserve">parametrizado de esa manera desde tiempo </w:t>
      </w:r>
      <w:r w:rsidR="0001113D">
        <w:t xml:space="preserve">atrás, desde antes que yo llegara al cargo. El contrato </w:t>
      </w:r>
      <w:r w:rsidR="005F6910">
        <w:t>para ese sistema</w:t>
      </w:r>
      <w:r w:rsidR="00BC6F9D">
        <w:t xml:space="preserve"> HOMINIS</w:t>
      </w:r>
      <w:r w:rsidR="005F6910">
        <w:t xml:space="preserve"> hasta donde recuerdo lo supervisaba </w:t>
      </w:r>
      <w:r w:rsidR="002963EF">
        <w:t xml:space="preserve">la División de </w:t>
      </w:r>
      <w:r w:rsidR="00BC6F9D">
        <w:t xml:space="preserve">PLANEACIÓN Y SISTEMAS </w:t>
      </w:r>
      <w:r w:rsidR="00E04FDB">
        <w:t>precisamente por ser un tema especifico y muy técnico y desde luego lo hacia con el acompañamiento de la sección de registro y control</w:t>
      </w:r>
      <w:r w:rsidR="003D3E4C">
        <w:t xml:space="preserve"> quienes eran lo que elaboraban la nómina. </w:t>
      </w:r>
      <w:r w:rsidR="006C4CBF">
        <w:t>Hasta donde pude indagar esos conceptos como el de la pri</w:t>
      </w:r>
      <w:r w:rsidR="006E7D43">
        <w:t xml:space="preserve">ma de servicios, no fueron incluidos o tenidos en cuenta en la base de </w:t>
      </w:r>
      <w:r w:rsidR="00A9641D">
        <w:t>liquidación,</w:t>
      </w:r>
      <w:r w:rsidR="006E7D43">
        <w:t xml:space="preserve"> al parecer fue por un jefe de la sección de presupuesto</w:t>
      </w:r>
      <w:r w:rsidR="00ED4788">
        <w:t xml:space="preserve"> de hace varios años </w:t>
      </w:r>
      <w:r w:rsidR="00370431">
        <w:t xml:space="preserve">el cual envió un oficio a la División de Planeación y sistemas </w:t>
      </w:r>
      <w:r w:rsidR="00A9641D">
        <w:t xml:space="preserve">donde enviaba la base de liquidación y dentro de dicha base no estaba ese concepto. En la Sección de registro y control debe existir toda la trazabilidad de ese tema. </w:t>
      </w:r>
      <w:r w:rsidR="0030429A">
        <w:t xml:space="preserve">En su momento al parecer también se </w:t>
      </w:r>
      <w:r w:rsidR="00DC14A8">
        <w:t>le</w:t>
      </w:r>
      <w:r w:rsidR="0030429A">
        <w:t xml:space="preserve"> solicitó información al personal de HOMINIS </w:t>
      </w:r>
      <w:r w:rsidR="00867143">
        <w:t>en cuanto a los cambios y/o reglas de liquidación en el sistema</w:t>
      </w:r>
      <w:r w:rsidR="00A108C3">
        <w:t xml:space="preserve"> y ellos también participaban desde luego en </w:t>
      </w:r>
      <w:r w:rsidR="00DC14A8">
        <w:t>todo ese proceso</w:t>
      </w:r>
      <w:r w:rsidR="00A108C3">
        <w:t xml:space="preserve">. </w:t>
      </w:r>
      <w:r w:rsidR="0087634E">
        <w:t xml:space="preserve">De otra </w:t>
      </w:r>
      <w:r w:rsidR="00713927">
        <w:t>parte,</w:t>
      </w:r>
      <w:r w:rsidR="0087634E">
        <w:t xml:space="preserve"> discutido el tema con la jefe de registro y control</w:t>
      </w:r>
      <w:r w:rsidR="00924DBA">
        <w:t>, manifestaba que la norma establece cuales son los descuentos de parafiscales</w:t>
      </w:r>
      <w:r w:rsidR="002D3000">
        <w:t xml:space="preserve"> y </w:t>
      </w:r>
      <w:proofErr w:type="gramStart"/>
      <w:r w:rsidR="002D3000">
        <w:t>habían</w:t>
      </w:r>
      <w:proofErr w:type="gramEnd"/>
      <w:r w:rsidR="002D3000">
        <w:t xml:space="preserve"> unos descuentos de parafiscales que no se estaban pagando pero porque la ley en su momento así lo decía.</w:t>
      </w:r>
      <w:r w:rsidR="00714777">
        <w:t xml:space="preserve"> Al parecer con el tiempo salió una sentencia la cual no estaba parametrizada en el </w:t>
      </w:r>
      <w:r w:rsidR="00713927">
        <w:t>“SISTEMA” y</w:t>
      </w:r>
      <w:r w:rsidR="00162160">
        <w:t xml:space="preserve"> solo con posterioridad para dar cumplimiento a </w:t>
      </w:r>
      <w:r w:rsidR="001E36D6">
        <w:t xml:space="preserve">esa sentencia se incluyeron esos conceptos en el “SISTEMA”.  Insisto que era un tema </w:t>
      </w:r>
      <w:r w:rsidR="00E23ABA">
        <w:t>muy difícil</w:t>
      </w:r>
      <w:r w:rsidR="00713927">
        <w:t xml:space="preserve"> detectarlo desde la jefatura de recursos </w:t>
      </w:r>
      <w:r w:rsidR="00706E4D">
        <w:t>humanos,</w:t>
      </w:r>
      <w:r w:rsidR="00E23ABA">
        <w:t xml:space="preserve"> cuando los directamente involucrados pertenecían a otras dependencias.</w:t>
      </w:r>
      <w:r w:rsidR="005B61C4">
        <w:t xml:space="preserve"> </w:t>
      </w:r>
      <w:r w:rsidR="005E1658">
        <w:t>También seria bueno analizar el actuar de CAFAM quien si tenia conocimiento de la sentencia desde tiempo atrás y no lo cobró desde un inició</w:t>
      </w:r>
      <w:r w:rsidR="00655995">
        <w:t>,</w:t>
      </w:r>
      <w:r w:rsidR="005E1658">
        <w:t xml:space="preserve"> </w:t>
      </w:r>
      <w:r w:rsidR="00706E4D">
        <w:t>ni informó de su existencia al senado, sino que esta situa</w:t>
      </w:r>
      <w:r w:rsidR="00655995">
        <w:t xml:space="preserve">ción se vino a tener algo de conocimiento, solo hasta el momento en que por iniciativa del mismo Senado se le solicitó </w:t>
      </w:r>
      <w:proofErr w:type="gramStart"/>
      <w:r w:rsidR="00655995">
        <w:t>un paz</w:t>
      </w:r>
      <w:proofErr w:type="gramEnd"/>
      <w:r w:rsidR="00655995">
        <w:t xml:space="preserve"> y salvo</w:t>
      </w:r>
      <w:r w:rsidR="00C149F2">
        <w:t xml:space="preserve"> y a raíz de eso, cre</w:t>
      </w:r>
      <w:r w:rsidR="005638E6">
        <w:t>o</w:t>
      </w:r>
      <w:r w:rsidR="00C149F2">
        <w:t xml:space="preserve"> que se empezó</w:t>
      </w:r>
      <w:r w:rsidR="005638E6">
        <w:t xml:space="preserve"> hacer una revisión</w:t>
      </w:r>
      <w:r w:rsidR="00C149F2">
        <w:t xml:space="preserve"> </w:t>
      </w:r>
      <w:r w:rsidR="00BA1AF8">
        <w:t>5 años atrás</w:t>
      </w:r>
      <w:r w:rsidR="005638E6">
        <w:t xml:space="preserve"> de</w:t>
      </w:r>
      <w:r w:rsidR="00BA1AF8">
        <w:t xml:space="preserve"> la información.  </w:t>
      </w:r>
      <w:r w:rsidR="005638E6">
        <w:t>CAFAM con anterioridad no había advertido que se le estaba pagando mal los parafiscales</w:t>
      </w:r>
      <w:r w:rsidR="00D0647C">
        <w:t xml:space="preserve">, siendo un deber de las cajas de compensación revisar con detenimiento lo que se les está pagando por dicho concepto. En </w:t>
      </w:r>
      <w:proofErr w:type="gramStart"/>
      <w:r w:rsidR="00D0647C">
        <w:t>realidad</w:t>
      </w:r>
      <w:proofErr w:type="gramEnd"/>
      <w:r w:rsidR="00D0647C">
        <w:t xml:space="preserve"> genera suspicacia el hecho que solo hasta cuando el Senado les pidi</w:t>
      </w:r>
      <w:r w:rsidR="004E32A1">
        <w:t xml:space="preserve">ó un Paz y Salvo para explorar otras alternativas con otras cajas de compensación, fue que ellos (CAFAM) ahora </w:t>
      </w:r>
      <w:proofErr w:type="spellStart"/>
      <w:r w:rsidR="004E32A1">
        <w:t>si</w:t>
      </w:r>
      <w:proofErr w:type="spellEnd"/>
      <w:r w:rsidR="004E32A1">
        <w:t>, dijeran que se les estaba</w:t>
      </w:r>
      <w:r w:rsidR="00E54190">
        <w:t>n</w:t>
      </w:r>
      <w:r w:rsidR="004E32A1">
        <w:t xml:space="preserve"> liquidando mal algunos conceptos de los parafiscales.</w:t>
      </w:r>
    </w:p>
    <w:p w:rsidR="009D794C" w:rsidRDefault="009D794C" w:rsidP="000D1FB8">
      <w:pPr>
        <w:jc w:val="both"/>
      </w:pPr>
      <w:r>
        <w:t xml:space="preserve">Como se puede observar en </w:t>
      </w:r>
      <w:r w:rsidR="00F57B09">
        <w:t xml:space="preserve">correo </w:t>
      </w:r>
      <w:r w:rsidR="00E54190">
        <w:t>electrónico de</w:t>
      </w:r>
      <w:r w:rsidR="00D93669">
        <w:t xml:space="preserve"> los directamente involucrados en ese proceso, </w:t>
      </w:r>
      <w:proofErr w:type="gramStart"/>
      <w:r w:rsidR="00F57B09">
        <w:t>que</w:t>
      </w:r>
      <w:proofErr w:type="gramEnd"/>
      <w:r w:rsidR="00F57B09">
        <w:t xml:space="preserve"> </w:t>
      </w:r>
      <w:r w:rsidR="00E54190">
        <w:t>al presente adjunto</w:t>
      </w:r>
      <w:r w:rsidR="00F57B09">
        <w:t xml:space="preserve">, </w:t>
      </w:r>
      <w:r w:rsidR="006C0B78">
        <w:t>la división de planeación y sistemas le informa a la sección de registro y control</w:t>
      </w:r>
      <w:r w:rsidR="00422A11">
        <w:t xml:space="preserve"> que verificado el sistema de nomina HOMINIS se puedo establecer que los conceptos de prima de servicios, indemnización de vacaciones, no generaron pago de parafiscales desde el </w:t>
      </w:r>
      <w:r w:rsidR="00422A11" w:rsidRPr="00422A11">
        <w:rPr>
          <w:b/>
        </w:rPr>
        <w:t>AÑO 2003</w:t>
      </w:r>
      <w:r w:rsidR="00422A11">
        <w:rPr>
          <w:b/>
        </w:rPr>
        <w:t xml:space="preserve">, </w:t>
      </w:r>
      <w:r w:rsidR="00D93669">
        <w:t>fecha en que se modificó por solicitud del área financiera.</w:t>
      </w:r>
    </w:p>
    <w:p w:rsidR="008C5765" w:rsidRDefault="00B80E41" w:rsidP="000D1FB8">
      <w:pPr>
        <w:jc w:val="both"/>
      </w:pPr>
      <w:r>
        <w:lastRenderedPageBreak/>
        <w:t>También</w:t>
      </w:r>
      <w:r w:rsidR="008C5765">
        <w:t xml:space="preserve"> adjunto correo enviado desde la sección de registro y control a</w:t>
      </w:r>
      <w:r>
        <w:t xml:space="preserve">l ingeniero JUAN CARLOS RAMOS de </w:t>
      </w:r>
      <w:r w:rsidR="00F67B73">
        <w:t>l</w:t>
      </w:r>
      <w:r>
        <w:t xml:space="preserve">a división de planeación y sistemas, donde se advierte que existen varios conceptos relacionados con la inclusión o no </w:t>
      </w:r>
      <w:r w:rsidR="00F67B73">
        <w:t xml:space="preserve">de la indemnización por vacaciones cuando se retiran los funcionarios, </w:t>
      </w:r>
      <w:r w:rsidR="00062D6D">
        <w:t xml:space="preserve"> en la base para liquidar los parafiscales y a su vez se indica que se solicitaron directrices a la Dirección administrativa </w:t>
      </w:r>
      <w:r w:rsidR="00EE1B60">
        <w:t>frente a ese caso con el fin que se solicitara a la firma INFOTEC ( ADMINISTRADORES DE HOMINIS) la respectiva actualización del sistema.</w:t>
      </w:r>
    </w:p>
    <w:p w:rsidR="003D07CA" w:rsidRDefault="00492D42" w:rsidP="000D1FB8">
      <w:pPr>
        <w:jc w:val="both"/>
      </w:pPr>
      <w:r>
        <w:t xml:space="preserve">Recuerdo, </w:t>
      </w:r>
      <w:r w:rsidR="001D3768">
        <w:t>que,</w:t>
      </w:r>
      <w:r>
        <w:t xml:space="preserve"> p</w:t>
      </w:r>
      <w:r w:rsidR="00E077B6">
        <w:t xml:space="preserve">or indicaciones </w:t>
      </w:r>
      <w:r>
        <w:t>mías</w:t>
      </w:r>
      <w:r w:rsidR="00E077B6">
        <w:t xml:space="preserve"> como jefe de recursos </w:t>
      </w:r>
      <w:r w:rsidR="00B83C1B">
        <w:t>humanos,</w:t>
      </w:r>
      <w:r w:rsidR="00E077B6">
        <w:t xml:space="preserve"> solicité a la jefe de REGISTRO Y CONTROL que enviara un correo a la </w:t>
      </w:r>
      <w:r>
        <w:t>DIVISION DE PLANEACIÓN Y SISTEMAS</w:t>
      </w:r>
      <w:r w:rsidR="005E5CD0">
        <w:t xml:space="preserve"> con </w:t>
      </w:r>
      <w:r w:rsidR="00F333D7">
        <w:t>copia a mi correo</w:t>
      </w:r>
      <w:r w:rsidR="000F0E14">
        <w:t xml:space="preserve"> para que se incluyera en el sistema el cobro de parafiscales a la indemnización de vacaciones</w:t>
      </w:r>
      <w:r w:rsidR="004C2950">
        <w:t xml:space="preserve">. Ese correo era fruto y resultado de los compromisos que se habían hecho con la nueva jefe de registro y control como era el hecho de revisar </w:t>
      </w:r>
      <w:r w:rsidR="00B83C1B">
        <w:t xml:space="preserve">aspectos de la nomina y entre ellos obviamente el tema de parafiscales. </w:t>
      </w:r>
      <w:r w:rsidR="000040A6">
        <w:t>Dentro de las acciones de mejora que se realizaron en la División de Recursos humanos fue cambiar la jefe de registro y control</w:t>
      </w:r>
      <w:r w:rsidR="005E5CD0">
        <w:t xml:space="preserve"> y desde ese momento empezaron a detectarse cosas como la indicada, en la sección de registro y control</w:t>
      </w:r>
      <w:r w:rsidR="00F333D7">
        <w:t xml:space="preserve"> que era el área encargada directamente de la elaboración de la </w:t>
      </w:r>
      <w:r w:rsidR="0084271D">
        <w:t>nómina</w:t>
      </w:r>
      <w:r w:rsidR="00F333D7">
        <w:t xml:space="preserve">. </w:t>
      </w:r>
      <w:r w:rsidR="0084271D">
        <w:t>(adjunto</w:t>
      </w:r>
      <w:r w:rsidR="00F333D7">
        <w:t xml:space="preserve"> correo)</w:t>
      </w:r>
      <w:r w:rsidR="004B4B7A">
        <w:t>.</w:t>
      </w:r>
    </w:p>
    <w:p w:rsidR="004B4B7A" w:rsidRDefault="004B4B7A" w:rsidP="000D1FB8">
      <w:pPr>
        <w:jc w:val="both"/>
      </w:pPr>
    </w:p>
    <w:p w:rsidR="004B4B7A" w:rsidRDefault="004B4B7A" w:rsidP="000D1FB8">
      <w:pPr>
        <w:jc w:val="both"/>
      </w:pPr>
      <w:r>
        <w:t>El pago de parafiscales</w:t>
      </w:r>
      <w:r w:rsidR="00C73ECF">
        <w:t xml:space="preserve"> estaba basado en el artículo 42 del decreto 1042 de 1978, y de conformidad con el </w:t>
      </w:r>
      <w:r w:rsidR="007844E5">
        <w:t xml:space="preserve">parágrafo 1 del articulo 1 de la ley 89 de 1988, los aportes se efectuaban sobre la nomina mensual de salarios, entendiéndose </w:t>
      </w:r>
      <w:r w:rsidR="00726AAD">
        <w:t>los diferentes elementos integrantes del concepto salario</w:t>
      </w:r>
      <w:proofErr w:type="gramStart"/>
      <w:r w:rsidR="00726AAD">
        <w:t xml:space="preserve">   (</w:t>
      </w:r>
      <w:proofErr w:type="spellStart"/>
      <w:proofErr w:type="gramEnd"/>
      <w:r w:rsidR="00726AAD">
        <w:t>articulo</w:t>
      </w:r>
      <w:proofErr w:type="spellEnd"/>
      <w:r w:rsidR="00726AAD">
        <w:t xml:space="preserve"> 17 de la ley 21 de 1982). La sección de registro y control</w:t>
      </w:r>
      <w:r w:rsidR="003668F9">
        <w:t xml:space="preserve"> con el apoyo de la División jurídica y la División de Sistemas eran los encargados de la </w:t>
      </w:r>
      <w:r w:rsidR="00991D7B">
        <w:t xml:space="preserve">actualización de </w:t>
      </w:r>
      <w:r w:rsidR="002909D7">
        <w:t>las normas</w:t>
      </w:r>
      <w:r w:rsidR="00991D7B">
        <w:t>, pero con base en la presunción de legalidad se confiaba que la normatividad que dar de 1978</w:t>
      </w:r>
      <w:r w:rsidR="007D3926">
        <w:t xml:space="preserve"> ya debería estar incluida en el sistema. Lejos de llegar uno a imaginar </w:t>
      </w:r>
      <w:r w:rsidR="00322B34">
        <w:t xml:space="preserve">que el sistema no estaba parametrizado de esa manera. Sin </w:t>
      </w:r>
      <w:r w:rsidR="002909D7">
        <w:t>embargo,</w:t>
      </w:r>
      <w:r w:rsidR="00322B34">
        <w:t xml:space="preserve"> es importante señalar </w:t>
      </w:r>
      <w:r w:rsidR="007C612C">
        <w:t>que,</w:t>
      </w:r>
      <w:r w:rsidR="00322B34">
        <w:t xml:space="preserve"> para la fecha de abril 2014, fecha en que me desempeñaba como </w:t>
      </w:r>
      <w:r w:rsidR="002909D7">
        <w:t>jefe de recursos humanos</w:t>
      </w:r>
      <w:r w:rsidR="003668F9">
        <w:t xml:space="preserve"> </w:t>
      </w:r>
      <w:r w:rsidR="00DA343D">
        <w:t>se solicitó a planeación y sistemas que se realizaran algunos ajustes</w:t>
      </w:r>
      <w:r w:rsidR="00FB6544">
        <w:t xml:space="preserve"> de algo que venía realizándose como ya se mencionó, desde el año 2003.</w:t>
      </w:r>
    </w:p>
    <w:p w:rsidR="00FB6544" w:rsidRDefault="004C0F6F" w:rsidP="000D1FB8">
      <w:pPr>
        <w:jc w:val="both"/>
      </w:pPr>
      <w:r>
        <w:t>De la compensación por vacaciones al momento del retiro de funcionarios, al parecer no se incluían para la liquidación de parafiscales</w:t>
      </w:r>
      <w:r w:rsidR="008573C5">
        <w:t xml:space="preserve"> por no considerarse como factor salarial. Cuestión que jamás tuve conocimiento de </w:t>
      </w:r>
      <w:r w:rsidR="00F849BF">
        <w:t>objeción</w:t>
      </w:r>
      <w:r w:rsidR="008573C5">
        <w:t xml:space="preserve"> alguna por parte de control interno ni por parte de la División </w:t>
      </w:r>
      <w:r w:rsidR="00F849BF">
        <w:t>Jurídica</w:t>
      </w:r>
      <w:r w:rsidR="008573C5">
        <w:t xml:space="preserve"> del Senado.</w:t>
      </w:r>
      <w:r w:rsidR="00230011">
        <w:t xml:space="preserve"> Se insiste en mencionar que CAFAM tampoco antes tuvo reparo alguno y solo nos presentó reclamación cuando le pedimos </w:t>
      </w:r>
      <w:proofErr w:type="gramStart"/>
      <w:r w:rsidR="00230011">
        <w:t>un paz</w:t>
      </w:r>
      <w:proofErr w:type="gramEnd"/>
      <w:r w:rsidR="00230011">
        <w:t xml:space="preserve"> y salvo para explorar la posibilidad de buscar otra caja de compensación </w:t>
      </w:r>
      <w:r w:rsidR="00F61F0C">
        <w:t>que ofreciera mejores garantías para el personal del senado.</w:t>
      </w:r>
    </w:p>
    <w:p w:rsidR="00F61F0C" w:rsidRDefault="00F61F0C" w:rsidP="000D1FB8">
      <w:pPr>
        <w:jc w:val="both"/>
      </w:pPr>
      <w:r>
        <w:t>No se puede dejar de mencionar</w:t>
      </w:r>
      <w:r w:rsidR="00D84551">
        <w:t xml:space="preserve"> que existían diversas e interpretaciones contrarias vía jurisprudencial tanto de la corte suprema como del consejo de estado</w:t>
      </w:r>
      <w:r w:rsidR="00A96437">
        <w:t xml:space="preserve"> que se pueden evidenciar en una respuesta de la función publica de radicado 18518 del 9 de julio de 2015 de la cual no tengo </w:t>
      </w:r>
      <w:proofErr w:type="gramStart"/>
      <w:r w:rsidR="00A96437">
        <w:t>copia ,</w:t>
      </w:r>
      <w:proofErr w:type="gramEnd"/>
      <w:r w:rsidR="00A96437">
        <w:t xml:space="preserve"> pero</w:t>
      </w:r>
      <w:r w:rsidR="00B239B2">
        <w:t xml:space="preserve"> en la que se dijo:</w:t>
      </w:r>
    </w:p>
    <w:p w:rsidR="00B239B2" w:rsidRDefault="00B239B2" w:rsidP="00B239B2">
      <w:pPr>
        <w:pStyle w:val="Prrafodelista"/>
        <w:numPr>
          <w:ilvl w:val="0"/>
          <w:numId w:val="1"/>
        </w:numPr>
        <w:jc w:val="both"/>
      </w:pPr>
      <w:r>
        <w:t xml:space="preserve">Que las vacaciones compensadas en dinero al final de la relación laboral o en la vigencia del mismo, desvirtúan la denominación de </w:t>
      </w:r>
      <w:r w:rsidR="00795DA3">
        <w:t>descanso</w:t>
      </w:r>
      <w:r>
        <w:t xml:space="preserve"> remunerado</w:t>
      </w:r>
      <w:r w:rsidR="00795DA3">
        <w:t>, y por tanto no harían parte para la liquidación y pago de pafiscales.</w:t>
      </w:r>
    </w:p>
    <w:p w:rsidR="00795DA3" w:rsidRDefault="00795DA3" w:rsidP="00B239B2">
      <w:pPr>
        <w:pStyle w:val="Prrafodelista"/>
        <w:numPr>
          <w:ilvl w:val="0"/>
          <w:numId w:val="1"/>
        </w:numPr>
        <w:jc w:val="both"/>
      </w:pPr>
      <w:r>
        <w:t>Que las vacaciones pagadas en dinero en cualquier momento de la relación laboral o a la terminación</w:t>
      </w:r>
      <w:r w:rsidR="006437C7">
        <w:t xml:space="preserve"> hacen parte de la base para la liquidación y pago de aportes parafiscales.</w:t>
      </w:r>
    </w:p>
    <w:p w:rsidR="006437C7" w:rsidRDefault="000259B3" w:rsidP="006437C7">
      <w:pPr>
        <w:ind w:left="360"/>
        <w:jc w:val="both"/>
      </w:pPr>
      <w:r>
        <w:lastRenderedPageBreak/>
        <w:t xml:space="preserve">En conclusión no se puede hablar de responsabilidad en el presente </w:t>
      </w:r>
      <w:proofErr w:type="gramStart"/>
      <w:r>
        <w:t>caso ,</w:t>
      </w:r>
      <w:proofErr w:type="gramEnd"/>
      <w:r>
        <w:t xml:space="preserve"> menos cuando existen </w:t>
      </w:r>
      <w:r w:rsidR="00BA238D">
        <w:t>vacíos</w:t>
      </w:r>
      <w:r>
        <w:t xml:space="preserve"> o interpretaciones encontradas</w:t>
      </w:r>
      <w:r w:rsidR="00AF6D6B">
        <w:t xml:space="preserve"> y menos cuando se informó  en abril de 2014 al administrador de la nómina que la indemnización de vacaciones no está cobrando los parafiscales</w:t>
      </w:r>
      <w:r w:rsidR="00BA238D">
        <w:t xml:space="preserve"> y cuando también se solicitó que se modificara la parametrización </w:t>
      </w:r>
      <w:r w:rsidR="00E67D6F">
        <w:t>en mayo de 2014.</w:t>
      </w:r>
    </w:p>
    <w:p w:rsidR="00285E91" w:rsidRPr="00422A11" w:rsidRDefault="00285E91" w:rsidP="006437C7">
      <w:pPr>
        <w:ind w:left="360"/>
        <w:jc w:val="both"/>
      </w:pPr>
      <w:r>
        <w:t xml:space="preserve">Por </w:t>
      </w:r>
      <w:r w:rsidR="00376005">
        <w:t>último,</w:t>
      </w:r>
      <w:r>
        <w:t xml:space="preserve"> en cuanto al pago de parafiscales sobre compensación de vacaciones y de acuerdo con los archivos de la época, la sección de registro y control</w:t>
      </w:r>
      <w:r w:rsidR="00367118">
        <w:t xml:space="preserve"> </w:t>
      </w:r>
      <w:r w:rsidR="00376005">
        <w:t>solicitó</w:t>
      </w:r>
      <w:r w:rsidR="00367118">
        <w:t xml:space="preserve"> concepto al Ministerio de trabajo en el año 2014, donde el ministerio concluye que acoge el concepto N. 2013 del 8 de febrero de 2011</w:t>
      </w:r>
      <w:r w:rsidR="00A54D9A">
        <w:t>, de la sala de consulta del servicio civil, razón por la cual se solicitó a la Dirección Administrativa del Senado las directrices a seguir</w:t>
      </w:r>
      <w:r w:rsidR="0049449C">
        <w:t xml:space="preserve"> por tratarse de “conceptos” que no obligaban. Razón por la cual recuerdo </w:t>
      </w:r>
      <w:r w:rsidR="00EC1150">
        <w:t>que desde la División de Recursos Humanos se solicitó al administrador de la nomina el 2 de abril de 2014 la modificación de las reglas de liquidación y se reiteró la solicitud en mayo de 2014</w:t>
      </w:r>
      <w:r w:rsidR="00376005">
        <w:t xml:space="preserve">. </w:t>
      </w:r>
      <w:r w:rsidR="00F018D6">
        <w:t xml:space="preserve"> Todo este archivo reposa en la sección de registro y control del senado.</w:t>
      </w:r>
    </w:p>
    <w:p w:rsidR="004E32A1" w:rsidRDefault="004E32A1" w:rsidP="000D1FB8">
      <w:pPr>
        <w:jc w:val="both"/>
      </w:pPr>
    </w:p>
    <w:p w:rsidR="004E32A1" w:rsidRDefault="004E32A1" w:rsidP="000D1FB8">
      <w:pPr>
        <w:jc w:val="both"/>
      </w:pPr>
    </w:p>
    <w:p w:rsidR="00C63CA2" w:rsidRDefault="00C63CA2" w:rsidP="000D1FB8">
      <w:pPr>
        <w:jc w:val="both"/>
      </w:pPr>
    </w:p>
    <w:p w:rsidR="00C63CA2" w:rsidRDefault="005018EA" w:rsidP="000D1FB8">
      <w:pPr>
        <w:jc w:val="both"/>
      </w:pPr>
      <w:r>
        <w:t>No siendo mas el objeto de la presente</w:t>
      </w:r>
      <w:r w:rsidR="002C15E3">
        <w:t xml:space="preserve"> espero se me absuelva de cualquier responsabilidad</w:t>
      </w:r>
      <w:bookmarkStart w:id="0" w:name="_GoBack"/>
      <w:bookmarkEnd w:id="0"/>
      <w:r>
        <w:t>,</w:t>
      </w:r>
    </w:p>
    <w:p w:rsidR="005018EA" w:rsidRDefault="005018EA" w:rsidP="000D1FB8">
      <w:pPr>
        <w:jc w:val="both"/>
      </w:pPr>
    </w:p>
    <w:p w:rsidR="005018EA" w:rsidRDefault="005018EA" w:rsidP="000D1FB8">
      <w:pPr>
        <w:jc w:val="both"/>
      </w:pPr>
    </w:p>
    <w:p w:rsidR="005018EA" w:rsidRDefault="005018EA" w:rsidP="000D1FB8">
      <w:pPr>
        <w:jc w:val="both"/>
      </w:pPr>
      <w:r>
        <w:t>RESPETUOSAMENTE,</w:t>
      </w:r>
    </w:p>
    <w:p w:rsidR="005018EA" w:rsidRDefault="005018EA" w:rsidP="000D1FB8">
      <w:pPr>
        <w:jc w:val="both"/>
      </w:pPr>
    </w:p>
    <w:p w:rsidR="005018EA" w:rsidRPr="005018EA" w:rsidRDefault="005018EA" w:rsidP="005018EA">
      <w:pPr>
        <w:spacing w:after="0"/>
        <w:jc w:val="both"/>
        <w:rPr>
          <w:b/>
        </w:rPr>
      </w:pPr>
      <w:r w:rsidRPr="005018EA">
        <w:rPr>
          <w:b/>
        </w:rPr>
        <w:t>IGNACIO JAVIER MUÑOZ AYALA</w:t>
      </w:r>
    </w:p>
    <w:p w:rsidR="005018EA" w:rsidRDefault="005018EA" w:rsidP="005018EA">
      <w:pPr>
        <w:spacing w:after="0"/>
        <w:jc w:val="both"/>
      </w:pPr>
      <w:r>
        <w:t>C.C. 13.510.111 de Bucaramanga.</w:t>
      </w:r>
    </w:p>
    <w:p w:rsidR="004B5744" w:rsidRDefault="004B5744"/>
    <w:p w:rsidR="00B351E0" w:rsidRDefault="00863AB6">
      <w:r>
        <w:t>Adjunto correos</w:t>
      </w:r>
    </w:p>
    <w:p w:rsidR="00863AB6" w:rsidRDefault="00863AB6"/>
    <w:p w:rsidR="00863AB6" w:rsidRDefault="00863AB6">
      <w:r>
        <w:rPr>
          <w:noProof/>
        </w:rPr>
        <w:lastRenderedPageBreak/>
        <w:drawing>
          <wp:inline distT="0" distB="0" distL="0" distR="0">
            <wp:extent cx="5612130" cy="743073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C8D" w:rsidRDefault="00447C8D"/>
    <w:p w:rsidR="002E327A" w:rsidRDefault="002E327A"/>
    <w:p w:rsidR="00D80223" w:rsidRDefault="00583423">
      <w:r>
        <w:rPr>
          <w:noProof/>
        </w:rPr>
        <w:lastRenderedPageBreak/>
        <w:drawing>
          <wp:inline distT="0" distB="0" distL="0" distR="0">
            <wp:extent cx="5612130" cy="822085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D" w:rsidRDefault="000C1762">
      <w:r>
        <w:rPr>
          <w:noProof/>
        </w:rPr>
        <w:lastRenderedPageBreak/>
        <w:drawing>
          <wp:inline distT="0" distB="0" distL="0" distR="0">
            <wp:extent cx="5612130" cy="7637142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F70" w:rsidRDefault="00491F70"/>
    <w:p w:rsidR="00491F70" w:rsidRDefault="00491F70"/>
    <w:p w:rsidR="00491F70" w:rsidRDefault="00491F70"/>
    <w:p w:rsidR="001277F2" w:rsidRDefault="001277F2"/>
    <w:sectPr w:rsidR="001277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3172"/>
    <w:multiLevelType w:val="hybridMultilevel"/>
    <w:tmpl w:val="C45A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F2"/>
    <w:rsid w:val="000040A6"/>
    <w:rsid w:val="0001113D"/>
    <w:rsid w:val="000128D5"/>
    <w:rsid w:val="000259B3"/>
    <w:rsid w:val="0004482A"/>
    <w:rsid w:val="000507D9"/>
    <w:rsid w:val="00062D6D"/>
    <w:rsid w:val="000773C6"/>
    <w:rsid w:val="00080569"/>
    <w:rsid w:val="000B7B84"/>
    <w:rsid w:val="000C1762"/>
    <w:rsid w:val="000D1FB8"/>
    <w:rsid w:val="000D2C98"/>
    <w:rsid w:val="000E4167"/>
    <w:rsid w:val="000F0E14"/>
    <w:rsid w:val="00105EBD"/>
    <w:rsid w:val="001277F2"/>
    <w:rsid w:val="0015042D"/>
    <w:rsid w:val="001577C7"/>
    <w:rsid w:val="00162160"/>
    <w:rsid w:val="00171EE2"/>
    <w:rsid w:val="0018008C"/>
    <w:rsid w:val="00193FA2"/>
    <w:rsid w:val="0019413C"/>
    <w:rsid w:val="001A4EC1"/>
    <w:rsid w:val="001D3768"/>
    <w:rsid w:val="001E36D6"/>
    <w:rsid w:val="00212626"/>
    <w:rsid w:val="00230011"/>
    <w:rsid w:val="00244315"/>
    <w:rsid w:val="00285E91"/>
    <w:rsid w:val="002909D7"/>
    <w:rsid w:val="002963EF"/>
    <w:rsid w:val="002A2498"/>
    <w:rsid w:val="002C0BBE"/>
    <w:rsid w:val="002C15E3"/>
    <w:rsid w:val="002D3000"/>
    <w:rsid w:val="002E327A"/>
    <w:rsid w:val="00301258"/>
    <w:rsid w:val="00302010"/>
    <w:rsid w:val="0030429A"/>
    <w:rsid w:val="00306563"/>
    <w:rsid w:val="003073FD"/>
    <w:rsid w:val="0032101D"/>
    <w:rsid w:val="00322B34"/>
    <w:rsid w:val="00336DAB"/>
    <w:rsid w:val="0034183C"/>
    <w:rsid w:val="003668F9"/>
    <w:rsid w:val="00367118"/>
    <w:rsid w:val="00370431"/>
    <w:rsid w:val="00376005"/>
    <w:rsid w:val="003B107B"/>
    <w:rsid w:val="003D07CA"/>
    <w:rsid w:val="003D2BA2"/>
    <w:rsid w:val="003D3E4C"/>
    <w:rsid w:val="00422A11"/>
    <w:rsid w:val="0044221B"/>
    <w:rsid w:val="00447C8D"/>
    <w:rsid w:val="00491F70"/>
    <w:rsid w:val="00492D42"/>
    <w:rsid w:val="0049449C"/>
    <w:rsid w:val="004B4B7A"/>
    <w:rsid w:val="004B5744"/>
    <w:rsid w:val="004C0F6F"/>
    <w:rsid w:val="004C2950"/>
    <w:rsid w:val="004C4232"/>
    <w:rsid w:val="004E32A1"/>
    <w:rsid w:val="004F7A44"/>
    <w:rsid w:val="005018EA"/>
    <w:rsid w:val="00516F5C"/>
    <w:rsid w:val="005441D9"/>
    <w:rsid w:val="00562C9E"/>
    <w:rsid w:val="005638E6"/>
    <w:rsid w:val="00581A2C"/>
    <w:rsid w:val="00583423"/>
    <w:rsid w:val="00594640"/>
    <w:rsid w:val="005B1516"/>
    <w:rsid w:val="005B61C4"/>
    <w:rsid w:val="005E1658"/>
    <w:rsid w:val="005E5CD0"/>
    <w:rsid w:val="005F6910"/>
    <w:rsid w:val="006437C7"/>
    <w:rsid w:val="00655995"/>
    <w:rsid w:val="00687576"/>
    <w:rsid w:val="006C0B78"/>
    <w:rsid w:val="006C4CBF"/>
    <w:rsid w:val="006C6ACD"/>
    <w:rsid w:val="006E7D43"/>
    <w:rsid w:val="00706E4D"/>
    <w:rsid w:val="00713927"/>
    <w:rsid w:val="00714777"/>
    <w:rsid w:val="0071513B"/>
    <w:rsid w:val="00722419"/>
    <w:rsid w:val="00726AAD"/>
    <w:rsid w:val="00747CFE"/>
    <w:rsid w:val="00782114"/>
    <w:rsid w:val="007844E5"/>
    <w:rsid w:val="00795DA3"/>
    <w:rsid w:val="007C612C"/>
    <w:rsid w:val="007D3926"/>
    <w:rsid w:val="007F19DA"/>
    <w:rsid w:val="007F205F"/>
    <w:rsid w:val="007F5109"/>
    <w:rsid w:val="0082148F"/>
    <w:rsid w:val="00831723"/>
    <w:rsid w:val="00836718"/>
    <w:rsid w:val="0084271D"/>
    <w:rsid w:val="008573C5"/>
    <w:rsid w:val="00863AB6"/>
    <w:rsid w:val="00867143"/>
    <w:rsid w:val="00875A38"/>
    <w:rsid w:val="0087634E"/>
    <w:rsid w:val="008C1F6B"/>
    <w:rsid w:val="008C5765"/>
    <w:rsid w:val="00924DBA"/>
    <w:rsid w:val="00955FF6"/>
    <w:rsid w:val="0096303E"/>
    <w:rsid w:val="00963D3E"/>
    <w:rsid w:val="009733A9"/>
    <w:rsid w:val="00974FB3"/>
    <w:rsid w:val="00991D7B"/>
    <w:rsid w:val="009B57AB"/>
    <w:rsid w:val="009D794C"/>
    <w:rsid w:val="00A108C3"/>
    <w:rsid w:val="00A10EEE"/>
    <w:rsid w:val="00A54D9A"/>
    <w:rsid w:val="00A9641D"/>
    <w:rsid w:val="00A96437"/>
    <w:rsid w:val="00A975EF"/>
    <w:rsid w:val="00AB37AE"/>
    <w:rsid w:val="00AD3ED5"/>
    <w:rsid w:val="00AF316A"/>
    <w:rsid w:val="00AF5AAB"/>
    <w:rsid w:val="00AF6D6B"/>
    <w:rsid w:val="00B239B2"/>
    <w:rsid w:val="00B351E0"/>
    <w:rsid w:val="00B54972"/>
    <w:rsid w:val="00B56467"/>
    <w:rsid w:val="00B80E41"/>
    <w:rsid w:val="00B83C1B"/>
    <w:rsid w:val="00BA1AF8"/>
    <w:rsid w:val="00BA238D"/>
    <w:rsid w:val="00BA6DAC"/>
    <w:rsid w:val="00BC6F9D"/>
    <w:rsid w:val="00C1022D"/>
    <w:rsid w:val="00C149F2"/>
    <w:rsid w:val="00C21554"/>
    <w:rsid w:val="00C57013"/>
    <w:rsid w:val="00C63CA2"/>
    <w:rsid w:val="00C65361"/>
    <w:rsid w:val="00C73ECF"/>
    <w:rsid w:val="00C90B9E"/>
    <w:rsid w:val="00CD0114"/>
    <w:rsid w:val="00CE2443"/>
    <w:rsid w:val="00D01188"/>
    <w:rsid w:val="00D0647C"/>
    <w:rsid w:val="00D12198"/>
    <w:rsid w:val="00D155E8"/>
    <w:rsid w:val="00D17DEC"/>
    <w:rsid w:val="00D36DF0"/>
    <w:rsid w:val="00D44B11"/>
    <w:rsid w:val="00D80223"/>
    <w:rsid w:val="00D84551"/>
    <w:rsid w:val="00D93669"/>
    <w:rsid w:val="00DA343D"/>
    <w:rsid w:val="00DA6362"/>
    <w:rsid w:val="00DB15FC"/>
    <w:rsid w:val="00DC14A8"/>
    <w:rsid w:val="00DD0B8B"/>
    <w:rsid w:val="00E04FDB"/>
    <w:rsid w:val="00E077B6"/>
    <w:rsid w:val="00E16413"/>
    <w:rsid w:val="00E23ABA"/>
    <w:rsid w:val="00E54190"/>
    <w:rsid w:val="00E67D6F"/>
    <w:rsid w:val="00E86EA1"/>
    <w:rsid w:val="00EA59AF"/>
    <w:rsid w:val="00EB0BA6"/>
    <w:rsid w:val="00EC1150"/>
    <w:rsid w:val="00ED4788"/>
    <w:rsid w:val="00EE1B60"/>
    <w:rsid w:val="00EF3DBF"/>
    <w:rsid w:val="00F018D6"/>
    <w:rsid w:val="00F323EF"/>
    <w:rsid w:val="00F331B7"/>
    <w:rsid w:val="00F333D7"/>
    <w:rsid w:val="00F57B09"/>
    <w:rsid w:val="00F61F0C"/>
    <w:rsid w:val="00F67B73"/>
    <w:rsid w:val="00F849BF"/>
    <w:rsid w:val="00F8553A"/>
    <w:rsid w:val="00FA0D6F"/>
    <w:rsid w:val="00FB6544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4D32"/>
  <w15:chartTrackingRefBased/>
  <w15:docId w15:val="{3D8DA744-3EC0-4BF7-9BF3-FF697D8F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xcontentpasted0">
    <w:name w:val="x_x_contentpasted0"/>
    <w:basedOn w:val="Fuentedeprrafopredeter"/>
    <w:rsid w:val="002E327A"/>
  </w:style>
  <w:style w:type="paragraph" w:styleId="Prrafodelista">
    <w:name w:val="List Paragraph"/>
    <w:basedOn w:val="Normal"/>
    <w:uiPriority w:val="34"/>
    <w:qFormat/>
    <w:rsid w:val="00B2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408-F2C3-41FC-80DB-66DC3513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1806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CDMB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Javier Muñoz ayala</dc:creator>
  <cp:keywords/>
  <dc:description/>
  <cp:lastModifiedBy>Ignacio Javier Muñoz ayala</cp:lastModifiedBy>
  <cp:revision>33</cp:revision>
  <dcterms:created xsi:type="dcterms:W3CDTF">2023-08-16T22:29:00Z</dcterms:created>
  <dcterms:modified xsi:type="dcterms:W3CDTF">2023-09-06T23:48:00Z</dcterms:modified>
</cp:coreProperties>
</file>