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96B8" w14:textId="669953CB" w:rsidR="002552F5" w:rsidRPr="002552F5" w:rsidRDefault="002552F5" w:rsidP="007E3A1D">
      <w:pPr>
        <w:jc w:val="both"/>
        <w:rPr>
          <w:b/>
          <w:bCs/>
          <w:u w:val="single"/>
        </w:rPr>
      </w:pPr>
      <w:r w:rsidRPr="002552F5">
        <w:rPr>
          <w:b/>
          <w:bCs/>
          <w:u w:val="single"/>
        </w:rPr>
        <w:t>$ 17.680.000</w:t>
      </w:r>
    </w:p>
    <w:p w14:paraId="683E3E3A" w14:textId="33FAFE82" w:rsidR="00E40014" w:rsidRDefault="00C531A9" w:rsidP="007E3A1D">
      <w:pPr>
        <w:jc w:val="both"/>
      </w:pPr>
      <w:r>
        <w:t>Se llega a este valor de la siguiente manera:</w:t>
      </w:r>
    </w:p>
    <w:p w14:paraId="5BF2A8E2" w14:textId="77777777" w:rsidR="00C531A9" w:rsidRDefault="00C531A9" w:rsidP="007E3A1D">
      <w:pPr>
        <w:jc w:val="both"/>
      </w:pPr>
    </w:p>
    <w:p w14:paraId="1D11AD7F" w14:textId="567DE0A3" w:rsidR="00C531A9" w:rsidRPr="00C531A9" w:rsidRDefault="00C531A9" w:rsidP="007E3A1D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C531A9">
        <w:rPr>
          <w:b/>
          <w:bCs/>
        </w:rPr>
        <w:t>Lucro Cesante</w:t>
      </w:r>
      <w:r>
        <w:rPr>
          <w:b/>
          <w:bCs/>
        </w:rPr>
        <w:t xml:space="preserve">: </w:t>
      </w:r>
      <w:r>
        <w:t xml:space="preserve">No se reconoce, </w:t>
      </w:r>
      <w:r w:rsidRPr="00C531A9">
        <w:t xml:space="preserve">pues se trata de un menor frente al </w:t>
      </w:r>
      <w:r w:rsidR="00A773BA">
        <w:t>cual, no se logró probar de manera suficiente, que percibiría ingresos cuando cumpliera la mayoría de edad, pues, en todo caso,</w:t>
      </w:r>
      <w:r>
        <w:t xml:space="preserve"> </w:t>
      </w:r>
      <w:r w:rsidR="00A773BA" w:rsidRPr="00A773BA">
        <w:t>el trabajo en menores de edad está prohibido.</w:t>
      </w:r>
    </w:p>
    <w:p w14:paraId="5AEB90A7" w14:textId="77777777" w:rsidR="00C531A9" w:rsidRPr="00C531A9" w:rsidRDefault="00C531A9" w:rsidP="007E3A1D">
      <w:pPr>
        <w:pStyle w:val="Prrafodelista"/>
        <w:jc w:val="both"/>
        <w:rPr>
          <w:b/>
          <w:bCs/>
        </w:rPr>
      </w:pPr>
    </w:p>
    <w:p w14:paraId="1E680DCC" w14:textId="7F4A54B2" w:rsidR="00C531A9" w:rsidRPr="00C531A9" w:rsidRDefault="00C531A9" w:rsidP="007E3A1D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Perjuicios Morales:</w:t>
      </w:r>
      <w:r>
        <w:t xml:space="preserve"> Atendiendo la calificación emitida por la Junta Regional de Calificación de Invalidez del Valle del Cauca que dictaminó un porcentaje de PCL del 18%, se reconoce la suma de 60 SMLMV equivalentes a la fecha del informe a $78.000.000. Distribuidos así: </w:t>
      </w:r>
    </w:p>
    <w:p w14:paraId="0E68D496" w14:textId="77777777" w:rsidR="00C531A9" w:rsidRPr="00C531A9" w:rsidRDefault="00C531A9" w:rsidP="007E3A1D">
      <w:pPr>
        <w:pStyle w:val="Prrafodelista"/>
        <w:jc w:val="both"/>
        <w:rPr>
          <w:b/>
          <w:bCs/>
        </w:rPr>
      </w:pPr>
    </w:p>
    <w:p w14:paraId="2F14216E" w14:textId="56BFE98E" w:rsidR="00C531A9" w:rsidRPr="00C531A9" w:rsidRDefault="00C531A9" w:rsidP="007E3A1D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t>Michael Steven Palta Muñoz – Víctima Directa: 20 SMLMV equivalentes a $26.000.000</w:t>
      </w:r>
    </w:p>
    <w:p w14:paraId="7A8C6825" w14:textId="325356C6" w:rsidR="00C531A9" w:rsidRPr="00C531A9" w:rsidRDefault="00C531A9" w:rsidP="007E3A1D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t>Francia Lorena Palta – Madre de la víctima: 20 SMLMV equivalentes a $26.000.000</w:t>
      </w:r>
    </w:p>
    <w:p w14:paraId="635A522E" w14:textId="1882AA41" w:rsidR="00C531A9" w:rsidRPr="00C531A9" w:rsidRDefault="00C531A9" w:rsidP="007E3A1D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t>Juan David Marín Palta – Hermano de la víctima: 10 SMLMV equivalentes a $13.000.000</w:t>
      </w:r>
    </w:p>
    <w:p w14:paraId="532DC9FE" w14:textId="71E4F651" w:rsidR="00C531A9" w:rsidRPr="00C531A9" w:rsidRDefault="00C531A9" w:rsidP="007E3A1D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t xml:space="preserve">Karol Tatiana Lenis Palta – Hermana de la víctima: 10 SMLMV equivalentes a $13.000.000. </w:t>
      </w:r>
    </w:p>
    <w:p w14:paraId="2FF58290" w14:textId="77777777" w:rsidR="00C531A9" w:rsidRDefault="00C531A9" w:rsidP="007E3A1D">
      <w:pPr>
        <w:pStyle w:val="Prrafodelista"/>
        <w:ind w:left="1080"/>
        <w:jc w:val="both"/>
      </w:pPr>
    </w:p>
    <w:p w14:paraId="779A8960" w14:textId="0FB5C400" w:rsidR="00C531A9" w:rsidRPr="00C531A9" w:rsidRDefault="00C531A9" w:rsidP="007E3A1D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Daño a la salud. </w:t>
      </w:r>
      <w:r>
        <w:t xml:space="preserve">Atendiendo la calificación emitida por la Junta Regional de Calificación de Invalidez del Valle del Cauca que dictaminó un porcentaje de PCL del 18%, se reconoce la suma de 20 SMLMV equivalentes a la fecha del informe a $26.000.000 en favor de Michael Steven Palta Muñoz, en su calidad de víctima directa. </w:t>
      </w:r>
    </w:p>
    <w:p w14:paraId="13A2318A" w14:textId="77777777" w:rsidR="00C531A9" w:rsidRDefault="00C531A9" w:rsidP="007E3A1D">
      <w:pPr>
        <w:pStyle w:val="Prrafodelista"/>
        <w:jc w:val="both"/>
        <w:rPr>
          <w:b/>
          <w:bCs/>
        </w:rPr>
      </w:pPr>
    </w:p>
    <w:p w14:paraId="2488AD51" w14:textId="510831E9" w:rsidR="00C531A9" w:rsidRPr="00C531A9" w:rsidRDefault="00C531A9" w:rsidP="007E3A1D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Valor total de pretensiones reconocidas: </w:t>
      </w:r>
      <w:r>
        <w:t>$104.00.000</w:t>
      </w:r>
    </w:p>
    <w:p w14:paraId="1E65C9F3" w14:textId="77777777" w:rsidR="00C531A9" w:rsidRPr="00C531A9" w:rsidRDefault="00C531A9" w:rsidP="007E3A1D">
      <w:pPr>
        <w:pStyle w:val="Prrafodelista"/>
        <w:jc w:val="both"/>
        <w:rPr>
          <w:b/>
          <w:bCs/>
        </w:rPr>
      </w:pPr>
    </w:p>
    <w:p w14:paraId="23A4B59F" w14:textId="3802FF46" w:rsidR="002552F5" w:rsidRPr="002552F5" w:rsidRDefault="00C531A9" w:rsidP="007E3A1D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Valor de</w:t>
      </w:r>
      <w:r w:rsidR="002552F5">
        <w:rPr>
          <w:b/>
          <w:bCs/>
        </w:rPr>
        <w:t>l Deducible:</w:t>
      </w:r>
      <w:r w:rsidR="002552F5">
        <w:t xml:space="preserve"> 15% mínimo 40 SMLMV. En este caso, se toma el mínimo de 40 SMLMV, equivalentes a la fecha del informe a la suma de $52.000.000: </w:t>
      </w:r>
    </w:p>
    <w:p w14:paraId="6C25C62D" w14:textId="77777777" w:rsidR="002552F5" w:rsidRPr="002552F5" w:rsidRDefault="002552F5" w:rsidP="007E3A1D">
      <w:pPr>
        <w:pStyle w:val="Prrafodelista"/>
        <w:jc w:val="both"/>
        <w:rPr>
          <w:b/>
          <w:bCs/>
        </w:rPr>
      </w:pPr>
    </w:p>
    <w:p w14:paraId="5BE7F16D" w14:textId="13F8D5F2" w:rsidR="002552F5" w:rsidRDefault="002552F5" w:rsidP="007E3A1D">
      <w:pPr>
        <w:pStyle w:val="Prrafodelista"/>
        <w:jc w:val="both"/>
      </w:pPr>
      <w:r>
        <w:t>$104.000.000 - $52.000.000= $52.000.000</w:t>
      </w:r>
    </w:p>
    <w:p w14:paraId="0EF088D9" w14:textId="77777777" w:rsidR="002552F5" w:rsidRDefault="002552F5" w:rsidP="007E3A1D">
      <w:pPr>
        <w:pStyle w:val="Prrafodelista"/>
        <w:jc w:val="both"/>
      </w:pPr>
    </w:p>
    <w:p w14:paraId="46CB3263" w14:textId="26C70699" w:rsidR="002552F5" w:rsidRDefault="002552F5" w:rsidP="007E3A1D">
      <w:pPr>
        <w:pStyle w:val="Prrafodelista"/>
        <w:numPr>
          <w:ilvl w:val="0"/>
          <w:numId w:val="2"/>
        </w:numPr>
        <w:jc w:val="both"/>
      </w:pPr>
      <w:r>
        <w:rPr>
          <w:b/>
          <w:bCs/>
        </w:rPr>
        <w:t xml:space="preserve">Coaseguro: </w:t>
      </w:r>
      <w:r>
        <w:t xml:space="preserve">En este caso, el valor de participación de MAPFRE se limita a un 34%. </w:t>
      </w:r>
    </w:p>
    <w:p w14:paraId="1D251DC9" w14:textId="77777777" w:rsidR="002552F5" w:rsidRDefault="002552F5" w:rsidP="007E3A1D">
      <w:pPr>
        <w:pStyle w:val="Prrafodelista"/>
        <w:jc w:val="both"/>
        <w:rPr>
          <w:b/>
          <w:bCs/>
        </w:rPr>
      </w:pPr>
    </w:p>
    <w:p w14:paraId="38B47CEE" w14:textId="77777777" w:rsidR="002552F5" w:rsidRDefault="002552F5" w:rsidP="007E3A1D">
      <w:pPr>
        <w:pStyle w:val="Prrafodelista"/>
        <w:jc w:val="both"/>
      </w:pPr>
      <w:r>
        <w:t>$52.000.000 x 34% = $17.680.000</w:t>
      </w:r>
    </w:p>
    <w:p w14:paraId="78AB8A7A" w14:textId="77777777" w:rsidR="002552F5" w:rsidRDefault="002552F5" w:rsidP="007E3A1D">
      <w:pPr>
        <w:pStyle w:val="Prrafodelista"/>
        <w:jc w:val="both"/>
      </w:pPr>
    </w:p>
    <w:p w14:paraId="449158D4" w14:textId="72EA4F67" w:rsidR="002552F5" w:rsidRPr="00C47B24" w:rsidRDefault="002552F5" w:rsidP="007E3A1D">
      <w:pPr>
        <w:pStyle w:val="Prrafodelista"/>
        <w:numPr>
          <w:ilvl w:val="0"/>
          <w:numId w:val="2"/>
        </w:numPr>
        <w:jc w:val="both"/>
      </w:pPr>
      <w:r>
        <w:rPr>
          <w:b/>
          <w:bCs/>
        </w:rPr>
        <w:t xml:space="preserve">Valoración Final de la liquidación objetiva: </w:t>
      </w:r>
      <w:r w:rsidRPr="002552F5">
        <w:rPr>
          <w:b/>
          <w:bCs/>
          <w:u w:val="single"/>
        </w:rPr>
        <w:t xml:space="preserve"> $17.680.000</w:t>
      </w:r>
    </w:p>
    <w:p w14:paraId="2269514B" w14:textId="77777777" w:rsidR="00C47B24" w:rsidRDefault="00C47B24" w:rsidP="007E3A1D">
      <w:pPr>
        <w:jc w:val="both"/>
      </w:pPr>
    </w:p>
    <w:p w14:paraId="122FBE2D" w14:textId="77777777" w:rsidR="00C47B24" w:rsidRDefault="00C47B24" w:rsidP="007E3A1D">
      <w:pPr>
        <w:jc w:val="both"/>
      </w:pPr>
    </w:p>
    <w:sectPr w:rsidR="00C47B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35CD0"/>
    <w:multiLevelType w:val="hybridMultilevel"/>
    <w:tmpl w:val="0D3C292A"/>
    <w:lvl w:ilvl="0" w:tplc="BE5A33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D1269"/>
    <w:multiLevelType w:val="hybridMultilevel"/>
    <w:tmpl w:val="36129DBA"/>
    <w:lvl w:ilvl="0" w:tplc="0EF62E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064FE"/>
    <w:multiLevelType w:val="hybridMultilevel"/>
    <w:tmpl w:val="29AC1896"/>
    <w:lvl w:ilvl="0" w:tplc="EDCADBE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908798">
    <w:abstractNumId w:val="0"/>
  </w:num>
  <w:num w:numId="2" w16cid:durableId="550117791">
    <w:abstractNumId w:val="1"/>
  </w:num>
  <w:num w:numId="3" w16cid:durableId="40777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A4"/>
    <w:rsid w:val="00112860"/>
    <w:rsid w:val="001F59C3"/>
    <w:rsid w:val="002552F5"/>
    <w:rsid w:val="003A09EB"/>
    <w:rsid w:val="004A53D4"/>
    <w:rsid w:val="00555313"/>
    <w:rsid w:val="0079091B"/>
    <w:rsid w:val="007E3A1D"/>
    <w:rsid w:val="00A773BA"/>
    <w:rsid w:val="00BE3330"/>
    <w:rsid w:val="00C47B24"/>
    <w:rsid w:val="00C531A9"/>
    <w:rsid w:val="00E1293A"/>
    <w:rsid w:val="00E40014"/>
    <w:rsid w:val="00E43B18"/>
    <w:rsid w:val="00E534A4"/>
    <w:rsid w:val="00F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47DE"/>
  <w15:chartTrackingRefBased/>
  <w15:docId w15:val="{F82AE806-5651-4846-851A-E9DFCB98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1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F59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59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59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59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5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3</cp:revision>
  <dcterms:created xsi:type="dcterms:W3CDTF">2024-10-29T20:23:00Z</dcterms:created>
  <dcterms:modified xsi:type="dcterms:W3CDTF">2024-10-29T20:29:00Z</dcterms:modified>
</cp:coreProperties>
</file>