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3B15" w14:textId="77777777" w:rsidR="008C1C1E" w:rsidRPr="008E69BD" w:rsidRDefault="00863406">
      <w:pPr>
        <w:widowControl w:val="0"/>
        <w:autoSpaceDE w:val="0"/>
        <w:autoSpaceDN w:val="0"/>
        <w:adjustRightInd w:val="0"/>
        <w:spacing w:after="0" w:line="240" w:lineRule="auto"/>
        <w:rPr>
          <w:rFonts w:ascii="Times New Roman" w:hAnsi="Times New Roman" w:cs="Times New Roman"/>
          <w:sz w:val="28"/>
          <w:szCs w:val="28"/>
        </w:rPr>
      </w:pPr>
      <w:r w:rsidRPr="008E69BD">
        <w:rPr>
          <w:rFonts w:ascii="Times New Roman" w:hAnsi="Times New Roman" w:cs="Times New Roman"/>
          <w:sz w:val="28"/>
          <w:szCs w:val="24"/>
        </w:rPr>
        <w:t xml:space="preserve"> </w:t>
      </w:r>
    </w:p>
    <w:p w14:paraId="35416361" w14:textId="77777777" w:rsidR="008C1C1E" w:rsidRPr="008E69BD" w:rsidRDefault="008C1C1E">
      <w:pPr>
        <w:widowControl w:val="0"/>
        <w:autoSpaceDE w:val="0"/>
        <w:autoSpaceDN w:val="0"/>
        <w:adjustRightInd w:val="0"/>
        <w:spacing w:after="0" w:line="240" w:lineRule="auto"/>
        <w:rPr>
          <w:rFonts w:ascii="Times New Roman" w:hAnsi="Times New Roman" w:cs="Times New Roman"/>
          <w:sz w:val="28"/>
          <w:szCs w:val="28"/>
        </w:rPr>
      </w:pPr>
    </w:p>
    <w:p w14:paraId="288E5668" w14:textId="77777777" w:rsidR="008C1C1E" w:rsidRPr="008E69BD" w:rsidRDefault="00863406">
      <w:pPr>
        <w:widowControl w:val="0"/>
        <w:autoSpaceDE w:val="0"/>
        <w:autoSpaceDN w:val="0"/>
        <w:adjustRightInd w:val="0"/>
        <w:spacing w:after="0" w:line="240" w:lineRule="auto"/>
        <w:jc w:val="center"/>
        <w:rPr>
          <w:rFonts w:ascii="Times New Roman" w:hAnsi="Times New Roman" w:cs="Times New Roman"/>
          <w:b/>
          <w:bCs/>
          <w:sz w:val="28"/>
          <w:szCs w:val="28"/>
        </w:rPr>
      </w:pPr>
      <w:r w:rsidRPr="008E69BD">
        <w:rPr>
          <w:rFonts w:ascii="Times New Roman" w:hAnsi="Times New Roman" w:cs="Times New Roman"/>
          <w:b/>
          <w:bCs/>
          <w:sz w:val="28"/>
          <w:szCs w:val="28"/>
        </w:rPr>
        <w:t xml:space="preserve">TEMAS-SUBTEMAS </w:t>
      </w:r>
    </w:p>
    <w:p w14:paraId="7795A945" w14:textId="77777777" w:rsidR="008C1C1E" w:rsidRPr="008E69BD" w:rsidRDefault="008C1C1E">
      <w:pPr>
        <w:widowControl w:val="0"/>
        <w:autoSpaceDE w:val="0"/>
        <w:autoSpaceDN w:val="0"/>
        <w:adjustRightInd w:val="0"/>
        <w:spacing w:after="0" w:line="240" w:lineRule="auto"/>
        <w:jc w:val="center"/>
        <w:rPr>
          <w:rFonts w:ascii="Times New Roman" w:hAnsi="Times New Roman" w:cs="Times New Roman"/>
          <w:b/>
          <w:bCs/>
          <w:sz w:val="28"/>
          <w:szCs w:val="28"/>
        </w:rPr>
      </w:pPr>
    </w:p>
    <w:p w14:paraId="438BC5EF" w14:textId="77777777" w:rsidR="008C1C1E" w:rsidRPr="008E69BD" w:rsidRDefault="00863406">
      <w:pPr>
        <w:widowControl w:val="0"/>
        <w:autoSpaceDE w:val="0"/>
        <w:autoSpaceDN w:val="0"/>
        <w:adjustRightInd w:val="0"/>
        <w:spacing w:after="0" w:line="240" w:lineRule="auto"/>
        <w:jc w:val="center"/>
        <w:rPr>
          <w:rFonts w:ascii="Times New Roman" w:hAnsi="Times New Roman" w:cs="Times New Roman"/>
          <w:sz w:val="28"/>
          <w:szCs w:val="28"/>
        </w:rPr>
      </w:pPr>
      <w:r w:rsidRPr="008E69BD">
        <w:rPr>
          <w:rFonts w:ascii="Times New Roman" w:hAnsi="Times New Roman" w:cs="Times New Roman"/>
          <w:b/>
          <w:bCs/>
          <w:sz w:val="28"/>
          <w:szCs w:val="28"/>
        </w:rPr>
        <w:t xml:space="preserve">Auto A-2574/23 </w:t>
      </w:r>
    </w:p>
    <w:p w14:paraId="6435440E" w14:textId="77777777" w:rsidR="008C1C1E" w:rsidRPr="008E69BD" w:rsidRDefault="008C1C1E">
      <w:pPr>
        <w:widowControl w:val="0"/>
        <w:autoSpaceDE w:val="0"/>
        <w:autoSpaceDN w:val="0"/>
        <w:adjustRightInd w:val="0"/>
        <w:spacing w:after="0" w:line="240" w:lineRule="auto"/>
        <w:jc w:val="both"/>
        <w:rPr>
          <w:rFonts w:ascii="Times New Roman" w:hAnsi="Times New Roman" w:cs="Times New Roman"/>
          <w:sz w:val="28"/>
          <w:szCs w:val="28"/>
        </w:rPr>
      </w:pPr>
    </w:p>
    <w:p w14:paraId="6A80ABF1" w14:textId="77777777" w:rsidR="008C1C1E" w:rsidRPr="008E69BD" w:rsidRDefault="00863406">
      <w:pPr>
        <w:widowControl w:val="0"/>
        <w:autoSpaceDE w:val="0"/>
        <w:autoSpaceDN w:val="0"/>
        <w:adjustRightInd w:val="0"/>
        <w:spacing w:after="0" w:line="240" w:lineRule="auto"/>
        <w:jc w:val="both"/>
        <w:rPr>
          <w:rFonts w:ascii="Times New Roman" w:hAnsi="Times New Roman" w:cs="Times New Roman"/>
          <w:sz w:val="28"/>
          <w:szCs w:val="28"/>
        </w:rPr>
      </w:pPr>
      <w:r w:rsidRPr="008E69BD">
        <w:rPr>
          <w:rFonts w:ascii="Times New Roman" w:hAnsi="Times New Roman" w:cs="Times New Roman"/>
          <w:b/>
          <w:bCs/>
          <w:sz w:val="28"/>
          <w:szCs w:val="28"/>
        </w:rPr>
        <w:t>COMPETENCIA DE LA JURISDICCIÓN CONTENCIOSO ADMINISTRATIVA</w:t>
      </w:r>
      <w:r w:rsidRPr="008E69BD">
        <w:rPr>
          <w:rFonts w:ascii="Times New Roman" w:hAnsi="Times New Roman" w:cs="Times New Roman"/>
          <w:sz w:val="28"/>
          <w:szCs w:val="28"/>
        </w:rPr>
        <w:t xml:space="preserve">-Controversias sobre recobros de prestaciones no incluidas en el plan de beneficios de salud-PBS </w:t>
      </w:r>
    </w:p>
    <w:p w14:paraId="65513B1A" w14:textId="77777777" w:rsidR="008C1C1E" w:rsidRPr="008E69BD" w:rsidRDefault="008C1C1E">
      <w:pPr>
        <w:widowControl w:val="0"/>
        <w:autoSpaceDE w:val="0"/>
        <w:autoSpaceDN w:val="0"/>
        <w:adjustRightInd w:val="0"/>
        <w:spacing w:after="0" w:line="240" w:lineRule="auto"/>
        <w:jc w:val="both"/>
        <w:rPr>
          <w:rFonts w:ascii="Times New Roman" w:hAnsi="Times New Roman" w:cs="Times New Roman"/>
          <w:sz w:val="28"/>
          <w:szCs w:val="28"/>
        </w:rPr>
      </w:pPr>
    </w:p>
    <w:p w14:paraId="78554CA1" w14:textId="77777777" w:rsidR="008C1C1E" w:rsidRPr="008E69BD" w:rsidRDefault="00000000">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2ED1D323">
          <v:rect id="_x0000_i1025" style="width:0;height:1.5pt" o:hralign="center" o:hrstd="t" o:hr="t" fillcolor="#a0a0a0" stroked="f"/>
        </w:pict>
      </w:r>
    </w:p>
    <w:p w14:paraId="7B69A3D0" w14:textId="77777777" w:rsidR="00000000" w:rsidRPr="008E69BD" w:rsidRDefault="008E69BD" w:rsidP="00C30E1C">
      <w:pPr>
        <w:jc w:val="center"/>
        <w:rPr>
          <w:rFonts w:ascii="Times New Roman" w:hAnsi="Times New Roman" w:cs="Times New Roman"/>
          <w:b/>
          <w:bCs/>
          <w:sz w:val="28"/>
          <w:szCs w:val="28"/>
          <w:lang w:val="es-ES_tradnl"/>
        </w:rPr>
      </w:pPr>
      <w:r w:rsidRPr="008E69BD">
        <w:rPr>
          <w:rFonts w:ascii="Times New Roman" w:hAnsi="Times New Roman" w:cs="Times New Roman"/>
          <w:b/>
          <w:bCs/>
          <w:sz w:val="28"/>
          <w:szCs w:val="28"/>
          <w:lang w:val="es-ES_tradnl"/>
        </w:rPr>
        <w:t>REPÚBLICA DE COLOMBIA</w:t>
      </w:r>
    </w:p>
    <w:p w14:paraId="1EBE4EFC" w14:textId="77777777" w:rsidR="00000000" w:rsidRPr="008E69BD" w:rsidRDefault="008E69BD" w:rsidP="00C30E1C">
      <w:pPr>
        <w:jc w:val="center"/>
        <w:rPr>
          <w:rFonts w:ascii="Times New Roman" w:hAnsi="Times New Roman" w:cs="Times New Roman"/>
          <w:b/>
          <w:bCs/>
          <w:sz w:val="28"/>
          <w:szCs w:val="28"/>
          <w:lang w:val="es-ES_tradnl"/>
        </w:rPr>
      </w:pPr>
      <w:r w:rsidRPr="008E69BD">
        <w:rPr>
          <w:rFonts w:ascii="Times New Roman" w:hAnsi="Times New Roman" w:cs="Times New Roman"/>
          <w:b/>
          <w:bCs/>
          <w:noProof/>
          <w:sz w:val="28"/>
          <w:szCs w:val="28"/>
        </w:rPr>
        <w:drawing>
          <wp:inline distT="0" distB="0" distL="0" distR="0" wp14:anchorId="429DB49D" wp14:editId="3726CF24">
            <wp:extent cx="786765" cy="733425"/>
            <wp:effectExtent l="0" t="0" r="0"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765" cy="733425"/>
                    </a:xfrm>
                    <a:prstGeom prst="rect">
                      <a:avLst/>
                    </a:prstGeom>
                    <a:noFill/>
                  </pic:spPr>
                </pic:pic>
              </a:graphicData>
            </a:graphic>
          </wp:inline>
        </w:drawing>
      </w:r>
    </w:p>
    <w:p w14:paraId="05E8ED19" w14:textId="77777777" w:rsidR="00000000" w:rsidRPr="008E69BD" w:rsidRDefault="008E69BD" w:rsidP="00C30E1C">
      <w:pPr>
        <w:jc w:val="center"/>
        <w:rPr>
          <w:rFonts w:ascii="Times New Roman" w:hAnsi="Times New Roman" w:cs="Times New Roman"/>
          <w:b/>
          <w:bCs/>
          <w:sz w:val="28"/>
          <w:szCs w:val="28"/>
          <w:lang w:val="es-ES_tradnl"/>
        </w:rPr>
      </w:pPr>
      <w:r w:rsidRPr="008E69BD">
        <w:rPr>
          <w:rFonts w:ascii="Times New Roman" w:hAnsi="Times New Roman" w:cs="Times New Roman"/>
          <w:b/>
          <w:bCs/>
          <w:sz w:val="28"/>
          <w:szCs w:val="28"/>
          <w:lang w:val="es-ES_tradnl"/>
        </w:rPr>
        <w:t>CORTE CONSTITUCIONAL</w:t>
      </w:r>
    </w:p>
    <w:p w14:paraId="53DC7980" w14:textId="77777777" w:rsidR="00000000" w:rsidRPr="008E69BD" w:rsidRDefault="008E69BD" w:rsidP="00C30E1C">
      <w:pPr>
        <w:jc w:val="center"/>
        <w:rPr>
          <w:rFonts w:ascii="Times New Roman" w:hAnsi="Times New Roman" w:cs="Times New Roman"/>
          <w:b/>
          <w:bCs/>
          <w:sz w:val="28"/>
          <w:szCs w:val="28"/>
          <w:lang w:val="es-ES_tradnl"/>
        </w:rPr>
      </w:pPr>
      <w:r w:rsidRPr="008E69BD">
        <w:rPr>
          <w:rFonts w:ascii="Times New Roman" w:hAnsi="Times New Roman" w:cs="Times New Roman"/>
          <w:b/>
          <w:bCs/>
          <w:sz w:val="28"/>
          <w:szCs w:val="28"/>
          <w:lang w:val="es-ES_tradnl"/>
        </w:rPr>
        <w:t>SALA PLENA</w:t>
      </w:r>
    </w:p>
    <w:p w14:paraId="4C2DFDCA" w14:textId="77777777" w:rsidR="00000000" w:rsidRPr="008E69BD" w:rsidRDefault="00000000" w:rsidP="00C30E1C">
      <w:pPr>
        <w:jc w:val="center"/>
        <w:rPr>
          <w:rFonts w:ascii="Times New Roman" w:hAnsi="Times New Roman" w:cs="Times New Roman"/>
          <w:b/>
          <w:bCs/>
          <w:sz w:val="28"/>
          <w:szCs w:val="28"/>
          <w:lang w:val="es-ES_tradnl"/>
        </w:rPr>
      </w:pPr>
    </w:p>
    <w:p w14:paraId="1B6E0381" w14:textId="77777777" w:rsidR="00000000" w:rsidRPr="008E69BD" w:rsidRDefault="008E69BD" w:rsidP="00C30E1C">
      <w:pPr>
        <w:jc w:val="center"/>
        <w:rPr>
          <w:rFonts w:ascii="Times New Roman" w:hAnsi="Times New Roman" w:cs="Times New Roman"/>
          <w:b/>
          <w:bCs/>
          <w:sz w:val="28"/>
          <w:szCs w:val="28"/>
          <w:lang w:val="es-ES_tradnl"/>
        </w:rPr>
      </w:pPr>
      <w:r w:rsidRPr="008E69BD">
        <w:rPr>
          <w:rFonts w:ascii="Times New Roman" w:hAnsi="Times New Roman" w:cs="Times New Roman"/>
          <w:b/>
          <w:bCs/>
          <w:sz w:val="28"/>
          <w:szCs w:val="28"/>
          <w:lang w:val="es-ES_tradnl"/>
        </w:rPr>
        <w:t>AUTO 2574 DE 2023</w:t>
      </w:r>
    </w:p>
    <w:p w14:paraId="66892C86" w14:textId="77777777" w:rsidR="00000000" w:rsidRPr="008E69BD" w:rsidRDefault="00000000" w:rsidP="00C30E1C">
      <w:pPr>
        <w:jc w:val="both"/>
        <w:rPr>
          <w:rFonts w:ascii="Times New Roman" w:hAnsi="Times New Roman" w:cs="Times New Roman"/>
          <w:sz w:val="28"/>
          <w:szCs w:val="28"/>
          <w:lang w:val="pt-BR"/>
        </w:rPr>
      </w:pPr>
    </w:p>
    <w:p w14:paraId="377E0784" w14:textId="77777777" w:rsidR="00000000" w:rsidRPr="008E69BD" w:rsidRDefault="008E69BD" w:rsidP="00C30E1C">
      <w:pPr>
        <w:ind w:left="3828"/>
        <w:jc w:val="both"/>
        <w:rPr>
          <w:rFonts w:ascii="Times New Roman" w:hAnsi="Times New Roman" w:cs="Times New Roman"/>
          <w:sz w:val="28"/>
          <w:szCs w:val="28"/>
        </w:rPr>
      </w:pPr>
      <w:r w:rsidRPr="008E69BD">
        <w:rPr>
          <w:rFonts w:ascii="Times New Roman" w:hAnsi="Times New Roman" w:cs="Times New Roman"/>
          <w:b/>
          <w:sz w:val="28"/>
          <w:szCs w:val="28"/>
        </w:rPr>
        <w:t>Referencia</w:t>
      </w:r>
      <w:r w:rsidRPr="008E69BD">
        <w:rPr>
          <w:rFonts w:ascii="Times New Roman" w:hAnsi="Times New Roman" w:cs="Times New Roman"/>
          <w:sz w:val="28"/>
          <w:szCs w:val="28"/>
        </w:rPr>
        <w:t>: Expediente CJU-2545</w:t>
      </w:r>
    </w:p>
    <w:p w14:paraId="78F32FF0" w14:textId="77777777" w:rsidR="00000000" w:rsidRPr="008E69BD" w:rsidRDefault="00000000" w:rsidP="00C30E1C">
      <w:pPr>
        <w:ind w:left="3828"/>
        <w:jc w:val="both"/>
        <w:rPr>
          <w:rFonts w:ascii="Times New Roman" w:hAnsi="Times New Roman" w:cs="Times New Roman"/>
          <w:sz w:val="28"/>
          <w:szCs w:val="28"/>
        </w:rPr>
      </w:pPr>
    </w:p>
    <w:p w14:paraId="2482F3FD" w14:textId="77777777" w:rsidR="00000000" w:rsidRPr="008E69BD" w:rsidRDefault="008E69BD" w:rsidP="004757E7">
      <w:pPr>
        <w:ind w:left="3828"/>
        <w:jc w:val="both"/>
        <w:rPr>
          <w:rFonts w:ascii="Times New Roman" w:hAnsi="Times New Roman" w:cs="Times New Roman"/>
          <w:sz w:val="28"/>
          <w:szCs w:val="28"/>
        </w:rPr>
      </w:pPr>
      <w:r w:rsidRPr="008E69BD">
        <w:rPr>
          <w:rFonts w:ascii="Times New Roman" w:hAnsi="Times New Roman" w:cs="Times New Roman"/>
          <w:sz w:val="28"/>
          <w:szCs w:val="28"/>
        </w:rPr>
        <w:t>Conflicto de jurisdicciones suscitado entre el Juzgado 15 Administrativo de Descongestión del Circuito de Bogotá y el Juzgado 24 Laboral del Circuito de la misma ciudad</w:t>
      </w:r>
    </w:p>
    <w:p w14:paraId="4ED6F6AB" w14:textId="77777777" w:rsidR="00000000" w:rsidRPr="008E69BD" w:rsidRDefault="00000000" w:rsidP="003942F6">
      <w:pPr>
        <w:ind w:left="3828"/>
        <w:rPr>
          <w:rFonts w:ascii="Times New Roman" w:hAnsi="Times New Roman" w:cs="Times New Roman"/>
          <w:sz w:val="28"/>
          <w:szCs w:val="28"/>
        </w:rPr>
      </w:pPr>
    </w:p>
    <w:p w14:paraId="27C1DC15" w14:textId="77777777" w:rsidR="00000000" w:rsidRPr="008E69BD" w:rsidRDefault="008E69BD" w:rsidP="00C30E1C">
      <w:pPr>
        <w:ind w:left="3828"/>
        <w:jc w:val="both"/>
        <w:rPr>
          <w:rFonts w:ascii="Times New Roman" w:hAnsi="Times New Roman" w:cs="Times New Roman"/>
          <w:b/>
          <w:sz w:val="28"/>
          <w:szCs w:val="28"/>
        </w:rPr>
      </w:pPr>
      <w:r w:rsidRPr="008E69BD">
        <w:rPr>
          <w:rFonts w:ascii="Times New Roman" w:hAnsi="Times New Roman" w:cs="Times New Roman"/>
          <w:b/>
          <w:sz w:val="28"/>
          <w:szCs w:val="28"/>
        </w:rPr>
        <w:t>Magistrado sustanciador:</w:t>
      </w:r>
    </w:p>
    <w:p w14:paraId="5324E2ED" w14:textId="77777777" w:rsidR="00000000" w:rsidRPr="008E69BD" w:rsidRDefault="008E69BD" w:rsidP="00C30E1C">
      <w:pPr>
        <w:ind w:left="3828"/>
        <w:jc w:val="both"/>
        <w:rPr>
          <w:rFonts w:ascii="Times New Roman" w:hAnsi="Times New Roman" w:cs="Times New Roman"/>
          <w:sz w:val="28"/>
          <w:szCs w:val="28"/>
        </w:rPr>
      </w:pPr>
      <w:r w:rsidRPr="008E69BD">
        <w:rPr>
          <w:rFonts w:ascii="Times New Roman" w:hAnsi="Times New Roman" w:cs="Times New Roman"/>
          <w:sz w:val="28"/>
          <w:szCs w:val="28"/>
        </w:rPr>
        <w:t>ALEJANDRO LINARES CANTILLO</w:t>
      </w:r>
    </w:p>
    <w:p w14:paraId="49227B02" w14:textId="77777777" w:rsidR="00000000" w:rsidRPr="008E69BD" w:rsidRDefault="00000000" w:rsidP="00C30E1C">
      <w:pPr>
        <w:jc w:val="both"/>
        <w:rPr>
          <w:rFonts w:ascii="Times New Roman" w:hAnsi="Times New Roman" w:cs="Times New Roman"/>
          <w:sz w:val="28"/>
        </w:rPr>
      </w:pPr>
    </w:p>
    <w:p w14:paraId="4AD5DE8F" w14:textId="77777777" w:rsidR="00000000" w:rsidRPr="008E69BD" w:rsidRDefault="008E69BD" w:rsidP="00C30E1C">
      <w:pPr>
        <w:jc w:val="both"/>
        <w:rPr>
          <w:rFonts w:ascii="Times New Roman" w:hAnsi="Times New Roman" w:cs="Times New Roman"/>
          <w:sz w:val="28"/>
          <w:szCs w:val="28"/>
        </w:rPr>
      </w:pPr>
      <w:r w:rsidRPr="008E69BD">
        <w:rPr>
          <w:rFonts w:ascii="Times New Roman" w:hAnsi="Times New Roman" w:cs="Times New Roman"/>
          <w:sz w:val="28"/>
          <w:szCs w:val="28"/>
        </w:rPr>
        <w:lastRenderedPageBreak/>
        <w:t>Bogotá D.C., dieciocho (18) de octubre de dos mil veintitrés (2023)</w:t>
      </w:r>
    </w:p>
    <w:p w14:paraId="09C7DDD5" w14:textId="77777777" w:rsidR="00000000" w:rsidRPr="008E69BD" w:rsidRDefault="00000000" w:rsidP="00C30E1C">
      <w:pPr>
        <w:pStyle w:val="Style6"/>
        <w:widowControl/>
        <w:spacing w:line="240" w:lineRule="auto"/>
        <w:rPr>
          <w:rFonts w:ascii="Times New Roman" w:hAnsi="Times New Roman" w:cs="Times New Roman"/>
          <w:sz w:val="28"/>
          <w:szCs w:val="28"/>
        </w:rPr>
      </w:pPr>
    </w:p>
    <w:p w14:paraId="5395EB9A" w14:textId="77777777" w:rsidR="00000000" w:rsidRPr="008E69BD" w:rsidRDefault="008E69BD" w:rsidP="001B7327">
      <w:pPr>
        <w:pStyle w:val="Style6"/>
        <w:widowControl/>
        <w:spacing w:line="240" w:lineRule="auto"/>
        <w:rPr>
          <w:rFonts w:ascii="Times New Roman" w:hAnsi="Times New Roman" w:cs="Times New Roman"/>
          <w:sz w:val="28"/>
          <w:szCs w:val="28"/>
        </w:rPr>
      </w:pPr>
      <w:r w:rsidRPr="008E69BD">
        <w:rPr>
          <w:rFonts w:ascii="Times New Roman" w:hAnsi="Times New Roman" w:cs="Times New Roman"/>
          <w:sz w:val="28"/>
          <w:szCs w:val="28"/>
        </w:rPr>
        <w:t>La Sala Plena de la Corte Constitucional, en cumplimiento de sus atribuciones constitucionales, en particular, la prevista por el numeral 11 del artículo 241 de la Constitución Política, profiere el siguiente</w:t>
      </w:r>
    </w:p>
    <w:p w14:paraId="397C47C4" w14:textId="77777777" w:rsidR="00000000" w:rsidRPr="008E69BD" w:rsidRDefault="00000000" w:rsidP="00C30E1C">
      <w:pPr>
        <w:pStyle w:val="Sinespaciado"/>
        <w:jc w:val="both"/>
        <w:rPr>
          <w:lang w:val="es-CO" w:eastAsia="es-ES_tradnl"/>
        </w:rPr>
      </w:pPr>
    </w:p>
    <w:p w14:paraId="6FD9F55B" w14:textId="77777777" w:rsidR="00000000" w:rsidRPr="008E69BD" w:rsidRDefault="008E69BD" w:rsidP="00C30E1C">
      <w:pPr>
        <w:pStyle w:val="Style2"/>
        <w:widowControl/>
        <w:spacing w:line="240" w:lineRule="auto"/>
        <w:rPr>
          <w:rStyle w:val="FontStyle11"/>
          <w:sz w:val="28"/>
          <w:szCs w:val="28"/>
          <w:lang w:eastAsia="es-ES_tradnl"/>
        </w:rPr>
      </w:pPr>
      <w:r w:rsidRPr="008E69BD">
        <w:rPr>
          <w:rStyle w:val="FontStyle11"/>
          <w:sz w:val="28"/>
          <w:szCs w:val="28"/>
          <w:lang w:eastAsia="es-ES_tradnl"/>
        </w:rPr>
        <w:t>AUTO</w:t>
      </w:r>
    </w:p>
    <w:p w14:paraId="17A68505" w14:textId="77777777" w:rsidR="00000000" w:rsidRPr="008E69BD" w:rsidRDefault="00000000" w:rsidP="00C30E1C">
      <w:pPr>
        <w:pStyle w:val="Style2"/>
        <w:widowControl/>
        <w:spacing w:line="240" w:lineRule="auto"/>
        <w:jc w:val="both"/>
        <w:rPr>
          <w:rStyle w:val="FontStyle11"/>
          <w:sz w:val="28"/>
          <w:szCs w:val="28"/>
          <w:lang w:eastAsia="es-ES_tradnl"/>
        </w:rPr>
      </w:pPr>
    </w:p>
    <w:p w14:paraId="6A49C617" w14:textId="77777777" w:rsidR="00000000" w:rsidRPr="008E69BD" w:rsidRDefault="008E69BD" w:rsidP="00C30E1C">
      <w:pPr>
        <w:pStyle w:val="Style5"/>
        <w:widowControl/>
        <w:numPr>
          <w:ilvl w:val="0"/>
          <w:numId w:val="1"/>
        </w:numPr>
        <w:jc w:val="both"/>
        <w:rPr>
          <w:rStyle w:val="FontStyle11"/>
          <w:sz w:val="28"/>
          <w:szCs w:val="28"/>
          <w:lang w:eastAsia="es-ES_tradnl"/>
        </w:rPr>
      </w:pPr>
      <w:r w:rsidRPr="008E69BD">
        <w:rPr>
          <w:rStyle w:val="FontStyle11"/>
          <w:sz w:val="28"/>
          <w:szCs w:val="28"/>
          <w:lang w:eastAsia="es-ES_tradnl"/>
        </w:rPr>
        <w:t xml:space="preserve">ANTECEDENTES </w:t>
      </w:r>
    </w:p>
    <w:p w14:paraId="2B413FD1" w14:textId="77777777" w:rsidR="00000000" w:rsidRPr="008E69BD" w:rsidRDefault="00000000" w:rsidP="00C30E1C">
      <w:pPr>
        <w:pStyle w:val="Sinespaciado"/>
        <w:jc w:val="both"/>
        <w:rPr>
          <w:rStyle w:val="FontStyle11"/>
          <w:b w:val="0"/>
          <w:sz w:val="28"/>
          <w:szCs w:val="28"/>
          <w:lang w:val="es-ES_tradnl" w:eastAsia="es-ES_tradnl"/>
        </w:rPr>
      </w:pPr>
    </w:p>
    <w:p w14:paraId="0139F824" w14:textId="77777777" w:rsidR="00000000" w:rsidRPr="008E69BD" w:rsidRDefault="008E69BD" w:rsidP="0099231A">
      <w:pPr>
        <w:pStyle w:val="Prrafodelista"/>
        <w:numPr>
          <w:ilvl w:val="1"/>
          <w:numId w:val="1"/>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sz w:val="28"/>
          <w:szCs w:val="28"/>
          <w:lang w:val="es-ES"/>
        </w:rPr>
        <w:t>El 25 de agosto de 2014, Sanitas EPS instauró, a través del medio a través del medio de control de reparación directa, demanda en contra de la Nación (Ministerio de Salud y Protección Social)</w:t>
      </w:r>
      <w:r w:rsidRPr="008E69BD">
        <w:rPr>
          <w:rStyle w:val="Refdenotaalpie"/>
          <w:rFonts w:ascii="Times New Roman" w:hAnsi="Times New Roman" w:cs="Times New Roman"/>
          <w:sz w:val="28"/>
          <w:szCs w:val="24"/>
          <w:lang w:val="es-ES"/>
        </w:rPr>
        <w:footnoteReference w:id="1"/>
      </w:r>
      <w:r w:rsidRPr="008E69BD">
        <w:rPr>
          <w:rFonts w:ascii="Times New Roman" w:hAnsi="Times New Roman" w:cs="Times New Roman"/>
          <w:sz w:val="28"/>
          <w:szCs w:val="28"/>
          <w:lang w:val="es-ES"/>
        </w:rPr>
        <w:t xml:space="preserve">, en </w:t>
      </w:r>
      <w:r w:rsidRPr="008E69BD">
        <w:rPr>
          <w:rFonts w:ascii="Times New Roman" w:hAnsi="Times New Roman" w:cs="Times New Roman"/>
          <w:color w:val="0D0D0D"/>
          <w:sz w:val="28"/>
          <w:szCs w:val="28"/>
          <w:shd w:val="clear" w:color="auto" w:fill="FFFFFF"/>
          <w:lang w:val="es-ES_tradnl"/>
        </w:rPr>
        <w:t>aras de reclamar el pago de $ 276.924.831, por los perjuicios causados por la falta de reconocimiento y de pago de 21 recobros correspondientes a la cobertura y suministro de medicamentos no incluidos en el Plan Obligatorio de Salud (en adelante, “</w:t>
      </w:r>
      <w:r w:rsidRPr="008E69BD">
        <w:rPr>
          <w:rFonts w:ascii="Times New Roman" w:hAnsi="Times New Roman" w:cs="Times New Roman"/>
          <w:i/>
          <w:iCs/>
          <w:color w:val="0D0D0D"/>
          <w:sz w:val="28"/>
          <w:szCs w:val="28"/>
          <w:u w:val="single"/>
          <w:shd w:val="clear" w:color="auto" w:fill="FFFFFF"/>
          <w:lang w:val="es-ES_tradnl"/>
        </w:rPr>
        <w:t>POS</w:t>
      </w:r>
      <w:r w:rsidRPr="008E69BD">
        <w:rPr>
          <w:rFonts w:ascii="Times New Roman" w:hAnsi="Times New Roman" w:cs="Times New Roman"/>
          <w:color w:val="0D0D0D"/>
          <w:sz w:val="28"/>
          <w:szCs w:val="28"/>
          <w:shd w:val="clear" w:color="auto" w:fill="FFFFFF"/>
          <w:lang w:val="es-ES_tradnl"/>
        </w:rPr>
        <w:t>”), hoy Plan de Beneficios en Salud (en adelante, “</w:t>
      </w:r>
      <w:r w:rsidRPr="008E69BD">
        <w:rPr>
          <w:rFonts w:ascii="Times New Roman" w:hAnsi="Times New Roman" w:cs="Times New Roman"/>
          <w:i/>
          <w:iCs/>
          <w:color w:val="0D0D0D"/>
          <w:sz w:val="28"/>
          <w:szCs w:val="28"/>
          <w:u w:val="single"/>
          <w:shd w:val="clear" w:color="auto" w:fill="FFFFFF"/>
          <w:lang w:val="es-ES_tradnl"/>
        </w:rPr>
        <w:t>PBS</w:t>
      </w:r>
      <w:r w:rsidRPr="008E69BD">
        <w:rPr>
          <w:rFonts w:ascii="Times New Roman" w:hAnsi="Times New Roman" w:cs="Times New Roman"/>
          <w:color w:val="0D0D0D"/>
          <w:sz w:val="28"/>
          <w:szCs w:val="28"/>
          <w:shd w:val="clear" w:color="auto" w:fill="FFFFFF"/>
          <w:lang w:val="es-ES_tradnl"/>
        </w:rPr>
        <w:t>”), y el 10 % causados por gastos administrativos de recobros.</w:t>
      </w:r>
    </w:p>
    <w:p w14:paraId="27F12DEF" w14:textId="77777777" w:rsidR="00000000" w:rsidRPr="008E69BD" w:rsidRDefault="00000000" w:rsidP="004918C1">
      <w:pPr>
        <w:pStyle w:val="Prrafodelista"/>
        <w:tabs>
          <w:tab w:val="left" w:pos="6236"/>
        </w:tabs>
        <w:spacing w:after="0" w:line="240" w:lineRule="auto"/>
        <w:ind w:left="0"/>
        <w:jc w:val="both"/>
        <w:rPr>
          <w:rFonts w:ascii="Times New Roman" w:hAnsi="Times New Roman" w:cs="Times New Roman"/>
          <w:i/>
          <w:iCs/>
          <w:sz w:val="28"/>
          <w:szCs w:val="28"/>
        </w:rPr>
      </w:pPr>
    </w:p>
    <w:p w14:paraId="6A7BEDC8" w14:textId="77777777" w:rsidR="00000000" w:rsidRPr="008E69BD" w:rsidRDefault="008E69BD" w:rsidP="00C30E1C">
      <w:pPr>
        <w:pStyle w:val="Prrafodelista"/>
        <w:numPr>
          <w:ilvl w:val="1"/>
          <w:numId w:val="1"/>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color w:val="0D0D0D"/>
          <w:sz w:val="28"/>
          <w:szCs w:val="28"/>
          <w:shd w:val="clear" w:color="auto" w:fill="FFFFFF"/>
          <w:lang w:val="es-ES_tradnl"/>
        </w:rPr>
        <w:t>En la demanda, Sanitas EPS afirmó que las sumas de dinero pretendidas las asumió en cumplimiento de fallos de tutela y/o autorizaciones emitidas por el entonces Comité Técnico Científico (en adelante, “</w:t>
      </w:r>
      <w:r w:rsidRPr="008E69BD">
        <w:rPr>
          <w:rFonts w:ascii="Times New Roman" w:hAnsi="Times New Roman" w:cs="Times New Roman"/>
          <w:i/>
          <w:iCs/>
          <w:color w:val="0D0D0D"/>
          <w:sz w:val="28"/>
          <w:szCs w:val="28"/>
          <w:u w:val="single"/>
          <w:shd w:val="clear" w:color="auto" w:fill="FFFFFF"/>
          <w:lang w:val="es-ES_tradnl"/>
        </w:rPr>
        <w:t>CTC</w:t>
      </w:r>
      <w:r w:rsidRPr="008E69BD">
        <w:rPr>
          <w:rFonts w:ascii="Times New Roman" w:hAnsi="Times New Roman" w:cs="Times New Roman"/>
          <w:color w:val="0D0D0D"/>
          <w:sz w:val="28"/>
          <w:szCs w:val="28"/>
          <w:shd w:val="clear" w:color="auto" w:fill="FFFFFF"/>
          <w:lang w:val="es-ES_tradnl"/>
        </w:rPr>
        <w:t>”), las cuales fueron reclamadas a través del procedimiento administrativo especial de recobros ante el Ministerio de Salud y Protección Social, representado por el consorcio administrador del FOSYGA</w:t>
      </w:r>
      <w:r w:rsidRPr="008E69BD">
        <w:rPr>
          <w:rStyle w:val="Refdenotaalpie"/>
          <w:rFonts w:ascii="Times New Roman" w:hAnsi="Times New Roman" w:cs="Times New Roman"/>
          <w:color w:val="0D0D0D"/>
          <w:sz w:val="28"/>
          <w:szCs w:val="24"/>
          <w:shd w:val="clear" w:color="auto" w:fill="FFFFFF"/>
          <w:lang w:val="es-ES_tradnl"/>
        </w:rPr>
        <w:footnoteReference w:id="2"/>
      </w:r>
      <w:r w:rsidRPr="008E69BD">
        <w:rPr>
          <w:rFonts w:ascii="Times New Roman" w:hAnsi="Times New Roman" w:cs="Times New Roman"/>
          <w:color w:val="0D0D0D"/>
          <w:sz w:val="28"/>
          <w:szCs w:val="28"/>
          <w:shd w:val="clear" w:color="auto" w:fill="FFFFFF"/>
          <w:lang w:val="es-ES_tradnl"/>
        </w:rPr>
        <w:t>, entidad que decidió negar el pago mediante la imposición de glosas y la devolución de las solicitudes de recobro por diferentes causales.</w:t>
      </w:r>
    </w:p>
    <w:p w14:paraId="2F5E13B2" w14:textId="77777777" w:rsidR="00000000" w:rsidRPr="008E69BD" w:rsidRDefault="00000000" w:rsidP="00C30E1C">
      <w:pPr>
        <w:pStyle w:val="Prrafodelista"/>
        <w:spacing w:after="0" w:line="240" w:lineRule="auto"/>
        <w:ind w:left="0"/>
        <w:jc w:val="both"/>
        <w:rPr>
          <w:rFonts w:ascii="Times New Roman" w:hAnsi="Times New Roman" w:cs="Times New Roman"/>
          <w:i/>
          <w:iCs/>
          <w:sz w:val="28"/>
          <w:szCs w:val="28"/>
        </w:rPr>
      </w:pPr>
    </w:p>
    <w:p w14:paraId="47266363" w14:textId="77777777" w:rsidR="00000000" w:rsidRPr="008E69BD" w:rsidRDefault="008E69BD" w:rsidP="00827A42">
      <w:pPr>
        <w:pStyle w:val="Prrafodelista"/>
        <w:numPr>
          <w:ilvl w:val="1"/>
          <w:numId w:val="1"/>
        </w:numPr>
        <w:spacing w:after="0" w:line="240" w:lineRule="auto"/>
        <w:ind w:left="0" w:firstLine="0"/>
        <w:jc w:val="both"/>
        <w:rPr>
          <w:rFonts w:ascii="Times New Roman" w:hAnsi="Times New Roman" w:cs="Times New Roman"/>
          <w:sz w:val="28"/>
          <w:szCs w:val="28"/>
        </w:rPr>
      </w:pPr>
      <w:r w:rsidRPr="008E69BD">
        <w:rPr>
          <w:rFonts w:ascii="Times New Roman" w:hAnsi="Times New Roman" w:cs="Times New Roman"/>
          <w:sz w:val="28"/>
          <w:szCs w:val="28"/>
        </w:rPr>
        <w:lastRenderedPageBreak/>
        <w:t>El 24 de octubre de 2014, el Juzgado 15 Administrativo de Descongestión del Circuito de Bogotá declaró su falta de jurisdicción para conocer de la demanda y remitió el asunto a los jueces laborales del circuito de Bogotá. En su criterio, la competencia para conocer de estos procesos recae en la Jurisdicción Ordinaria, por tratarse de una controversia supeditada al Sistema de Seguridad Social Integral, conforme con pronunciamientos del Consejo Superior de la Judicatura y lo dispuesto en el artículo 2.4 del Código Procesal del Trabajo y de la Seguridad Social (en adelante, “</w:t>
      </w:r>
      <w:r w:rsidRPr="008E69BD">
        <w:rPr>
          <w:rFonts w:ascii="Times New Roman" w:hAnsi="Times New Roman" w:cs="Times New Roman"/>
          <w:i/>
          <w:iCs/>
          <w:sz w:val="28"/>
          <w:szCs w:val="28"/>
          <w:u w:val="single"/>
        </w:rPr>
        <w:t>CPTSS</w:t>
      </w:r>
      <w:r w:rsidRPr="008E69BD">
        <w:rPr>
          <w:rFonts w:ascii="Times New Roman" w:hAnsi="Times New Roman" w:cs="Times New Roman"/>
          <w:sz w:val="28"/>
          <w:szCs w:val="28"/>
        </w:rPr>
        <w:t>”)</w:t>
      </w:r>
      <w:r w:rsidRPr="008E69BD">
        <w:rPr>
          <w:rStyle w:val="Refdenotaalpie"/>
          <w:rFonts w:ascii="Times New Roman" w:hAnsi="Times New Roman" w:cs="Times New Roman"/>
          <w:sz w:val="28"/>
          <w:szCs w:val="24"/>
        </w:rPr>
        <w:footnoteReference w:id="3"/>
      </w:r>
      <w:r w:rsidRPr="008E69BD">
        <w:rPr>
          <w:rFonts w:ascii="Times New Roman" w:hAnsi="Times New Roman" w:cs="Times New Roman"/>
          <w:sz w:val="28"/>
          <w:szCs w:val="28"/>
        </w:rPr>
        <w:t>.</w:t>
      </w:r>
    </w:p>
    <w:p w14:paraId="26BFB0FF" w14:textId="77777777" w:rsidR="00000000" w:rsidRPr="008E69BD" w:rsidRDefault="00000000" w:rsidP="00D566DB">
      <w:pPr>
        <w:rPr>
          <w:rFonts w:ascii="Times New Roman" w:hAnsi="Times New Roman" w:cs="Times New Roman"/>
          <w:sz w:val="28"/>
          <w:szCs w:val="28"/>
        </w:rPr>
      </w:pPr>
    </w:p>
    <w:p w14:paraId="22F5ECEC" w14:textId="77777777" w:rsidR="00000000" w:rsidRPr="008E69BD" w:rsidRDefault="008E69BD" w:rsidP="00E84571">
      <w:pPr>
        <w:pStyle w:val="Prrafodelista"/>
        <w:numPr>
          <w:ilvl w:val="1"/>
          <w:numId w:val="1"/>
        </w:numPr>
        <w:spacing w:after="0" w:line="240" w:lineRule="auto"/>
        <w:ind w:left="0" w:firstLine="0"/>
        <w:jc w:val="both"/>
        <w:rPr>
          <w:rFonts w:ascii="Times New Roman" w:hAnsi="Times New Roman" w:cs="Times New Roman"/>
          <w:sz w:val="28"/>
          <w:szCs w:val="28"/>
        </w:rPr>
      </w:pPr>
      <w:r w:rsidRPr="008E69BD">
        <w:rPr>
          <w:rFonts w:ascii="Times New Roman" w:hAnsi="Times New Roman" w:cs="Times New Roman"/>
          <w:sz w:val="28"/>
          <w:szCs w:val="28"/>
        </w:rPr>
        <w:t xml:space="preserve">El 8 de julio de 2021, el Juzgado 24 Laboral del Circuito de Bogotá, en el trámite de la audiencia dispuesta en el artículo 77 del CPTSS, declaró su falta de jurisdicción para conocer del asunto y remitió el expediente a esta corporación. En concreto, afirmó que, </w:t>
      </w:r>
      <w:r w:rsidRPr="008E69BD">
        <w:rPr>
          <w:rFonts w:ascii="Times New Roman" w:hAnsi="Times New Roman" w:cs="Times New Roman"/>
          <w:iCs/>
          <w:sz w:val="28"/>
          <w:szCs w:val="28"/>
        </w:rPr>
        <w:t>en virtud del artículo 104 del Código de Procedimiento Administrativo y de lo Contencioso Administrativo (en adelante, “</w:t>
      </w:r>
      <w:r w:rsidRPr="008E69BD">
        <w:rPr>
          <w:rFonts w:ascii="Times New Roman" w:hAnsi="Times New Roman" w:cs="Times New Roman"/>
          <w:i/>
          <w:sz w:val="28"/>
          <w:szCs w:val="28"/>
          <w:u w:val="single"/>
        </w:rPr>
        <w:t>CPACA</w:t>
      </w:r>
      <w:r w:rsidRPr="008E69BD">
        <w:rPr>
          <w:rFonts w:ascii="Times New Roman" w:hAnsi="Times New Roman" w:cs="Times New Roman"/>
          <w:iCs/>
          <w:sz w:val="28"/>
          <w:szCs w:val="28"/>
        </w:rPr>
        <w:t>”) y la providencia del 12 de abril de 2018 de la Corte Suprema de Justicia</w:t>
      </w:r>
      <w:r w:rsidRPr="008E69BD">
        <w:rPr>
          <w:rStyle w:val="Refdenotaalpie"/>
          <w:rFonts w:ascii="Times New Roman" w:hAnsi="Times New Roman" w:cs="Times New Roman"/>
          <w:iCs/>
          <w:sz w:val="28"/>
          <w:szCs w:val="24"/>
        </w:rPr>
        <w:footnoteReference w:id="4"/>
      </w:r>
      <w:r w:rsidRPr="008E69BD">
        <w:rPr>
          <w:rFonts w:ascii="Times New Roman" w:hAnsi="Times New Roman" w:cs="Times New Roman"/>
          <w:iCs/>
          <w:sz w:val="28"/>
          <w:szCs w:val="28"/>
        </w:rPr>
        <w:t>, es la Jurisdicción de lo Contencioso Administrativo la competente para conocer de las demandas, en las que se reprochen los actos administrativos que negaron el reconocimiento y pago de facturas derivadas de servicios de salud, tal como sucede en este asunto</w:t>
      </w:r>
      <w:r w:rsidRPr="008E69BD">
        <w:rPr>
          <w:rStyle w:val="Refdenotaalpie"/>
          <w:rFonts w:ascii="Times New Roman" w:hAnsi="Times New Roman" w:cs="Times New Roman"/>
          <w:sz w:val="28"/>
          <w:szCs w:val="24"/>
        </w:rPr>
        <w:footnoteReference w:id="5"/>
      </w:r>
      <w:r w:rsidRPr="008E69BD">
        <w:rPr>
          <w:rFonts w:ascii="Times New Roman" w:hAnsi="Times New Roman" w:cs="Times New Roman"/>
          <w:iCs/>
          <w:sz w:val="28"/>
          <w:szCs w:val="28"/>
        </w:rPr>
        <w:t>.</w:t>
      </w:r>
    </w:p>
    <w:p w14:paraId="4F8EDBBF" w14:textId="77777777" w:rsidR="00000000" w:rsidRPr="008E69BD" w:rsidRDefault="00000000" w:rsidP="003215B4">
      <w:pPr>
        <w:rPr>
          <w:rFonts w:ascii="Times New Roman" w:hAnsi="Times New Roman" w:cs="Times New Roman"/>
          <w:sz w:val="28"/>
          <w:szCs w:val="28"/>
        </w:rPr>
      </w:pPr>
    </w:p>
    <w:p w14:paraId="36910933" w14:textId="77777777" w:rsidR="00000000" w:rsidRPr="008E69BD" w:rsidRDefault="008E69BD" w:rsidP="008F5DD5">
      <w:pPr>
        <w:pStyle w:val="Prrafodelista"/>
        <w:numPr>
          <w:ilvl w:val="1"/>
          <w:numId w:val="1"/>
        </w:numPr>
        <w:shd w:val="clear" w:color="auto" w:fill="FFFFFF" w:themeFill="background1"/>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color w:val="000000"/>
          <w:sz w:val="28"/>
          <w:szCs w:val="28"/>
        </w:rPr>
        <w:t>El 22 de julio de 2022, la Secretaría General de la Corte radicó el expediente. Luego, el 7 de marzo de 2023, la Sala Plena lo repartió al despacho del magistrado sustanciador y tres días después lo remitió para su conocimiento</w:t>
      </w:r>
      <w:r w:rsidRPr="008E69BD">
        <w:rPr>
          <w:rStyle w:val="Refdenotaalpie"/>
          <w:rFonts w:ascii="Times New Roman" w:hAnsi="Times New Roman" w:cs="Times New Roman"/>
          <w:sz w:val="28"/>
          <w:szCs w:val="24"/>
        </w:rPr>
        <w:footnoteReference w:id="6"/>
      </w:r>
      <w:r w:rsidRPr="008E69BD">
        <w:rPr>
          <w:rFonts w:ascii="Times New Roman" w:hAnsi="Times New Roman" w:cs="Times New Roman"/>
          <w:sz w:val="28"/>
          <w:szCs w:val="28"/>
        </w:rPr>
        <w:t>.</w:t>
      </w:r>
    </w:p>
    <w:p w14:paraId="751AC90F" w14:textId="77777777" w:rsidR="00000000" w:rsidRPr="008E69BD" w:rsidRDefault="00000000" w:rsidP="00C30E1C">
      <w:pPr>
        <w:pStyle w:val="Prrafodelista"/>
        <w:spacing w:after="0" w:line="240" w:lineRule="auto"/>
        <w:ind w:left="0"/>
        <w:jc w:val="both"/>
        <w:rPr>
          <w:rFonts w:ascii="Times New Roman" w:hAnsi="Times New Roman" w:cs="Times New Roman"/>
          <w:i/>
          <w:iCs/>
          <w:sz w:val="28"/>
          <w:szCs w:val="28"/>
        </w:rPr>
      </w:pPr>
    </w:p>
    <w:p w14:paraId="1FA034FE" w14:textId="77777777" w:rsidR="00000000" w:rsidRPr="008E69BD" w:rsidRDefault="008E69BD" w:rsidP="00C30E1C">
      <w:pPr>
        <w:pStyle w:val="Prrafodelista"/>
        <w:numPr>
          <w:ilvl w:val="0"/>
          <w:numId w:val="1"/>
        </w:numPr>
        <w:spacing w:after="0" w:line="240" w:lineRule="auto"/>
        <w:ind w:left="0"/>
        <w:jc w:val="both"/>
        <w:rPr>
          <w:rFonts w:ascii="Times New Roman" w:hAnsi="Times New Roman" w:cs="Times New Roman"/>
          <w:b/>
          <w:bCs/>
          <w:sz w:val="28"/>
          <w:szCs w:val="28"/>
        </w:rPr>
      </w:pPr>
      <w:r w:rsidRPr="008E69BD">
        <w:rPr>
          <w:rFonts w:ascii="Times New Roman" w:hAnsi="Times New Roman" w:cs="Times New Roman"/>
          <w:b/>
          <w:bCs/>
          <w:sz w:val="28"/>
          <w:szCs w:val="28"/>
        </w:rPr>
        <w:t>CONSIDERACIONES DE LA CORTE</w:t>
      </w:r>
    </w:p>
    <w:p w14:paraId="601DC784" w14:textId="77777777" w:rsidR="00000000" w:rsidRPr="008E69BD" w:rsidRDefault="00000000" w:rsidP="00C30E1C">
      <w:pPr>
        <w:jc w:val="both"/>
        <w:rPr>
          <w:rFonts w:ascii="Times New Roman" w:hAnsi="Times New Roman" w:cs="Times New Roman"/>
          <w:i/>
          <w:iCs/>
          <w:sz w:val="28"/>
          <w:szCs w:val="28"/>
        </w:rPr>
      </w:pPr>
    </w:p>
    <w:p w14:paraId="717C0B96" w14:textId="77777777" w:rsidR="00000000" w:rsidRPr="008E69BD" w:rsidRDefault="008E69BD" w:rsidP="00CB5E45">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i/>
          <w:iCs/>
          <w:sz w:val="28"/>
          <w:szCs w:val="28"/>
          <w:u w:val="single"/>
          <w:shd w:val="clear" w:color="auto" w:fill="FFFFFF"/>
        </w:rPr>
        <w:t>Competencia.</w:t>
      </w:r>
      <w:r w:rsidRPr="008E69BD">
        <w:rPr>
          <w:rFonts w:ascii="Times New Roman" w:hAnsi="Times New Roman" w:cs="Times New Roman"/>
          <w:i/>
          <w:iCs/>
          <w:sz w:val="28"/>
          <w:szCs w:val="28"/>
          <w:shd w:val="clear" w:color="auto" w:fill="FFFFFF"/>
        </w:rPr>
        <w:t xml:space="preserve"> </w:t>
      </w:r>
      <w:r w:rsidRPr="008E69BD">
        <w:rPr>
          <w:rFonts w:ascii="Times New Roman" w:hAnsi="Times New Roman" w:cs="Times New Roman"/>
          <w:sz w:val="28"/>
          <w:szCs w:val="28"/>
          <w:shd w:val="clear" w:color="auto" w:fill="FFFFFF"/>
        </w:rPr>
        <w:t>La Corte Constitucional es competente para resolver los conflictos entre jurisdicciones de conformidad con el numeral 11 del artículo 241 de la Constitución Política, adicionado por el artículo 14 del Acto Legislativo 02 de 2015</w:t>
      </w:r>
      <w:r w:rsidRPr="008E69BD">
        <w:rPr>
          <w:rFonts w:ascii="Times New Roman" w:hAnsi="Times New Roman" w:cs="Times New Roman"/>
          <w:sz w:val="28"/>
          <w:szCs w:val="24"/>
          <w:shd w:val="clear" w:color="auto" w:fill="FFFFFF"/>
        </w:rPr>
        <w:t>.</w:t>
      </w:r>
    </w:p>
    <w:p w14:paraId="3ED56444" w14:textId="77777777" w:rsidR="00000000" w:rsidRPr="008E69BD" w:rsidRDefault="00000000" w:rsidP="00C30E1C">
      <w:pPr>
        <w:pStyle w:val="Prrafodelista"/>
        <w:spacing w:after="0" w:line="240" w:lineRule="auto"/>
        <w:ind w:left="0"/>
        <w:jc w:val="both"/>
        <w:rPr>
          <w:rFonts w:ascii="Times New Roman" w:hAnsi="Times New Roman" w:cs="Times New Roman"/>
          <w:i/>
          <w:iCs/>
          <w:sz w:val="28"/>
          <w:szCs w:val="28"/>
        </w:rPr>
      </w:pPr>
    </w:p>
    <w:p w14:paraId="1B745867" w14:textId="77777777" w:rsidR="00000000" w:rsidRPr="008E69BD" w:rsidRDefault="008E69BD" w:rsidP="00CB5E45">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eastAsiaTheme="minorHAnsi" w:hAnsi="Times New Roman" w:cs="Times New Roman"/>
          <w:i/>
          <w:sz w:val="28"/>
          <w:szCs w:val="28"/>
          <w:u w:val="single"/>
          <w:lang w:val="es-ES_tradnl"/>
        </w:rPr>
        <w:lastRenderedPageBreak/>
        <w:t>Presupuestos para la configuración de un conflicto entre jurisdicciones</w:t>
      </w:r>
      <w:r w:rsidRPr="008E69BD">
        <w:rPr>
          <w:rFonts w:ascii="Times New Roman" w:eastAsiaTheme="minorHAnsi" w:hAnsi="Times New Roman" w:cs="Times New Roman"/>
          <w:i/>
          <w:sz w:val="28"/>
          <w:szCs w:val="28"/>
          <w:lang w:val="es-ES_tradnl"/>
        </w:rPr>
        <w:t xml:space="preserve">. </w:t>
      </w:r>
      <w:r w:rsidRPr="008E69BD">
        <w:rPr>
          <w:rFonts w:ascii="Times New Roman" w:eastAsiaTheme="minorHAnsi" w:hAnsi="Times New Roman" w:cs="Times New Roman"/>
          <w:iCs/>
          <w:sz w:val="28"/>
          <w:szCs w:val="28"/>
          <w:lang w:val="es-ES_tradnl"/>
        </w:rPr>
        <w:t>Esta corporación ha señalado que los conflictos entre jurisdicciones se presentan cuando “</w:t>
      </w:r>
      <w:r w:rsidRPr="008E69BD">
        <w:rPr>
          <w:rFonts w:ascii="Times New Roman" w:eastAsiaTheme="minorHAnsi" w:hAnsi="Times New Roman" w:cs="Times New Roman"/>
          <w:i/>
          <w:sz w:val="28"/>
          <w:szCs w:val="28"/>
          <w:lang w:val="es-ES_tradnl"/>
        </w:rPr>
        <w:t>dos o más autoridades que administran justicia y pertenecen a distintas jurisdicciones se disputan el conocimiento de un proceso, bien sea porque estiman que a ninguna le corresponde (negativo), o porque consideran que es de su exclusiva incumbencia (positivo)</w:t>
      </w:r>
      <w:r w:rsidRPr="008E69BD">
        <w:rPr>
          <w:rFonts w:ascii="Times New Roman" w:eastAsiaTheme="minorHAnsi" w:hAnsi="Times New Roman" w:cs="Times New Roman"/>
          <w:iCs/>
          <w:sz w:val="28"/>
          <w:szCs w:val="28"/>
          <w:lang w:val="es-ES_tradnl"/>
        </w:rPr>
        <w:t>”</w:t>
      </w:r>
      <w:r w:rsidRPr="008E69BD">
        <w:rPr>
          <w:rStyle w:val="Refdenotaalpie"/>
          <w:rFonts w:ascii="Times New Roman" w:eastAsiaTheme="minorHAnsi" w:hAnsi="Times New Roman" w:cs="Times New Roman"/>
          <w:iCs/>
          <w:sz w:val="28"/>
          <w:szCs w:val="24"/>
          <w:lang w:val="es-ES_tradnl"/>
        </w:rPr>
        <w:footnoteReference w:id="7"/>
      </w:r>
      <w:r w:rsidRPr="008E69BD">
        <w:rPr>
          <w:rFonts w:ascii="Times New Roman" w:eastAsiaTheme="minorHAnsi" w:hAnsi="Times New Roman" w:cs="Times New Roman"/>
          <w:iCs/>
          <w:sz w:val="28"/>
          <w:szCs w:val="28"/>
          <w:lang w:val="es-ES_tradnl"/>
        </w:rPr>
        <w:t>.</w:t>
      </w:r>
    </w:p>
    <w:p w14:paraId="597016C5" w14:textId="77777777" w:rsidR="00000000" w:rsidRPr="008E69BD" w:rsidRDefault="00000000" w:rsidP="00C30E1C">
      <w:pPr>
        <w:rPr>
          <w:rFonts w:ascii="Times New Roman" w:eastAsiaTheme="minorHAnsi" w:hAnsi="Times New Roman" w:cs="Times New Roman"/>
          <w:sz w:val="28"/>
          <w:szCs w:val="28"/>
          <w:lang w:val="es-ES_tradnl"/>
        </w:rPr>
      </w:pPr>
    </w:p>
    <w:p w14:paraId="3C267BFA" w14:textId="77777777" w:rsidR="00000000" w:rsidRPr="008E69BD" w:rsidRDefault="008E69BD" w:rsidP="00CB5E45">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eastAsiaTheme="minorHAnsi" w:hAnsi="Times New Roman" w:cs="Times New Roman"/>
          <w:sz w:val="28"/>
          <w:szCs w:val="28"/>
          <w:lang w:val="es-ES_tradnl"/>
        </w:rPr>
        <w:t>Esta Corte ha considerado de manera reiterada que, para que se configure un conflicto de jurisdicciones es preciso que se den los presupuestos de carácter subjetivo, objetivo y normativo</w:t>
      </w:r>
      <w:r w:rsidRPr="008E69BD">
        <w:rPr>
          <w:rFonts w:ascii="Times New Roman" w:hAnsi="Times New Roman" w:cs="Times New Roman"/>
          <w:sz w:val="28"/>
          <w:vertAlign w:val="superscript"/>
          <w:lang w:val="es-ES_tradnl"/>
        </w:rPr>
        <w:footnoteReference w:id="8"/>
      </w:r>
      <w:r w:rsidRPr="008E69BD">
        <w:rPr>
          <w:rFonts w:ascii="Times New Roman" w:eastAsiaTheme="minorHAnsi" w:hAnsi="Times New Roman" w:cs="Times New Roman"/>
          <w:sz w:val="28"/>
          <w:szCs w:val="28"/>
          <w:lang w:val="es-ES_tradnl"/>
        </w:rPr>
        <w:t xml:space="preserve">. De esta manera, ha explicado que </w:t>
      </w:r>
      <w:r w:rsidRPr="008E69BD">
        <w:rPr>
          <w:rFonts w:ascii="Times New Roman" w:eastAsiaTheme="minorHAnsi" w:hAnsi="Times New Roman" w:cs="Times New Roman"/>
          <w:i/>
          <w:iCs/>
          <w:sz w:val="28"/>
          <w:szCs w:val="28"/>
          <w:lang w:val="es-ES_tradnl"/>
        </w:rPr>
        <w:t>(i)</w:t>
      </w:r>
      <w:r w:rsidRPr="008E69BD">
        <w:rPr>
          <w:rFonts w:ascii="Times New Roman" w:eastAsiaTheme="minorHAnsi" w:hAnsi="Times New Roman" w:cs="Times New Roman"/>
          <w:sz w:val="28"/>
          <w:szCs w:val="28"/>
          <w:lang w:val="es-ES_tradnl"/>
        </w:rPr>
        <w:t xml:space="preserve"> el </w:t>
      </w:r>
      <w:r w:rsidRPr="008E69BD">
        <w:rPr>
          <w:rFonts w:ascii="Times New Roman" w:eastAsiaTheme="minorHAnsi" w:hAnsi="Times New Roman" w:cs="Times New Roman"/>
          <w:i/>
          <w:sz w:val="28"/>
          <w:szCs w:val="28"/>
          <w:lang w:val="es-ES_tradnl"/>
        </w:rPr>
        <w:t>presupuesto subjetivo</w:t>
      </w:r>
      <w:r w:rsidRPr="008E69BD">
        <w:rPr>
          <w:rFonts w:ascii="Times New Roman" w:eastAsiaTheme="minorHAnsi" w:hAnsi="Times New Roman" w:cs="Times New Roman"/>
          <w:sz w:val="28"/>
          <w:szCs w:val="28"/>
          <w:lang w:val="es-ES_tradnl"/>
        </w:rPr>
        <w:t xml:space="preserve"> exige que la controversia sea suscitada por, al menos, dos autoridades que administren justicia y pertenezcan a diferentes jurisdicciones</w:t>
      </w:r>
      <w:r w:rsidRPr="008E69BD">
        <w:rPr>
          <w:rFonts w:ascii="Times New Roman" w:hAnsi="Times New Roman" w:cs="Times New Roman"/>
          <w:sz w:val="28"/>
          <w:vertAlign w:val="superscript"/>
          <w:lang w:val="es-ES_tradnl"/>
        </w:rPr>
        <w:footnoteReference w:id="9"/>
      </w:r>
      <w:r w:rsidRPr="008E69BD">
        <w:rPr>
          <w:rFonts w:ascii="Times New Roman" w:eastAsiaTheme="minorHAnsi" w:hAnsi="Times New Roman" w:cs="Times New Roman"/>
          <w:sz w:val="28"/>
          <w:szCs w:val="28"/>
          <w:lang w:val="es-ES_tradnl"/>
        </w:rPr>
        <w:t xml:space="preserve">; </w:t>
      </w:r>
      <w:r w:rsidRPr="008E69BD">
        <w:rPr>
          <w:rFonts w:ascii="Times New Roman" w:eastAsiaTheme="minorHAnsi" w:hAnsi="Times New Roman" w:cs="Times New Roman"/>
          <w:i/>
          <w:iCs/>
          <w:sz w:val="28"/>
          <w:szCs w:val="28"/>
          <w:lang w:val="es-ES_tradnl"/>
        </w:rPr>
        <w:t>(</w:t>
      </w:r>
      <w:proofErr w:type="spellStart"/>
      <w:r w:rsidRPr="008E69BD">
        <w:rPr>
          <w:rFonts w:ascii="Times New Roman" w:eastAsiaTheme="minorHAnsi" w:hAnsi="Times New Roman" w:cs="Times New Roman"/>
          <w:i/>
          <w:iCs/>
          <w:sz w:val="28"/>
          <w:szCs w:val="28"/>
          <w:lang w:val="es-ES_tradnl"/>
        </w:rPr>
        <w:t>ii</w:t>
      </w:r>
      <w:proofErr w:type="spellEnd"/>
      <w:r w:rsidRPr="008E69BD">
        <w:rPr>
          <w:rFonts w:ascii="Times New Roman" w:eastAsiaTheme="minorHAnsi" w:hAnsi="Times New Roman" w:cs="Times New Roman"/>
          <w:i/>
          <w:iCs/>
          <w:sz w:val="28"/>
          <w:szCs w:val="28"/>
          <w:lang w:val="es-ES_tradnl"/>
        </w:rPr>
        <w:t>)</w:t>
      </w:r>
      <w:r w:rsidRPr="008E69BD">
        <w:rPr>
          <w:rFonts w:ascii="Times New Roman" w:eastAsiaTheme="minorHAnsi" w:hAnsi="Times New Roman" w:cs="Times New Roman"/>
          <w:sz w:val="28"/>
          <w:szCs w:val="28"/>
          <w:lang w:val="es-ES_tradnl"/>
        </w:rPr>
        <w:t xml:space="preserve"> el </w:t>
      </w:r>
      <w:r w:rsidRPr="008E69BD">
        <w:rPr>
          <w:rFonts w:ascii="Times New Roman" w:eastAsiaTheme="minorHAnsi" w:hAnsi="Times New Roman" w:cs="Times New Roman"/>
          <w:i/>
          <w:sz w:val="28"/>
          <w:szCs w:val="28"/>
          <w:lang w:val="es-ES_tradnl"/>
        </w:rPr>
        <w:t>presupuesto objetivo</w:t>
      </w:r>
      <w:r w:rsidRPr="008E69BD">
        <w:rPr>
          <w:rFonts w:ascii="Times New Roman" w:eastAsiaTheme="minorHAnsi" w:hAnsi="Times New Roman" w:cs="Times New Roman"/>
          <w:sz w:val="28"/>
          <w:szCs w:val="28"/>
          <w:lang w:val="es-ES_tradnl"/>
        </w:rPr>
        <w:t xml:space="preserve"> se refiere a la existencia de una causa judicial sobre la cual se suscite la disputa, es decir, que pueda verificarse que está en desarrollo un proceso, un incidente o cualquier otro trámite de naturaleza jurisdiccional</w:t>
      </w:r>
      <w:r w:rsidRPr="008E69BD">
        <w:rPr>
          <w:rFonts w:ascii="Times New Roman" w:hAnsi="Times New Roman" w:cs="Times New Roman"/>
          <w:sz w:val="28"/>
          <w:vertAlign w:val="superscript"/>
          <w:lang w:val="es-ES_tradnl"/>
        </w:rPr>
        <w:footnoteReference w:id="10"/>
      </w:r>
      <w:r w:rsidRPr="008E69BD">
        <w:rPr>
          <w:rFonts w:ascii="Times New Roman" w:eastAsiaTheme="minorHAnsi" w:hAnsi="Times New Roman" w:cs="Times New Roman"/>
          <w:sz w:val="28"/>
          <w:szCs w:val="28"/>
          <w:lang w:val="es-ES_tradnl"/>
        </w:rPr>
        <w:t xml:space="preserve">; y </w:t>
      </w:r>
      <w:r w:rsidRPr="008E69BD">
        <w:rPr>
          <w:rFonts w:ascii="Times New Roman" w:eastAsiaTheme="minorHAnsi" w:hAnsi="Times New Roman" w:cs="Times New Roman"/>
          <w:i/>
          <w:iCs/>
          <w:sz w:val="28"/>
          <w:szCs w:val="28"/>
          <w:lang w:val="es-ES_tradnl"/>
        </w:rPr>
        <w:t>(</w:t>
      </w:r>
      <w:proofErr w:type="spellStart"/>
      <w:r w:rsidRPr="008E69BD">
        <w:rPr>
          <w:rFonts w:ascii="Times New Roman" w:eastAsiaTheme="minorHAnsi" w:hAnsi="Times New Roman" w:cs="Times New Roman"/>
          <w:i/>
          <w:iCs/>
          <w:sz w:val="28"/>
          <w:szCs w:val="28"/>
          <w:lang w:val="es-ES_tradnl"/>
        </w:rPr>
        <w:t>iii</w:t>
      </w:r>
      <w:proofErr w:type="spellEnd"/>
      <w:r w:rsidRPr="008E69BD">
        <w:rPr>
          <w:rFonts w:ascii="Times New Roman" w:eastAsiaTheme="minorHAnsi" w:hAnsi="Times New Roman" w:cs="Times New Roman"/>
          <w:i/>
          <w:iCs/>
          <w:sz w:val="28"/>
          <w:szCs w:val="28"/>
          <w:lang w:val="es-ES_tradnl"/>
        </w:rPr>
        <w:t xml:space="preserve">) </w:t>
      </w:r>
      <w:r w:rsidRPr="008E69BD">
        <w:rPr>
          <w:rFonts w:ascii="Times New Roman" w:eastAsiaTheme="minorHAnsi" w:hAnsi="Times New Roman" w:cs="Times New Roman"/>
          <w:sz w:val="28"/>
          <w:szCs w:val="28"/>
          <w:lang w:val="es-ES_tradnl"/>
        </w:rPr>
        <w:t xml:space="preserve">el </w:t>
      </w:r>
      <w:r w:rsidRPr="008E69BD">
        <w:rPr>
          <w:rFonts w:ascii="Times New Roman" w:eastAsiaTheme="minorHAnsi" w:hAnsi="Times New Roman" w:cs="Times New Roman"/>
          <w:i/>
          <w:sz w:val="28"/>
          <w:szCs w:val="28"/>
          <w:lang w:val="es-ES_tradnl"/>
        </w:rPr>
        <w:t>presupuesto normativo</w:t>
      </w:r>
      <w:r w:rsidRPr="008E69BD">
        <w:rPr>
          <w:rFonts w:ascii="Times New Roman" w:eastAsiaTheme="minorHAnsi" w:hAnsi="Times New Roman" w:cs="Times New Roman"/>
          <w:sz w:val="28"/>
          <w:szCs w:val="28"/>
          <w:lang w:val="es-ES_tradnl"/>
        </w:rPr>
        <w:t xml:space="preserve"> que implica la necesidad de que las autoridades en colisión hayan manifestado, expresamente, las razones de índole constitucional o legal por las cuales consideran que son competentes o no para conocer del asunto concreto</w:t>
      </w:r>
      <w:r w:rsidRPr="008E69BD">
        <w:rPr>
          <w:rFonts w:ascii="Times New Roman" w:hAnsi="Times New Roman" w:cs="Times New Roman"/>
          <w:sz w:val="28"/>
          <w:vertAlign w:val="superscript"/>
          <w:lang w:val="es-ES_tradnl"/>
        </w:rPr>
        <w:footnoteReference w:id="11"/>
      </w:r>
      <w:r w:rsidRPr="008E69BD">
        <w:rPr>
          <w:rFonts w:ascii="Times New Roman" w:eastAsiaTheme="minorHAnsi" w:hAnsi="Times New Roman" w:cs="Times New Roman"/>
          <w:sz w:val="28"/>
          <w:szCs w:val="28"/>
          <w:lang w:val="es-ES_tradnl"/>
        </w:rPr>
        <w:t>.</w:t>
      </w:r>
    </w:p>
    <w:p w14:paraId="2B6EFBB1" w14:textId="77777777" w:rsidR="00000000" w:rsidRPr="008E69BD" w:rsidRDefault="00000000" w:rsidP="00C30E1C">
      <w:pPr>
        <w:rPr>
          <w:rFonts w:ascii="Times New Roman" w:hAnsi="Times New Roman" w:cs="Times New Roman"/>
          <w:i/>
          <w:iCs/>
          <w:color w:val="000000"/>
          <w:sz w:val="28"/>
          <w:szCs w:val="28"/>
          <w:u w:val="single"/>
          <w:lang w:val="es-ES_tradnl"/>
        </w:rPr>
      </w:pPr>
    </w:p>
    <w:p w14:paraId="5BBA6EEB" w14:textId="77777777" w:rsidR="00000000" w:rsidRPr="008E69BD" w:rsidRDefault="008E69BD" w:rsidP="00CB5E45">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i/>
          <w:iCs/>
          <w:sz w:val="28"/>
          <w:szCs w:val="28"/>
          <w:u w:val="single"/>
          <w:lang w:val="es-ES"/>
        </w:rPr>
        <w:t xml:space="preserve">La Jurisdicción de lo Contencioso Administrativo es la competente para conocer de los asuntos relacionados con los recobros judiciales al Estado por prestaciones de servicios médicos no incluidos en el PBS. Reiteración del </w:t>
      </w:r>
      <w:r w:rsidRPr="008E69BD">
        <w:rPr>
          <w:rFonts w:ascii="Times New Roman" w:hAnsi="Times New Roman" w:cs="Times New Roman"/>
          <w:b/>
          <w:bCs/>
          <w:i/>
          <w:iCs/>
          <w:sz w:val="28"/>
          <w:szCs w:val="28"/>
          <w:u w:val="single"/>
          <w:lang w:val="es-ES"/>
        </w:rPr>
        <w:t>auto 389 de 2021</w:t>
      </w:r>
      <w:r w:rsidRPr="008E69BD">
        <w:rPr>
          <w:rStyle w:val="Refdenotaalpie"/>
          <w:rFonts w:ascii="Times New Roman" w:hAnsi="Times New Roman" w:cs="Times New Roman"/>
          <w:sz w:val="28"/>
          <w:szCs w:val="28"/>
          <w:lang w:val="es-ES"/>
        </w:rPr>
        <w:footnoteReference w:id="12"/>
      </w:r>
      <w:r w:rsidRPr="008E69BD">
        <w:rPr>
          <w:rFonts w:ascii="Times New Roman" w:hAnsi="Times New Roman" w:cs="Times New Roman"/>
          <w:i/>
          <w:iCs/>
          <w:sz w:val="28"/>
          <w:szCs w:val="28"/>
          <w:lang w:val="es-ES"/>
        </w:rPr>
        <w:t xml:space="preserve">. </w:t>
      </w:r>
      <w:r w:rsidRPr="008E69BD">
        <w:rPr>
          <w:rFonts w:ascii="Times New Roman" w:hAnsi="Times New Roman" w:cs="Times New Roman"/>
          <w:sz w:val="28"/>
          <w:szCs w:val="28"/>
          <w:lang w:val="es-ES"/>
        </w:rPr>
        <w:t xml:space="preserve">En el auto 389 de 2021, la Sala Plena de esta corporación resolvió </w:t>
      </w:r>
      <w:r w:rsidRPr="008E69BD">
        <w:rPr>
          <w:rFonts w:ascii="Times New Roman" w:hAnsi="Times New Roman" w:cs="Times New Roman"/>
          <w:sz w:val="28"/>
          <w:szCs w:val="28"/>
          <w:lang w:val="es-ES"/>
        </w:rPr>
        <w:lastRenderedPageBreak/>
        <w:t>un conflicto entre jurisdicciones relacionado con una demanda instaurada por Sanitas EPS contra la ADRES, que pretendía el reconocimiento y pago de las sumas de dinero asumidas por la EPS para atender la cobertura de servicios, procedimientos e insumos no incorporados en el POS</w:t>
      </w:r>
      <w:r w:rsidRPr="008E69BD">
        <w:rPr>
          <w:rStyle w:val="Refdenotaalpie"/>
          <w:rFonts w:ascii="Times New Roman" w:hAnsi="Times New Roman" w:cs="Times New Roman"/>
          <w:sz w:val="28"/>
          <w:szCs w:val="24"/>
          <w:lang w:val="es-ES"/>
        </w:rPr>
        <w:footnoteReference w:id="13"/>
      </w:r>
      <w:r w:rsidRPr="008E69BD">
        <w:rPr>
          <w:rFonts w:ascii="Times New Roman" w:hAnsi="Times New Roman" w:cs="Times New Roman"/>
          <w:sz w:val="28"/>
          <w:szCs w:val="28"/>
          <w:lang w:val="es-ES"/>
        </w:rPr>
        <w:t>. En dicha oportunidad, esta corporación concluyó que la Jurisdicción de lo Contencioso Administrativo es la competente del asunto, en virtud de lo dispuesto en el artículo 104.1 del CPACA.</w:t>
      </w:r>
    </w:p>
    <w:p w14:paraId="1A3E215D" w14:textId="77777777" w:rsidR="00000000" w:rsidRPr="008E69BD" w:rsidRDefault="00000000" w:rsidP="008E4E65">
      <w:pPr>
        <w:rPr>
          <w:rFonts w:ascii="Times New Roman" w:hAnsi="Times New Roman" w:cs="Times New Roman"/>
          <w:sz w:val="28"/>
          <w:szCs w:val="28"/>
        </w:rPr>
      </w:pPr>
    </w:p>
    <w:p w14:paraId="5C92A727" w14:textId="77777777" w:rsidR="00000000" w:rsidRPr="008E69BD" w:rsidRDefault="008E69BD" w:rsidP="00CB5E45">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sz w:val="28"/>
          <w:szCs w:val="28"/>
        </w:rPr>
        <w:t xml:space="preserve">En criterio de la Corte, las controversias judiciales relacionadas con recobros no corresponden a las previstas en el artículo 2.4 del CPTSS, puesto que no se relacionan en estricto sentido con la prestación de los servicios de la seguridad social. En concreto, se advirtió que estos litigios únicamente aluden a controversias entre entidades administradoras del Sistema Integral de Seguridad Social en Salud </w:t>
      </w:r>
      <w:r w:rsidRPr="008E69BD">
        <w:rPr>
          <w:rFonts w:ascii="Times New Roman" w:hAnsi="Times New Roman" w:cs="Times New Roman"/>
          <w:iCs/>
          <w:sz w:val="28"/>
          <w:szCs w:val="28"/>
        </w:rPr>
        <w:t>relativos a la financiación de servicios ya prestados, por lo que no implican la existencia de ningún tipo de conflicto entre afiliados, beneficiarios, usuarios, ni empleadores</w:t>
      </w:r>
      <w:r w:rsidRPr="008E69BD">
        <w:rPr>
          <w:rFonts w:ascii="Times New Roman" w:hAnsi="Times New Roman" w:cs="Times New Roman"/>
          <w:sz w:val="28"/>
          <w:szCs w:val="28"/>
        </w:rPr>
        <w:t>. En este orden de ideas, para la Sala Plena, el trámite de recobro constituye un verdadero procedimiento administrativo, el cual culmina con la expedición de un acto administrativo que consolida o niega la existencia de una obligación y, en consecuencia, es necesario acudir a la aplicación del numeral 1° del artículo 104 del CPACA, para efectos de definir la autoridad judicial que debe asumir la competencia del asunto.</w:t>
      </w:r>
    </w:p>
    <w:p w14:paraId="0123701E" w14:textId="77777777" w:rsidR="00000000" w:rsidRPr="008E69BD" w:rsidRDefault="00000000" w:rsidP="00B67575">
      <w:pPr>
        <w:rPr>
          <w:rFonts w:ascii="Times New Roman" w:hAnsi="Times New Roman" w:cs="Times New Roman"/>
          <w:i/>
          <w:iCs/>
          <w:sz w:val="28"/>
          <w:szCs w:val="28"/>
        </w:rPr>
      </w:pPr>
    </w:p>
    <w:p w14:paraId="4790E66C" w14:textId="77777777" w:rsidR="00000000" w:rsidRPr="008E69BD" w:rsidRDefault="008E69BD" w:rsidP="00845427">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sz w:val="28"/>
          <w:szCs w:val="28"/>
        </w:rPr>
        <w:t xml:space="preserve">En el mismo sentido, en los </w:t>
      </w:r>
      <w:r w:rsidRPr="008E69BD">
        <w:rPr>
          <w:rFonts w:ascii="Times New Roman" w:hAnsi="Times New Roman" w:cs="Times New Roman"/>
          <w:b/>
          <w:bCs/>
          <w:sz w:val="28"/>
          <w:szCs w:val="28"/>
        </w:rPr>
        <w:t>autos 390 de 2021</w:t>
      </w:r>
      <w:r w:rsidRPr="008E69BD">
        <w:rPr>
          <w:rFonts w:ascii="Times New Roman" w:hAnsi="Times New Roman" w:cs="Times New Roman"/>
          <w:sz w:val="28"/>
          <w:szCs w:val="28"/>
        </w:rPr>
        <w:t xml:space="preserve">, </w:t>
      </w:r>
      <w:r w:rsidRPr="008E69BD">
        <w:rPr>
          <w:rFonts w:ascii="Times New Roman" w:hAnsi="Times New Roman" w:cs="Times New Roman"/>
          <w:b/>
          <w:bCs/>
          <w:sz w:val="28"/>
          <w:szCs w:val="28"/>
        </w:rPr>
        <w:t>862 de 2021</w:t>
      </w:r>
      <w:r w:rsidRPr="008E69BD">
        <w:rPr>
          <w:rFonts w:ascii="Times New Roman" w:hAnsi="Times New Roman" w:cs="Times New Roman"/>
          <w:sz w:val="28"/>
          <w:szCs w:val="28"/>
        </w:rPr>
        <w:t xml:space="preserve">, </w:t>
      </w:r>
      <w:r w:rsidRPr="008E69BD">
        <w:rPr>
          <w:rFonts w:ascii="Times New Roman" w:hAnsi="Times New Roman" w:cs="Times New Roman"/>
          <w:b/>
          <w:bCs/>
          <w:sz w:val="28"/>
          <w:szCs w:val="28"/>
        </w:rPr>
        <w:t>918 de 2022</w:t>
      </w:r>
      <w:r w:rsidRPr="008E69BD">
        <w:rPr>
          <w:rFonts w:ascii="Times New Roman" w:hAnsi="Times New Roman" w:cs="Times New Roman"/>
          <w:sz w:val="28"/>
          <w:szCs w:val="28"/>
        </w:rPr>
        <w:t xml:space="preserve">, entre otros, esta corporación determinó que las citadas consideraciones </w:t>
      </w:r>
      <w:r w:rsidRPr="008E69BD">
        <w:rPr>
          <w:rFonts w:ascii="Times New Roman" w:hAnsi="Times New Roman" w:cs="Times New Roman"/>
          <w:color w:val="2D2D2D"/>
          <w:sz w:val="28"/>
          <w:szCs w:val="28"/>
          <w:shd w:val="clear" w:color="auto" w:fill="FFFFFF"/>
        </w:rPr>
        <w:t>son aplicables a los casos en los que las pretensiones se dirigen en contra del Ministerio de Salud y de la Protección Social.</w:t>
      </w:r>
    </w:p>
    <w:p w14:paraId="1CE48791" w14:textId="77777777" w:rsidR="00000000" w:rsidRPr="008E69BD" w:rsidRDefault="00000000" w:rsidP="00845427">
      <w:pPr>
        <w:rPr>
          <w:rFonts w:ascii="Times New Roman" w:eastAsiaTheme="minorHAnsi" w:hAnsi="Times New Roman" w:cs="Times New Roman"/>
          <w:sz w:val="28"/>
          <w:szCs w:val="28"/>
          <w:lang w:val="es-MX"/>
        </w:rPr>
      </w:pPr>
    </w:p>
    <w:p w14:paraId="06318BD0" w14:textId="77777777" w:rsidR="00000000" w:rsidRPr="008E69BD" w:rsidRDefault="008E69BD" w:rsidP="00845427">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eastAsiaTheme="minorHAnsi" w:hAnsi="Times New Roman" w:cs="Times New Roman"/>
          <w:sz w:val="28"/>
          <w:szCs w:val="28"/>
          <w:lang w:val="es-MX"/>
        </w:rPr>
        <w:t xml:space="preserve">Ahora bien, </w:t>
      </w:r>
      <w:r w:rsidRPr="008E69BD">
        <w:rPr>
          <w:rFonts w:ascii="Times New Roman" w:hAnsi="Times New Roman" w:cs="Times New Roman"/>
          <w:sz w:val="28"/>
          <w:szCs w:val="28"/>
          <w:lang w:eastAsia="uz-Cyrl-UZ"/>
        </w:rPr>
        <w:t xml:space="preserve">cabe precisar que el precedente del </w:t>
      </w:r>
      <w:r w:rsidRPr="008E69BD">
        <w:rPr>
          <w:rFonts w:ascii="Times New Roman" w:hAnsi="Times New Roman" w:cs="Times New Roman"/>
          <w:b/>
          <w:bCs/>
          <w:sz w:val="28"/>
          <w:szCs w:val="28"/>
          <w:lang w:eastAsia="uz-Cyrl-UZ"/>
        </w:rPr>
        <w:t>a</w:t>
      </w:r>
      <w:r w:rsidRPr="008E69BD">
        <w:rPr>
          <w:rFonts w:ascii="Times New Roman" w:hAnsi="Times New Roman" w:cs="Times New Roman"/>
          <w:b/>
          <w:sz w:val="28"/>
          <w:szCs w:val="28"/>
          <w:lang w:eastAsia="uz-Cyrl-UZ"/>
        </w:rPr>
        <w:t>uto 389 de 2021</w:t>
      </w:r>
      <w:r w:rsidRPr="008E69BD">
        <w:rPr>
          <w:rFonts w:ascii="Times New Roman" w:hAnsi="Times New Roman" w:cs="Times New Roman"/>
          <w:sz w:val="28"/>
          <w:szCs w:val="28"/>
          <w:lang w:eastAsia="uz-Cyrl-UZ"/>
        </w:rPr>
        <w:t xml:space="preserve"> ha sido aplicado incluso a los procesos iniciados en contra del Ministerio de Salud y Protección Social</w:t>
      </w:r>
      <w:r w:rsidRPr="008E69BD">
        <w:rPr>
          <w:rStyle w:val="Refdenotaalpie"/>
          <w:rFonts w:ascii="Times New Roman" w:hAnsi="Times New Roman" w:cs="Times New Roman"/>
          <w:sz w:val="28"/>
          <w:szCs w:val="24"/>
          <w:lang w:eastAsia="uz-Cyrl-UZ"/>
        </w:rPr>
        <w:footnoteReference w:id="14"/>
      </w:r>
      <w:r w:rsidRPr="008E69BD">
        <w:rPr>
          <w:rFonts w:ascii="Times New Roman" w:hAnsi="Times New Roman" w:cs="Times New Roman"/>
          <w:sz w:val="28"/>
          <w:szCs w:val="28"/>
          <w:lang w:eastAsia="uz-Cyrl-UZ"/>
        </w:rPr>
        <w:t xml:space="preserve"> y/o diferentes consorcios y fiduciarias encargadas inicialmente del trámite de los recobros. Esto es posible porque: </w:t>
      </w:r>
      <w:r w:rsidRPr="008E69BD">
        <w:rPr>
          <w:rFonts w:ascii="Times New Roman" w:hAnsi="Times New Roman" w:cs="Times New Roman"/>
          <w:i/>
          <w:sz w:val="28"/>
          <w:szCs w:val="28"/>
          <w:lang w:eastAsia="uz-Cyrl-UZ"/>
        </w:rPr>
        <w:t>(i)</w:t>
      </w:r>
      <w:r w:rsidRPr="008E69BD">
        <w:rPr>
          <w:rFonts w:ascii="Times New Roman" w:hAnsi="Times New Roman" w:cs="Times New Roman"/>
          <w:sz w:val="28"/>
          <w:szCs w:val="28"/>
          <w:lang w:eastAsia="uz-Cyrl-UZ"/>
        </w:rPr>
        <w:t xml:space="preserve"> conforme al artículo 66 de la Ley 1753 de 2015, la ADRES está adscrita a ese Ministerio y los artículos 26 y 27 del Decreto 1429 de 2016, le transfirieron el deber de ejercer la defensa en los procesos judiciales, así como ejercer los derechos y </w:t>
      </w:r>
      <w:r w:rsidRPr="008E69BD">
        <w:rPr>
          <w:rFonts w:ascii="Times New Roman" w:hAnsi="Times New Roman" w:cs="Times New Roman"/>
          <w:sz w:val="28"/>
          <w:szCs w:val="28"/>
          <w:lang w:eastAsia="uz-Cyrl-UZ"/>
        </w:rPr>
        <w:lastRenderedPageBreak/>
        <w:t xml:space="preserve">asumir las obligaciones que con anterioridad había adquirido la Dirección de Administración de Fondos de la Protección Social del Ministerio de Salud y Protección Social, con ocasión de la administración de los recursos del </w:t>
      </w:r>
      <w:proofErr w:type="spellStart"/>
      <w:r w:rsidRPr="008E69BD">
        <w:rPr>
          <w:rFonts w:ascii="Times New Roman" w:hAnsi="Times New Roman" w:cs="Times New Roman"/>
          <w:sz w:val="28"/>
          <w:szCs w:val="28"/>
          <w:lang w:eastAsia="uz-Cyrl-UZ"/>
        </w:rPr>
        <w:t>Fosyga</w:t>
      </w:r>
      <w:proofErr w:type="spellEnd"/>
      <w:r w:rsidRPr="008E69BD">
        <w:rPr>
          <w:rFonts w:ascii="Times New Roman" w:hAnsi="Times New Roman" w:cs="Times New Roman"/>
          <w:sz w:val="28"/>
          <w:szCs w:val="28"/>
          <w:lang w:eastAsia="uz-Cyrl-UZ"/>
        </w:rPr>
        <w:t xml:space="preserve"> y </w:t>
      </w:r>
      <w:r w:rsidRPr="008E69BD">
        <w:rPr>
          <w:rFonts w:ascii="Times New Roman" w:hAnsi="Times New Roman" w:cs="Times New Roman"/>
          <w:i/>
          <w:sz w:val="28"/>
          <w:szCs w:val="28"/>
          <w:lang w:eastAsia="uz-Cyrl-UZ"/>
        </w:rPr>
        <w:t>(</w:t>
      </w:r>
      <w:proofErr w:type="spellStart"/>
      <w:r w:rsidRPr="008E69BD">
        <w:rPr>
          <w:rFonts w:ascii="Times New Roman" w:hAnsi="Times New Roman" w:cs="Times New Roman"/>
          <w:i/>
          <w:sz w:val="28"/>
          <w:szCs w:val="28"/>
          <w:lang w:eastAsia="uz-Cyrl-UZ"/>
        </w:rPr>
        <w:t>ii</w:t>
      </w:r>
      <w:proofErr w:type="spellEnd"/>
      <w:r w:rsidRPr="008E69BD">
        <w:rPr>
          <w:rFonts w:ascii="Times New Roman" w:hAnsi="Times New Roman" w:cs="Times New Roman"/>
          <w:i/>
          <w:sz w:val="28"/>
          <w:szCs w:val="28"/>
          <w:lang w:eastAsia="uz-Cyrl-UZ"/>
        </w:rPr>
        <w:t xml:space="preserve">) </w:t>
      </w:r>
      <w:r w:rsidRPr="008E69BD">
        <w:rPr>
          <w:rFonts w:ascii="Times New Roman" w:hAnsi="Times New Roman" w:cs="Times New Roman"/>
          <w:sz w:val="28"/>
          <w:szCs w:val="28"/>
          <w:lang w:eastAsia="uz-Cyrl-UZ"/>
        </w:rPr>
        <w:t>el proceso administrativo que se adelantaba para el reconocimiento de los recobros antes de la entrada de funcionamiento de la ADRES</w:t>
      </w:r>
      <w:r w:rsidRPr="008E69BD">
        <w:rPr>
          <w:rStyle w:val="Refdenotaalpie"/>
          <w:rFonts w:ascii="Times New Roman" w:hAnsi="Times New Roman" w:cs="Times New Roman"/>
          <w:sz w:val="28"/>
          <w:szCs w:val="24"/>
          <w:lang w:eastAsia="uz-Cyrl-UZ"/>
        </w:rPr>
        <w:footnoteReference w:id="15"/>
      </w:r>
      <w:r w:rsidRPr="008E69BD">
        <w:rPr>
          <w:rFonts w:ascii="Times New Roman" w:hAnsi="Times New Roman" w:cs="Times New Roman"/>
          <w:sz w:val="28"/>
          <w:szCs w:val="28"/>
          <w:lang w:eastAsia="uz-Cyrl-UZ"/>
        </w:rPr>
        <w:t xml:space="preserve"> </w:t>
      </w:r>
      <w:r w:rsidRPr="008E69BD">
        <w:rPr>
          <w:rFonts w:ascii="Times New Roman" w:hAnsi="Times New Roman" w:cs="Times New Roman"/>
          <w:sz w:val="28"/>
          <w:szCs w:val="28"/>
        </w:rPr>
        <w:t>se puede equiparar en gran medida al que se adelanta actualmente</w:t>
      </w:r>
      <w:r w:rsidRPr="008E69BD">
        <w:rPr>
          <w:rStyle w:val="Refdenotaalpie"/>
          <w:rFonts w:ascii="Times New Roman" w:hAnsi="Times New Roman" w:cs="Times New Roman"/>
          <w:sz w:val="28"/>
          <w:szCs w:val="28"/>
        </w:rPr>
        <w:footnoteReference w:id="16"/>
      </w:r>
      <w:r w:rsidRPr="008E69BD">
        <w:rPr>
          <w:rFonts w:ascii="Times New Roman" w:hAnsi="Times New Roman" w:cs="Times New Roman"/>
          <w:sz w:val="28"/>
          <w:szCs w:val="28"/>
        </w:rPr>
        <w:t>.</w:t>
      </w:r>
    </w:p>
    <w:p w14:paraId="35CD5EA3" w14:textId="77777777" w:rsidR="00000000" w:rsidRPr="008E69BD" w:rsidRDefault="00000000" w:rsidP="00845427">
      <w:pPr>
        <w:rPr>
          <w:rFonts w:ascii="Times New Roman" w:hAnsi="Times New Roman" w:cs="Times New Roman"/>
          <w:sz w:val="28"/>
          <w:szCs w:val="28"/>
        </w:rPr>
      </w:pPr>
    </w:p>
    <w:p w14:paraId="22B47646" w14:textId="77777777" w:rsidR="00000000" w:rsidRPr="008E69BD" w:rsidRDefault="008E69BD" w:rsidP="00845427">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sz w:val="28"/>
          <w:szCs w:val="28"/>
        </w:rPr>
        <w:t>Verbigracia, el a</w:t>
      </w:r>
      <w:r w:rsidRPr="008E69BD">
        <w:rPr>
          <w:rFonts w:ascii="Times New Roman" w:hAnsi="Times New Roman" w:cs="Times New Roman"/>
          <w:bCs/>
          <w:sz w:val="28"/>
          <w:szCs w:val="28"/>
          <w:lang w:eastAsia="uz-Cyrl-UZ"/>
        </w:rPr>
        <w:t>uto 389 de 2021</w:t>
      </w:r>
      <w:r w:rsidRPr="008E69BD">
        <w:rPr>
          <w:rFonts w:ascii="Times New Roman" w:hAnsi="Times New Roman" w:cs="Times New Roman"/>
          <w:sz w:val="28"/>
          <w:szCs w:val="28"/>
          <w:lang w:eastAsia="uz-Cyrl-UZ"/>
        </w:rPr>
        <w:t xml:space="preserve"> precisó que</w:t>
      </w:r>
      <w:r w:rsidRPr="008E69BD">
        <w:rPr>
          <w:rFonts w:ascii="Times New Roman" w:hAnsi="Times New Roman" w:cs="Times New Roman"/>
          <w:sz w:val="28"/>
          <w:szCs w:val="28"/>
        </w:rPr>
        <w:t xml:space="preserve"> el procedimiento </w:t>
      </w:r>
      <w:r w:rsidRPr="008E69BD">
        <w:rPr>
          <w:rFonts w:ascii="Times New Roman" w:eastAsiaTheme="minorHAnsi" w:hAnsi="Times New Roman" w:cs="Times New Roman"/>
          <w:sz w:val="28"/>
          <w:szCs w:val="28"/>
        </w:rPr>
        <w:t>especial que</w:t>
      </w:r>
      <w:r w:rsidRPr="008E69BD">
        <w:rPr>
          <w:rFonts w:ascii="Times New Roman" w:eastAsiaTheme="minorHAnsi" w:hAnsi="Times New Roman" w:cs="Times New Roman"/>
          <w:bCs/>
          <w:sz w:val="28"/>
          <w:szCs w:val="28"/>
        </w:rPr>
        <w:t xml:space="preserve"> seguido ante esta última entidad consagra un mecanismo de objeción frente a la decisión sobre el recobro, el cual debe ser resuelto por la misma administradora. En concreto, el artículo 56 de la Resolución 1885 de 2018 determina que </w:t>
      </w:r>
      <w:r w:rsidRPr="008E69BD">
        <w:rPr>
          <w:rFonts w:ascii="Times New Roman" w:hAnsi="Times New Roman" w:cs="Times New Roman"/>
          <w:color w:val="0D0D0D"/>
          <w:sz w:val="28"/>
          <w:szCs w:val="28"/>
          <w:shd w:val="clear" w:color="auto" w:fill="FFFFFF"/>
        </w:rPr>
        <w:t xml:space="preserve">en el procedimiento administrativo de pago de recobros </w:t>
      </w:r>
      <w:r w:rsidRPr="008E69BD">
        <w:rPr>
          <w:rFonts w:ascii="Times New Roman" w:hAnsi="Times New Roman" w:cs="Times New Roman"/>
          <w:bCs/>
          <w:color w:val="0D0D0D"/>
          <w:sz w:val="28"/>
          <w:szCs w:val="28"/>
          <w:shd w:val="clear" w:color="auto" w:fill="FFFFFF"/>
        </w:rPr>
        <w:t>es posible</w:t>
      </w:r>
      <w:r w:rsidRPr="008E69BD">
        <w:rPr>
          <w:rFonts w:ascii="Times New Roman" w:hAnsi="Times New Roman" w:cs="Times New Roman"/>
          <w:color w:val="0D0D0D"/>
          <w:sz w:val="28"/>
          <w:szCs w:val="28"/>
          <w:shd w:val="clear" w:color="auto" w:fill="FFFFFF"/>
        </w:rPr>
        <w:t xml:space="preserve"> ejercer un trámite de objeción frente a la comunicación inicial de la ADRES.</w:t>
      </w:r>
    </w:p>
    <w:p w14:paraId="002A13DB" w14:textId="77777777" w:rsidR="00000000" w:rsidRPr="008E69BD" w:rsidRDefault="00000000" w:rsidP="00845427">
      <w:pPr>
        <w:rPr>
          <w:rFonts w:ascii="Times New Roman" w:hAnsi="Times New Roman" w:cs="Times New Roman"/>
          <w:sz w:val="28"/>
          <w:szCs w:val="28"/>
        </w:rPr>
      </w:pPr>
    </w:p>
    <w:p w14:paraId="6948636A" w14:textId="77777777" w:rsidR="00000000" w:rsidRPr="008E69BD" w:rsidRDefault="008E69BD" w:rsidP="00845427">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sz w:val="28"/>
          <w:szCs w:val="28"/>
        </w:rPr>
        <w:t xml:space="preserve">Al verificar el procedimiento de recobros estipulado antes de que la ADRES asumiría dicha función, se observa que la solicitud de recobro ante el </w:t>
      </w:r>
      <w:proofErr w:type="spellStart"/>
      <w:r w:rsidRPr="008E69BD">
        <w:rPr>
          <w:rFonts w:ascii="Times New Roman" w:hAnsi="Times New Roman" w:cs="Times New Roman"/>
          <w:sz w:val="28"/>
          <w:szCs w:val="28"/>
        </w:rPr>
        <w:t>Fosyga</w:t>
      </w:r>
      <w:proofErr w:type="spellEnd"/>
      <w:r w:rsidRPr="008E69BD">
        <w:rPr>
          <w:rFonts w:ascii="Times New Roman" w:hAnsi="Times New Roman" w:cs="Times New Roman"/>
          <w:sz w:val="28"/>
          <w:szCs w:val="28"/>
        </w:rPr>
        <w:t xml:space="preserve"> debía presentarse a través de la dependencia de correo y radicación del Ministerio de la Protección Social. Dicha cartera ministerial o la entidad que se definía para tal efecto (consorcios, fiduciarias), adelantaba el estudio de la solicitud de recobro e informaba a la entidad reclamante el resultado del mismo. La comunicación del resultado de la auditoria efectuada podía ser igualmente objetada por la entidad recobrante acudiendo ante quien emitió dicha comunicación para que confirmara o modificara su decisión inicial. De tal forma, se evidencia que el procedimiento especial de recobro se ha regulado de forma similar desde el año 2006</w:t>
      </w:r>
      <w:r w:rsidRPr="008E69BD">
        <w:rPr>
          <w:rStyle w:val="Refdenotaalpie"/>
          <w:rFonts w:ascii="Times New Roman" w:hAnsi="Times New Roman" w:cs="Times New Roman"/>
          <w:sz w:val="28"/>
          <w:szCs w:val="24"/>
        </w:rPr>
        <w:footnoteReference w:id="17"/>
      </w:r>
      <w:r w:rsidRPr="008E69BD">
        <w:rPr>
          <w:rFonts w:ascii="Times New Roman" w:hAnsi="Times New Roman" w:cs="Times New Roman"/>
          <w:sz w:val="28"/>
          <w:szCs w:val="28"/>
        </w:rPr>
        <w:t xml:space="preserve">. Dado que aún no existía la ADRES, las demandas se dirigían generalmente frente al Ministerio de Salud y/o los diferentes consorcios y/o entidades encargadas de la administración fiduciaria </w:t>
      </w:r>
      <w:r w:rsidRPr="008E69BD">
        <w:rPr>
          <w:rFonts w:ascii="Times New Roman" w:hAnsi="Times New Roman" w:cs="Times New Roman"/>
          <w:sz w:val="28"/>
          <w:szCs w:val="28"/>
        </w:rPr>
        <w:lastRenderedPageBreak/>
        <w:t xml:space="preserve">del </w:t>
      </w:r>
      <w:proofErr w:type="spellStart"/>
      <w:r w:rsidRPr="008E69BD">
        <w:rPr>
          <w:rFonts w:ascii="Times New Roman" w:hAnsi="Times New Roman" w:cs="Times New Roman"/>
          <w:sz w:val="28"/>
          <w:szCs w:val="28"/>
        </w:rPr>
        <w:t>Fosyga</w:t>
      </w:r>
      <w:proofErr w:type="spellEnd"/>
      <w:r w:rsidRPr="008E69BD">
        <w:rPr>
          <w:rFonts w:ascii="Times New Roman" w:hAnsi="Times New Roman" w:cs="Times New Roman"/>
          <w:sz w:val="28"/>
          <w:szCs w:val="28"/>
        </w:rPr>
        <w:t xml:space="preserve">, lo que no obsta para que se pueda reiterar en estos casos metodología y la regla del </w:t>
      </w:r>
      <w:r w:rsidRPr="008E69BD">
        <w:rPr>
          <w:rFonts w:ascii="Times New Roman" w:hAnsi="Times New Roman" w:cs="Times New Roman"/>
          <w:b/>
          <w:bCs/>
          <w:sz w:val="28"/>
          <w:szCs w:val="28"/>
        </w:rPr>
        <w:t>auto 389 de 2021</w:t>
      </w:r>
      <w:r w:rsidRPr="008E69BD">
        <w:rPr>
          <w:rStyle w:val="Refdenotaalpie"/>
          <w:rFonts w:ascii="Times New Roman" w:hAnsi="Times New Roman" w:cs="Times New Roman"/>
          <w:sz w:val="28"/>
          <w:szCs w:val="24"/>
        </w:rPr>
        <w:footnoteReference w:id="18"/>
      </w:r>
      <w:r w:rsidRPr="008E69BD">
        <w:rPr>
          <w:rFonts w:ascii="Times New Roman" w:hAnsi="Times New Roman" w:cs="Times New Roman"/>
          <w:sz w:val="28"/>
          <w:szCs w:val="28"/>
        </w:rPr>
        <w:t>.</w:t>
      </w:r>
    </w:p>
    <w:p w14:paraId="191AD5D1" w14:textId="77777777" w:rsidR="00000000" w:rsidRPr="008E69BD" w:rsidRDefault="00000000" w:rsidP="008E4E65">
      <w:pPr>
        <w:rPr>
          <w:rFonts w:ascii="Times New Roman" w:hAnsi="Times New Roman" w:cs="Times New Roman"/>
          <w:i/>
          <w:iCs/>
          <w:sz w:val="28"/>
          <w:szCs w:val="28"/>
        </w:rPr>
      </w:pPr>
    </w:p>
    <w:p w14:paraId="358981E7" w14:textId="77777777" w:rsidR="00000000" w:rsidRPr="008E69BD" w:rsidRDefault="008E69BD" w:rsidP="00CB5E45">
      <w:pPr>
        <w:pStyle w:val="Prrafodelista"/>
        <w:numPr>
          <w:ilvl w:val="0"/>
          <w:numId w:val="2"/>
        </w:numPr>
        <w:spacing w:after="0" w:line="240" w:lineRule="auto"/>
        <w:ind w:left="0" w:firstLine="0"/>
        <w:jc w:val="both"/>
        <w:rPr>
          <w:rFonts w:ascii="Times New Roman" w:hAnsi="Times New Roman" w:cs="Times New Roman"/>
          <w:i/>
          <w:iCs/>
          <w:sz w:val="28"/>
          <w:szCs w:val="28"/>
          <w:u w:val="single"/>
        </w:rPr>
      </w:pPr>
      <w:r w:rsidRPr="008E69BD">
        <w:rPr>
          <w:rFonts w:ascii="Times New Roman" w:hAnsi="Times New Roman" w:cs="Times New Roman"/>
          <w:i/>
          <w:iCs/>
          <w:sz w:val="28"/>
          <w:szCs w:val="28"/>
          <w:u w:val="single"/>
        </w:rPr>
        <w:t xml:space="preserve">Reglas de transición frente al cambio jurisprudencial suscitado en conflictos de jurisdicción relacionados con </w:t>
      </w:r>
      <w:r w:rsidRPr="008E69BD">
        <w:rPr>
          <w:rFonts w:ascii="Times New Roman" w:hAnsi="Times New Roman" w:cs="Times New Roman"/>
          <w:i/>
          <w:iCs/>
          <w:sz w:val="28"/>
          <w:szCs w:val="28"/>
          <w:u w:val="single"/>
          <w:lang w:val="es-ES"/>
        </w:rPr>
        <w:t xml:space="preserve">recobros judiciales al Estado por prestaciones de servicios médicos no incluidos en el PBS. Reiteración del </w:t>
      </w:r>
      <w:r w:rsidRPr="008E69BD">
        <w:rPr>
          <w:rFonts w:ascii="Times New Roman" w:hAnsi="Times New Roman" w:cs="Times New Roman"/>
          <w:b/>
          <w:bCs/>
          <w:i/>
          <w:iCs/>
          <w:sz w:val="28"/>
          <w:szCs w:val="28"/>
          <w:u w:val="single"/>
          <w:lang w:val="es-ES"/>
        </w:rPr>
        <w:t>auto 1942 de 2023</w:t>
      </w:r>
      <w:r w:rsidRPr="008E69BD">
        <w:rPr>
          <w:rFonts w:ascii="Times New Roman" w:hAnsi="Times New Roman" w:cs="Times New Roman"/>
          <w:i/>
          <w:iCs/>
          <w:sz w:val="28"/>
          <w:szCs w:val="28"/>
          <w:u w:val="single"/>
          <w:lang w:val="es-ES"/>
        </w:rPr>
        <w:t>.</w:t>
      </w:r>
      <w:r w:rsidRPr="008E69BD">
        <w:rPr>
          <w:rFonts w:ascii="Times New Roman" w:hAnsi="Times New Roman" w:cs="Times New Roman"/>
          <w:i/>
          <w:iCs/>
          <w:sz w:val="28"/>
          <w:szCs w:val="28"/>
          <w:lang w:val="es-ES"/>
        </w:rPr>
        <w:t xml:space="preserve"> </w:t>
      </w:r>
      <w:r w:rsidRPr="008E69BD">
        <w:rPr>
          <w:rFonts w:ascii="Times New Roman" w:hAnsi="Times New Roman" w:cs="Times New Roman"/>
          <w:sz w:val="28"/>
          <w:szCs w:val="28"/>
          <w:lang w:val="es-ES"/>
        </w:rPr>
        <w:t xml:space="preserve">A partir de un oficio del Consejo Superior de la Judicatura remitido a esta corporación, en el que se expusieron las dificultades derivadas del cambio de jurisprudencia en el auto 389 de 2021, respecto de la posición que con anterioridad en este mismo tipo de asuntos venía sosteniendo la Sala Jurisdicción Disciplinaria del Consejo Superior de la Judicatura, la Sala Plena de este tribunal profirió el </w:t>
      </w:r>
      <w:r w:rsidRPr="008E69BD">
        <w:rPr>
          <w:rFonts w:ascii="Times New Roman" w:hAnsi="Times New Roman" w:cs="Times New Roman"/>
          <w:b/>
          <w:bCs/>
          <w:sz w:val="28"/>
          <w:szCs w:val="28"/>
          <w:lang w:val="es-ES"/>
        </w:rPr>
        <w:t>auto 1942 de 2023</w:t>
      </w:r>
      <w:r w:rsidRPr="008E69BD">
        <w:rPr>
          <w:rFonts w:ascii="Times New Roman" w:hAnsi="Times New Roman" w:cs="Times New Roman"/>
          <w:sz w:val="28"/>
          <w:szCs w:val="28"/>
          <w:lang w:val="es-ES"/>
        </w:rPr>
        <w:t xml:space="preserve">, en el cual, con carácter excepcional, se establecen unas </w:t>
      </w:r>
      <w:r w:rsidRPr="008E69BD">
        <w:rPr>
          <w:rFonts w:ascii="Times New Roman" w:hAnsi="Times New Roman" w:cs="Times New Roman"/>
          <w:b/>
          <w:bCs/>
          <w:i/>
          <w:iCs/>
          <w:sz w:val="28"/>
          <w:szCs w:val="28"/>
          <w:lang w:val="es-ES"/>
        </w:rPr>
        <w:t>reglas de transición</w:t>
      </w:r>
      <w:r w:rsidRPr="008E69BD">
        <w:rPr>
          <w:rFonts w:ascii="Times New Roman" w:hAnsi="Times New Roman" w:cs="Times New Roman"/>
          <w:sz w:val="28"/>
          <w:szCs w:val="28"/>
          <w:lang w:val="es-ES"/>
        </w:rPr>
        <w:t xml:space="preserve"> para mitigar el impacto del ajuste realizado en la jurisprudencia frente a la competencia que le asiste a la Jurisdicción de lo Contencioso Administrativo, en asuntos relacionados con los recobros judiciales al Estado por prestaciones de servicios médicos no incluidos en el PBS, para “</w:t>
      </w:r>
      <w:r w:rsidRPr="008E69BD">
        <w:rPr>
          <w:rFonts w:ascii="Times New Roman" w:hAnsi="Times New Roman" w:cs="Times New Roman"/>
          <w:i/>
          <w:iCs/>
          <w:sz w:val="28"/>
          <w:szCs w:val="28"/>
          <w:lang w:val="es-ES"/>
        </w:rPr>
        <w:t>aquellos demandantes que hayan optado o llegaren a optar por los medios de control de nulidad y restablecimiento del derecho o de reparación directa y que no logren cumplir los presupuestos procesales atinentes al agotamiento de recursos administrativos (nulidad y restablecimiento) y la conciliación extrajudicial, así como formular la demanda dentro del término de caducidad (cuatro meses o dos años</w:t>
      </w:r>
      <w:r w:rsidRPr="008E69BD">
        <w:rPr>
          <w:rFonts w:ascii="Times New Roman" w:hAnsi="Times New Roman" w:cs="Times New Roman"/>
          <w:sz w:val="28"/>
          <w:szCs w:val="28"/>
          <w:lang w:val="es-ES"/>
        </w:rPr>
        <w:t>)”. En el cuadro que se expone a continuación se sintetizan las citadas reglas de transición</w:t>
      </w:r>
      <w:r w:rsidRPr="008E69BD">
        <w:rPr>
          <w:rStyle w:val="Refdenotaalpie"/>
          <w:rFonts w:ascii="Times New Roman" w:hAnsi="Times New Roman" w:cs="Times New Roman"/>
          <w:sz w:val="28"/>
          <w:szCs w:val="24"/>
          <w:lang w:val="es-ES"/>
        </w:rPr>
        <w:footnoteReference w:id="19"/>
      </w:r>
      <w:r w:rsidRPr="008E69BD">
        <w:rPr>
          <w:rFonts w:ascii="Times New Roman" w:hAnsi="Times New Roman" w:cs="Times New Roman"/>
          <w:sz w:val="28"/>
          <w:szCs w:val="28"/>
          <w:lang w:val="es-ES"/>
        </w:rPr>
        <w:t>:</w:t>
      </w:r>
    </w:p>
    <w:p w14:paraId="77493FA0" w14:textId="77777777" w:rsidR="00000000" w:rsidRPr="008E69BD" w:rsidRDefault="00000000" w:rsidP="00DA46F8">
      <w:pPr>
        <w:pStyle w:val="Prrafodelista"/>
        <w:spacing w:after="0" w:line="240" w:lineRule="auto"/>
        <w:ind w:left="0"/>
        <w:jc w:val="both"/>
        <w:rPr>
          <w:rFonts w:ascii="Times New Roman" w:hAnsi="Times New Roman" w:cs="Times New Roman"/>
          <w:i/>
          <w:iCs/>
          <w:sz w:val="28"/>
          <w:szCs w:val="28"/>
          <w:u w:val="single"/>
        </w:rPr>
      </w:pPr>
    </w:p>
    <w:tbl>
      <w:tblPr>
        <w:tblStyle w:val="Tablaconcuadrcula"/>
        <w:tblW w:w="0" w:type="auto"/>
        <w:jc w:val="center"/>
        <w:tblLook w:val="04A0" w:firstRow="1" w:lastRow="0" w:firstColumn="1" w:lastColumn="0" w:noHBand="0" w:noVBand="1"/>
      </w:tblPr>
      <w:tblGrid>
        <w:gridCol w:w="2263"/>
        <w:gridCol w:w="6565"/>
      </w:tblGrid>
      <w:tr w:rsidR="00DA46F8" w:rsidRPr="008E69BD" w14:paraId="2F28AE07" w14:textId="77777777" w:rsidTr="008F50FE">
        <w:trPr>
          <w:jc w:val="center"/>
        </w:trPr>
        <w:tc>
          <w:tcPr>
            <w:tcW w:w="8828" w:type="dxa"/>
            <w:gridSpan w:val="2"/>
            <w:shd w:val="clear" w:color="auto" w:fill="E7E6E6" w:themeFill="background2"/>
            <w:vAlign w:val="center"/>
          </w:tcPr>
          <w:p w14:paraId="501ACC9E" w14:textId="77777777" w:rsidR="00000000" w:rsidRPr="008E69BD" w:rsidRDefault="008E69BD" w:rsidP="008F50FE">
            <w:pPr>
              <w:pStyle w:val="Prrafodelista"/>
              <w:spacing w:after="0" w:line="240" w:lineRule="auto"/>
              <w:ind w:left="0"/>
              <w:jc w:val="center"/>
              <w:rPr>
                <w:rFonts w:ascii="Times New Roman" w:hAnsi="Times New Roman" w:cs="Times New Roman"/>
                <w:b/>
                <w:bCs/>
                <w:sz w:val="28"/>
                <w:szCs w:val="24"/>
              </w:rPr>
            </w:pPr>
            <w:r w:rsidRPr="008E69BD">
              <w:rPr>
                <w:rFonts w:ascii="Times New Roman" w:hAnsi="Times New Roman" w:cs="Times New Roman"/>
                <w:b/>
                <w:bCs/>
                <w:sz w:val="28"/>
                <w:szCs w:val="24"/>
              </w:rPr>
              <w:t>Síntesis de las reglas de transición desarrolladas en el auto 1942 de 2023</w:t>
            </w:r>
          </w:p>
        </w:tc>
      </w:tr>
      <w:tr w:rsidR="00DA46F8" w:rsidRPr="008E69BD" w14:paraId="71C99F97" w14:textId="77777777" w:rsidTr="008F50FE">
        <w:trPr>
          <w:jc w:val="center"/>
        </w:trPr>
        <w:tc>
          <w:tcPr>
            <w:tcW w:w="2263" w:type="dxa"/>
            <w:vMerge w:val="restart"/>
            <w:shd w:val="clear" w:color="auto" w:fill="F2F2F2" w:themeFill="background1" w:themeFillShade="F2"/>
            <w:vAlign w:val="center"/>
          </w:tcPr>
          <w:p w14:paraId="46A91A36" w14:textId="77777777" w:rsidR="00000000" w:rsidRPr="008E69BD" w:rsidRDefault="008E69BD" w:rsidP="008F50FE">
            <w:pPr>
              <w:pStyle w:val="Prrafodelista"/>
              <w:spacing w:after="0" w:line="240" w:lineRule="auto"/>
              <w:ind w:left="0"/>
              <w:jc w:val="center"/>
              <w:rPr>
                <w:rFonts w:ascii="Times New Roman" w:hAnsi="Times New Roman" w:cs="Times New Roman"/>
                <w:i/>
                <w:iCs/>
                <w:sz w:val="28"/>
                <w:szCs w:val="24"/>
              </w:rPr>
            </w:pPr>
            <w:r w:rsidRPr="008E69BD">
              <w:rPr>
                <w:rFonts w:ascii="Times New Roman" w:hAnsi="Times New Roman" w:cs="Times New Roman"/>
                <w:b/>
                <w:bCs/>
                <w:sz w:val="28"/>
                <w:szCs w:val="24"/>
              </w:rPr>
              <w:t>Demandas a las que se aplican las reglas de transición</w:t>
            </w:r>
            <w:r w:rsidRPr="008E69BD">
              <w:rPr>
                <w:rStyle w:val="Refdenotaalpie"/>
                <w:rFonts w:ascii="Times New Roman" w:hAnsi="Times New Roman" w:cs="Times New Roman"/>
                <w:sz w:val="28"/>
                <w:szCs w:val="24"/>
              </w:rPr>
              <w:footnoteReference w:id="20"/>
            </w:r>
            <w:r w:rsidRPr="008E69BD">
              <w:rPr>
                <w:rFonts w:ascii="Times New Roman" w:hAnsi="Times New Roman" w:cs="Times New Roman"/>
                <w:sz w:val="28"/>
                <w:szCs w:val="24"/>
              </w:rPr>
              <w:t>:</w:t>
            </w:r>
          </w:p>
        </w:tc>
        <w:tc>
          <w:tcPr>
            <w:tcW w:w="6565" w:type="dxa"/>
            <w:shd w:val="clear" w:color="auto" w:fill="auto"/>
            <w:vAlign w:val="center"/>
          </w:tcPr>
          <w:p w14:paraId="605F5106" w14:textId="77777777" w:rsidR="00000000" w:rsidRPr="008E69BD" w:rsidRDefault="008E69BD" w:rsidP="008F50FE">
            <w:pPr>
              <w:pStyle w:val="Textonotapie"/>
              <w:jc w:val="both"/>
              <w:rPr>
                <w:rFonts w:ascii="Times New Roman" w:hAnsi="Times New Roman" w:cs="Times New Roman"/>
                <w:sz w:val="28"/>
                <w:szCs w:val="24"/>
              </w:rPr>
            </w:pPr>
            <w:r w:rsidRPr="008E69BD">
              <w:rPr>
                <w:rFonts w:ascii="Times New Roman" w:hAnsi="Times New Roman" w:cs="Times New Roman"/>
                <w:sz w:val="28"/>
                <w:szCs w:val="24"/>
              </w:rPr>
              <w:t>Demandas que se encontraban en trámite ante la Jurisdicción Ordinaria Laboral y, que:</w:t>
            </w:r>
          </w:p>
          <w:p w14:paraId="43B430FD" w14:textId="77777777" w:rsidR="00000000" w:rsidRPr="008E69BD" w:rsidRDefault="00000000" w:rsidP="008F50FE">
            <w:pPr>
              <w:pStyle w:val="Textonotapie"/>
              <w:jc w:val="both"/>
              <w:rPr>
                <w:rFonts w:ascii="Times New Roman" w:hAnsi="Times New Roman" w:cs="Times New Roman"/>
                <w:bCs/>
                <w:sz w:val="28"/>
                <w:szCs w:val="24"/>
              </w:rPr>
            </w:pPr>
          </w:p>
          <w:p w14:paraId="72C843A2" w14:textId="77777777" w:rsidR="00000000" w:rsidRPr="008E69BD" w:rsidRDefault="008E69BD" w:rsidP="008F50FE">
            <w:pPr>
              <w:pStyle w:val="Textonotapie"/>
              <w:numPr>
                <w:ilvl w:val="0"/>
                <w:numId w:val="3"/>
              </w:numPr>
              <w:ind w:left="453" w:hanging="425"/>
              <w:jc w:val="both"/>
              <w:rPr>
                <w:rFonts w:ascii="Times New Roman" w:hAnsi="Times New Roman" w:cs="Times New Roman"/>
                <w:bCs/>
                <w:sz w:val="28"/>
                <w:szCs w:val="24"/>
              </w:rPr>
            </w:pPr>
            <w:r w:rsidRPr="008E69BD">
              <w:rPr>
                <w:rFonts w:ascii="Times New Roman" w:hAnsi="Times New Roman" w:cs="Times New Roman"/>
                <w:bCs/>
                <w:sz w:val="28"/>
                <w:szCs w:val="24"/>
              </w:rPr>
              <w:lastRenderedPageBreak/>
              <w:t xml:space="preserve">Al momento de la expedición del Auto 389 de 2021; sin embargo, tras el cambio de precedente se remitieron a la jurisdicción de lo contencioso administrativo y en esta sede judicial se adoptó una decisión de rechazo o inadmisión. </w:t>
            </w:r>
          </w:p>
          <w:p w14:paraId="07D78302" w14:textId="77777777" w:rsidR="00000000" w:rsidRPr="008E69BD" w:rsidRDefault="008E69BD" w:rsidP="008F50FE">
            <w:pPr>
              <w:pStyle w:val="Textonotapie"/>
              <w:numPr>
                <w:ilvl w:val="0"/>
                <w:numId w:val="3"/>
              </w:numPr>
              <w:ind w:left="453" w:hanging="425"/>
              <w:jc w:val="both"/>
              <w:rPr>
                <w:rFonts w:ascii="Times New Roman" w:hAnsi="Times New Roman" w:cs="Times New Roman"/>
                <w:bCs/>
                <w:sz w:val="28"/>
                <w:szCs w:val="24"/>
              </w:rPr>
            </w:pPr>
            <w:r w:rsidRPr="008E69BD">
              <w:rPr>
                <w:rFonts w:ascii="Times New Roman" w:hAnsi="Times New Roman" w:cs="Times New Roman"/>
                <w:bCs/>
                <w:sz w:val="28"/>
                <w:szCs w:val="24"/>
              </w:rPr>
              <w:t xml:space="preserve">Al momento de la expedición del Auto 389 de 2021 y/o al momento de la expedición del Auto 1942 de 2023 y, como consecuencia del cambio de precedente, el juez ordene su remisión </w:t>
            </w:r>
            <w:r w:rsidRPr="008E69BD">
              <w:rPr>
                <w:rFonts w:ascii="Times New Roman" w:hAnsi="Times New Roman" w:cs="Times New Roman"/>
                <w:sz w:val="28"/>
                <w:szCs w:val="24"/>
              </w:rPr>
              <w:t>hasta seis (6) meses después</w:t>
            </w:r>
            <w:r w:rsidRPr="008E69BD">
              <w:rPr>
                <w:rFonts w:ascii="Times New Roman" w:hAnsi="Times New Roman" w:cs="Times New Roman"/>
                <w:bCs/>
                <w:sz w:val="28"/>
                <w:szCs w:val="24"/>
              </w:rPr>
              <w:t xml:space="preserve"> </w:t>
            </w:r>
            <w:r w:rsidRPr="008E69BD">
              <w:rPr>
                <w:rFonts w:ascii="Times New Roman" w:hAnsi="Times New Roman" w:cs="Times New Roman"/>
                <w:sz w:val="28"/>
                <w:szCs w:val="24"/>
              </w:rPr>
              <w:t xml:space="preserve">de la publicación de este último auto </w:t>
            </w:r>
            <w:r w:rsidRPr="008E69BD">
              <w:rPr>
                <w:rFonts w:ascii="Times New Roman" w:hAnsi="Times New Roman" w:cs="Times New Roman"/>
                <w:bCs/>
                <w:sz w:val="28"/>
                <w:szCs w:val="24"/>
              </w:rPr>
              <w:t>a la jurisdicción de lo contencioso administrativo y en esa sede judicial se deba adoptar una decisión de rechazo o inadmisión.</w:t>
            </w:r>
          </w:p>
        </w:tc>
      </w:tr>
      <w:tr w:rsidR="00DA46F8" w:rsidRPr="008E69BD" w14:paraId="3ACACDF3" w14:textId="77777777" w:rsidTr="008F50FE">
        <w:trPr>
          <w:jc w:val="center"/>
        </w:trPr>
        <w:tc>
          <w:tcPr>
            <w:tcW w:w="2263" w:type="dxa"/>
            <w:vMerge/>
            <w:shd w:val="clear" w:color="auto" w:fill="F2F2F2" w:themeFill="background1" w:themeFillShade="F2"/>
            <w:vAlign w:val="center"/>
          </w:tcPr>
          <w:p w14:paraId="5EFC6914" w14:textId="77777777" w:rsidR="00000000" w:rsidRPr="008E69BD" w:rsidRDefault="00000000" w:rsidP="008F50FE">
            <w:pPr>
              <w:pStyle w:val="Prrafodelista"/>
              <w:spacing w:after="0" w:line="240" w:lineRule="auto"/>
              <w:ind w:left="0"/>
              <w:jc w:val="both"/>
              <w:rPr>
                <w:rFonts w:ascii="Times New Roman" w:hAnsi="Times New Roman" w:cs="Times New Roman"/>
                <w:i/>
                <w:iCs/>
                <w:sz w:val="28"/>
                <w:szCs w:val="24"/>
                <w:u w:val="single"/>
              </w:rPr>
            </w:pPr>
          </w:p>
        </w:tc>
        <w:tc>
          <w:tcPr>
            <w:tcW w:w="6565" w:type="dxa"/>
            <w:vAlign w:val="center"/>
          </w:tcPr>
          <w:p w14:paraId="1457FC9C" w14:textId="77777777" w:rsidR="00000000" w:rsidRPr="008E69BD" w:rsidRDefault="008E69BD" w:rsidP="008F50FE">
            <w:pPr>
              <w:pStyle w:val="Prrafodelista"/>
              <w:spacing w:after="0" w:line="240" w:lineRule="auto"/>
              <w:ind w:left="0"/>
              <w:jc w:val="both"/>
              <w:rPr>
                <w:rFonts w:ascii="Times New Roman" w:hAnsi="Times New Roman" w:cs="Times New Roman"/>
                <w:sz w:val="28"/>
                <w:szCs w:val="24"/>
              </w:rPr>
            </w:pPr>
            <w:r w:rsidRPr="008E69BD">
              <w:rPr>
                <w:rFonts w:ascii="Times New Roman" w:hAnsi="Times New Roman" w:cs="Times New Roman"/>
                <w:sz w:val="28"/>
                <w:szCs w:val="24"/>
              </w:rPr>
              <w:t>Demandas instauradas ante la Jurisdicción de lo Contencioso Administrativo con posterioridad a la expedición del auto 389 de 2021 y que, a partir del cambio de precedente:</w:t>
            </w:r>
          </w:p>
          <w:p w14:paraId="0E82A612" w14:textId="77777777" w:rsidR="00000000" w:rsidRPr="008E69BD" w:rsidRDefault="00000000" w:rsidP="008F50FE">
            <w:pPr>
              <w:pStyle w:val="Prrafodelista"/>
              <w:spacing w:after="0" w:line="240" w:lineRule="auto"/>
              <w:ind w:left="0"/>
              <w:jc w:val="both"/>
              <w:rPr>
                <w:rFonts w:ascii="Times New Roman" w:hAnsi="Times New Roman" w:cs="Times New Roman"/>
                <w:b/>
                <w:bCs/>
                <w:sz w:val="28"/>
                <w:szCs w:val="24"/>
              </w:rPr>
            </w:pPr>
          </w:p>
          <w:p w14:paraId="4529B943" w14:textId="77777777" w:rsidR="00000000" w:rsidRPr="008E69BD" w:rsidRDefault="008E69BD" w:rsidP="008F50FE">
            <w:pPr>
              <w:pStyle w:val="Prrafodelista"/>
              <w:numPr>
                <w:ilvl w:val="0"/>
                <w:numId w:val="3"/>
              </w:numPr>
              <w:spacing w:after="0" w:line="240" w:lineRule="auto"/>
              <w:ind w:left="453" w:hanging="425"/>
              <w:jc w:val="both"/>
              <w:rPr>
                <w:rFonts w:ascii="Times New Roman" w:hAnsi="Times New Roman" w:cs="Times New Roman"/>
                <w:sz w:val="28"/>
              </w:rPr>
            </w:pPr>
            <w:r w:rsidRPr="008E69BD">
              <w:rPr>
                <w:rFonts w:ascii="Times New Roman" w:hAnsi="Times New Roman" w:cs="Times New Roman"/>
                <w:sz w:val="28"/>
              </w:rPr>
              <w:t>Se inadmitieron o rechazaron por el incumplimiento de los requisitos de procedibilidad, según el medio de control elegido por el demandante.</w:t>
            </w:r>
          </w:p>
          <w:p w14:paraId="6CB50612" w14:textId="77777777" w:rsidR="00000000" w:rsidRPr="008E69BD" w:rsidRDefault="00000000" w:rsidP="008F50FE">
            <w:pPr>
              <w:pStyle w:val="Prrafodelista"/>
              <w:spacing w:after="0" w:line="240" w:lineRule="auto"/>
              <w:ind w:left="453" w:hanging="425"/>
              <w:jc w:val="both"/>
              <w:rPr>
                <w:rFonts w:ascii="Times New Roman" w:hAnsi="Times New Roman" w:cs="Times New Roman"/>
                <w:sz w:val="28"/>
              </w:rPr>
            </w:pPr>
          </w:p>
          <w:p w14:paraId="77B6CC5C" w14:textId="77777777" w:rsidR="00000000" w:rsidRPr="008E69BD" w:rsidRDefault="008E69BD" w:rsidP="008F50FE">
            <w:pPr>
              <w:pStyle w:val="Prrafodelista"/>
              <w:numPr>
                <w:ilvl w:val="0"/>
                <w:numId w:val="3"/>
              </w:numPr>
              <w:spacing w:after="0" w:line="240" w:lineRule="auto"/>
              <w:ind w:left="453" w:hanging="425"/>
              <w:jc w:val="both"/>
              <w:rPr>
                <w:rFonts w:ascii="Times New Roman" w:hAnsi="Times New Roman" w:cs="Times New Roman"/>
                <w:sz w:val="28"/>
                <w:szCs w:val="24"/>
              </w:rPr>
            </w:pPr>
            <w:r w:rsidRPr="008E69BD">
              <w:rPr>
                <w:rFonts w:ascii="Times New Roman" w:hAnsi="Times New Roman" w:cs="Times New Roman"/>
                <w:sz w:val="28"/>
                <w:szCs w:val="24"/>
              </w:rPr>
              <w:t xml:space="preserve"> </w:t>
            </w:r>
            <w:r w:rsidRPr="008E69BD">
              <w:rPr>
                <w:rFonts w:ascii="Times New Roman" w:eastAsiaTheme="minorHAnsi" w:hAnsi="Times New Roman" w:cs="Times New Roman"/>
                <w:bCs/>
                <w:sz w:val="28"/>
              </w:rPr>
              <w:t>Se encuentran en trámite al momento de la expedición del auto 1942 de 2023 y en dicha sede se deba adoptar una decisión de rechazo o inadmisión.</w:t>
            </w:r>
          </w:p>
        </w:tc>
      </w:tr>
      <w:tr w:rsidR="00DA46F8" w:rsidRPr="008E69BD" w14:paraId="1E7C218B" w14:textId="77777777" w:rsidTr="008F50FE">
        <w:trPr>
          <w:jc w:val="center"/>
        </w:trPr>
        <w:tc>
          <w:tcPr>
            <w:tcW w:w="2263" w:type="dxa"/>
            <w:vMerge/>
            <w:shd w:val="clear" w:color="auto" w:fill="F2F2F2" w:themeFill="background1" w:themeFillShade="F2"/>
            <w:vAlign w:val="center"/>
          </w:tcPr>
          <w:p w14:paraId="114BA5BE" w14:textId="77777777" w:rsidR="00000000" w:rsidRPr="008E69BD" w:rsidRDefault="00000000" w:rsidP="008F50FE">
            <w:pPr>
              <w:pStyle w:val="Prrafodelista"/>
              <w:spacing w:after="0" w:line="240" w:lineRule="auto"/>
              <w:ind w:left="0"/>
              <w:jc w:val="both"/>
              <w:rPr>
                <w:rFonts w:ascii="Times New Roman" w:hAnsi="Times New Roman" w:cs="Times New Roman"/>
                <w:i/>
                <w:iCs/>
                <w:sz w:val="28"/>
                <w:szCs w:val="24"/>
                <w:u w:val="single"/>
              </w:rPr>
            </w:pPr>
          </w:p>
        </w:tc>
        <w:tc>
          <w:tcPr>
            <w:tcW w:w="6565" w:type="dxa"/>
            <w:vAlign w:val="center"/>
          </w:tcPr>
          <w:p w14:paraId="1E2221EC" w14:textId="77777777" w:rsidR="00000000" w:rsidRPr="008E69BD" w:rsidRDefault="008E69BD" w:rsidP="008F50FE">
            <w:pPr>
              <w:pStyle w:val="Prrafodelista"/>
              <w:numPr>
                <w:ilvl w:val="0"/>
                <w:numId w:val="3"/>
              </w:numPr>
              <w:spacing w:after="0" w:line="240" w:lineRule="auto"/>
              <w:ind w:left="453" w:hanging="425"/>
              <w:jc w:val="both"/>
              <w:rPr>
                <w:rFonts w:ascii="Times New Roman" w:hAnsi="Times New Roman" w:cs="Times New Roman"/>
                <w:sz w:val="28"/>
                <w:szCs w:val="24"/>
              </w:rPr>
            </w:pPr>
            <w:r w:rsidRPr="008E69BD">
              <w:rPr>
                <w:rFonts w:ascii="Times New Roman" w:hAnsi="Times New Roman" w:cs="Times New Roman"/>
                <w:sz w:val="28"/>
                <w:szCs w:val="24"/>
              </w:rPr>
              <w:t xml:space="preserve">Demandas que </w:t>
            </w:r>
            <w:r w:rsidRPr="008E69BD">
              <w:rPr>
                <w:rFonts w:ascii="Times New Roman" w:eastAsiaTheme="minorHAnsi" w:hAnsi="Times New Roman" w:cs="Times New Roman"/>
                <w:sz w:val="28"/>
              </w:rPr>
              <w:t xml:space="preserve">se inicien hasta seis meses después </w:t>
            </w:r>
            <w:r w:rsidRPr="008E69BD">
              <w:rPr>
                <w:rFonts w:ascii="Times New Roman" w:hAnsi="Times New Roman" w:cs="Times New Roman"/>
                <w:sz w:val="28"/>
                <w:shd w:val="clear" w:color="auto" w:fill="FFFFFF"/>
              </w:rPr>
              <w:t>de la publicación por parte del Consejo Superior de la Judicatura del auto 1942 de 2023, según lo ordenado en el resolutivo sexto.</w:t>
            </w:r>
          </w:p>
        </w:tc>
      </w:tr>
      <w:tr w:rsidR="00DA46F8" w:rsidRPr="008E69BD" w14:paraId="6B1E86F7" w14:textId="77777777" w:rsidTr="008F50FE">
        <w:trPr>
          <w:jc w:val="center"/>
        </w:trPr>
        <w:tc>
          <w:tcPr>
            <w:tcW w:w="2263" w:type="dxa"/>
            <w:vMerge w:val="restart"/>
            <w:shd w:val="clear" w:color="auto" w:fill="F2F2F2" w:themeFill="background1" w:themeFillShade="F2"/>
            <w:vAlign w:val="center"/>
          </w:tcPr>
          <w:p w14:paraId="1B1F9DED" w14:textId="77777777" w:rsidR="00000000" w:rsidRPr="008E69BD" w:rsidRDefault="008E69BD" w:rsidP="008F50FE">
            <w:pPr>
              <w:pStyle w:val="Prrafodelista"/>
              <w:spacing w:after="0" w:line="240" w:lineRule="auto"/>
              <w:ind w:left="0"/>
              <w:jc w:val="center"/>
              <w:rPr>
                <w:rFonts w:ascii="Times New Roman" w:hAnsi="Times New Roman" w:cs="Times New Roman"/>
                <w:b/>
                <w:bCs/>
                <w:sz w:val="28"/>
                <w:szCs w:val="24"/>
              </w:rPr>
            </w:pPr>
            <w:r w:rsidRPr="008E69BD">
              <w:rPr>
                <w:rFonts w:ascii="Times New Roman" w:hAnsi="Times New Roman" w:cs="Times New Roman"/>
                <w:b/>
                <w:bCs/>
                <w:sz w:val="28"/>
                <w:szCs w:val="24"/>
              </w:rPr>
              <w:t>Reglas de transición a aplicar</w:t>
            </w:r>
            <w:r w:rsidRPr="008E69BD">
              <w:rPr>
                <w:rStyle w:val="Refdenotaalpie"/>
                <w:rFonts w:ascii="Times New Roman" w:hAnsi="Times New Roman" w:cs="Times New Roman"/>
                <w:b/>
                <w:bCs/>
                <w:sz w:val="28"/>
                <w:szCs w:val="24"/>
              </w:rPr>
              <w:footnoteReference w:id="21"/>
            </w:r>
            <w:r w:rsidRPr="008E69BD">
              <w:rPr>
                <w:rFonts w:ascii="Times New Roman" w:hAnsi="Times New Roman" w:cs="Times New Roman"/>
                <w:b/>
                <w:bCs/>
                <w:sz w:val="28"/>
                <w:szCs w:val="24"/>
              </w:rPr>
              <w:t>:</w:t>
            </w:r>
          </w:p>
        </w:tc>
        <w:tc>
          <w:tcPr>
            <w:tcW w:w="6565" w:type="dxa"/>
            <w:vAlign w:val="center"/>
          </w:tcPr>
          <w:p w14:paraId="26FA4B11" w14:textId="77777777" w:rsidR="00000000" w:rsidRPr="008E69BD" w:rsidRDefault="008E69BD" w:rsidP="00CB5E45">
            <w:pPr>
              <w:pStyle w:val="Prrafodelista"/>
              <w:numPr>
                <w:ilvl w:val="1"/>
                <w:numId w:val="2"/>
              </w:numPr>
              <w:spacing w:after="0" w:line="240" w:lineRule="auto"/>
              <w:ind w:left="41" w:firstLine="0"/>
              <w:jc w:val="both"/>
              <w:rPr>
                <w:rFonts w:ascii="Times New Roman" w:hAnsi="Times New Roman" w:cs="Times New Roman"/>
                <w:sz w:val="28"/>
                <w:szCs w:val="24"/>
              </w:rPr>
            </w:pPr>
            <w:r w:rsidRPr="008E69BD">
              <w:rPr>
                <w:rFonts w:ascii="Times New Roman" w:hAnsi="Times New Roman" w:cs="Times New Roman"/>
                <w:i/>
                <w:iCs/>
                <w:sz w:val="28"/>
                <w:szCs w:val="24"/>
                <w:u w:val="single"/>
              </w:rPr>
              <w:t>Respecto del agotamiento previo de recursos</w:t>
            </w:r>
            <w:r w:rsidRPr="008E69BD">
              <w:rPr>
                <w:rFonts w:ascii="Times New Roman" w:hAnsi="Times New Roman" w:cs="Times New Roman"/>
                <w:sz w:val="28"/>
                <w:szCs w:val="24"/>
              </w:rPr>
              <w:t xml:space="preserve">. El artículo 161.2 del CPACA que refiere </w:t>
            </w:r>
            <w:r w:rsidRPr="008E69BD">
              <w:rPr>
                <w:rFonts w:ascii="Times New Roman" w:hAnsi="Times New Roman" w:cs="Times New Roman"/>
                <w:sz w:val="28"/>
                <w:shd w:val="clear" w:color="auto" w:fill="FFFFFF"/>
                <w:lang w:val="es-MX"/>
              </w:rPr>
              <w:t xml:space="preserve">el agotamiento previo de los recursos obligatorios </w:t>
            </w:r>
            <w:r w:rsidRPr="008E69BD">
              <w:rPr>
                <w:rFonts w:ascii="Times New Roman" w:hAnsi="Times New Roman" w:cs="Times New Roman"/>
                <w:b/>
                <w:bCs/>
                <w:sz w:val="28"/>
                <w:shd w:val="clear" w:color="auto" w:fill="FFFFFF"/>
                <w:lang w:val="es-MX"/>
              </w:rPr>
              <w:t>no aplica frente a las demandas de nulidad y restablecimiento del derecho</w:t>
            </w:r>
            <w:r w:rsidRPr="008E69BD">
              <w:rPr>
                <w:rFonts w:ascii="Times New Roman" w:hAnsi="Times New Roman" w:cs="Times New Roman"/>
                <w:sz w:val="28"/>
                <w:shd w:val="clear" w:color="auto" w:fill="FFFFFF"/>
                <w:lang w:val="es-MX"/>
              </w:rPr>
              <w:t xml:space="preserve"> </w:t>
            </w:r>
            <w:r w:rsidRPr="008E69BD">
              <w:rPr>
                <w:rFonts w:ascii="Times New Roman" w:hAnsi="Times New Roman" w:cs="Times New Roman"/>
                <w:sz w:val="28"/>
                <w:shd w:val="clear" w:color="auto" w:fill="FFFFFF"/>
                <w:lang w:val="es-MX"/>
              </w:rPr>
              <w:lastRenderedPageBreak/>
              <w:t xml:space="preserve">promovidas contra la ADRES, con la finalidad de obtener el recobro judicial </w:t>
            </w:r>
            <w:r w:rsidRPr="008E69BD">
              <w:rPr>
                <w:rFonts w:ascii="Times New Roman" w:hAnsi="Times New Roman" w:cs="Times New Roman"/>
                <w:sz w:val="28"/>
                <w:shd w:val="clear" w:color="auto" w:fill="FFFFFF"/>
              </w:rPr>
              <w:t>por prestaciones de servicios de salud no incluidos en el PBS. Por consiguiente, las autoridades judiciales no deben exigir que se adelante el trámite de objeción ante la ADRES (</w:t>
            </w:r>
            <w:r w:rsidRPr="008E69BD">
              <w:rPr>
                <w:rFonts w:ascii="Times New Roman" w:hAnsi="Times New Roman" w:cs="Times New Roman"/>
                <w:i/>
                <w:iCs/>
                <w:sz w:val="28"/>
                <w:shd w:val="clear" w:color="auto" w:fill="FFFFFF"/>
              </w:rPr>
              <w:t>ni ningún otro recurso adicional</w:t>
            </w:r>
            <w:r w:rsidRPr="008E69BD">
              <w:rPr>
                <w:rFonts w:ascii="Times New Roman" w:hAnsi="Times New Roman" w:cs="Times New Roman"/>
                <w:sz w:val="28"/>
                <w:shd w:val="clear" w:color="auto" w:fill="FFFFFF"/>
              </w:rPr>
              <w:t>), para que el medio de control de nulidad y restablecimiento del derecho sea admitido.</w:t>
            </w:r>
          </w:p>
        </w:tc>
      </w:tr>
      <w:tr w:rsidR="00DA46F8" w:rsidRPr="008E69BD" w14:paraId="6676D33D" w14:textId="77777777" w:rsidTr="008F50FE">
        <w:trPr>
          <w:jc w:val="center"/>
        </w:trPr>
        <w:tc>
          <w:tcPr>
            <w:tcW w:w="2263" w:type="dxa"/>
            <w:vMerge/>
            <w:shd w:val="clear" w:color="auto" w:fill="F2F2F2" w:themeFill="background1" w:themeFillShade="F2"/>
            <w:vAlign w:val="center"/>
          </w:tcPr>
          <w:p w14:paraId="0D2CAFFD" w14:textId="77777777" w:rsidR="00000000" w:rsidRPr="008E69BD" w:rsidRDefault="00000000" w:rsidP="008F50FE">
            <w:pPr>
              <w:pStyle w:val="Prrafodelista"/>
              <w:spacing w:after="0" w:line="240" w:lineRule="auto"/>
              <w:ind w:left="0"/>
              <w:jc w:val="both"/>
              <w:rPr>
                <w:rFonts w:ascii="Times New Roman" w:hAnsi="Times New Roman" w:cs="Times New Roman"/>
                <w:i/>
                <w:iCs/>
                <w:sz w:val="28"/>
                <w:szCs w:val="24"/>
                <w:u w:val="single"/>
              </w:rPr>
            </w:pPr>
          </w:p>
        </w:tc>
        <w:tc>
          <w:tcPr>
            <w:tcW w:w="6565" w:type="dxa"/>
            <w:vAlign w:val="center"/>
          </w:tcPr>
          <w:p w14:paraId="066832F0" w14:textId="77777777" w:rsidR="00000000" w:rsidRPr="008E69BD" w:rsidRDefault="008E69BD" w:rsidP="00CB5E45">
            <w:pPr>
              <w:pStyle w:val="Prrafodelista"/>
              <w:numPr>
                <w:ilvl w:val="1"/>
                <w:numId w:val="2"/>
              </w:numPr>
              <w:spacing w:after="0" w:line="240" w:lineRule="auto"/>
              <w:ind w:left="41" w:firstLine="0"/>
              <w:jc w:val="both"/>
              <w:rPr>
                <w:rFonts w:ascii="Times New Roman" w:hAnsi="Times New Roman" w:cs="Times New Roman"/>
                <w:sz w:val="28"/>
                <w:szCs w:val="24"/>
                <w:u w:val="single"/>
              </w:rPr>
            </w:pPr>
            <w:r w:rsidRPr="008E69BD">
              <w:rPr>
                <w:rFonts w:ascii="Times New Roman" w:hAnsi="Times New Roman" w:cs="Times New Roman"/>
                <w:i/>
                <w:iCs/>
                <w:sz w:val="28"/>
                <w:szCs w:val="24"/>
                <w:u w:val="single"/>
              </w:rPr>
              <w:t>Respecto de la conciliación extrajudicial</w:t>
            </w:r>
            <w:r w:rsidRPr="008E69BD">
              <w:rPr>
                <w:rFonts w:ascii="Times New Roman" w:hAnsi="Times New Roman" w:cs="Times New Roman"/>
                <w:i/>
                <w:iCs/>
                <w:sz w:val="28"/>
                <w:szCs w:val="24"/>
              </w:rPr>
              <w:t>.</w:t>
            </w:r>
            <w:r w:rsidRPr="008E69BD">
              <w:rPr>
                <w:rFonts w:ascii="Times New Roman" w:hAnsi="Times New Roman" w:cs="Times New Roman"/>
                <w:sz w:val="28"/>
                <w:szCs w:val="24"/>
              </w:rPr>
              <w:t xml:space="preserve"> No se exigirá el agotamiento del requisito de la conciliación extrajudicial previsto en el artículo 161.1 del CPACA. Y en las demandas que exista una conciliación previa deberá ser tenida en cuenta por las autoridades judiciales. En todo caso, </w:t>
            </w:r>
            <w:r w:rsidRPr="008E69BD">
              <w:rPr>
                <w:rFonts w:ascii="Times New Roman" w:hAnsi="Times New Roman" w:cs="Times New Roman"/>
                <w:sz w:val="28"/>
                <w:shd w:val="clear" w:color="auto" w:fill="FFFFFF"/>
                <w:lang w:val="es-419"/>
              </w:rPr>
              <w:t>los jueces administrativos deberán invitar a las partes a conciliar sus diferencias proponiendo eventuales fórmulas de arreglo en la audiencia inicial del artículo 180 del CPACA.</w:t>
            </w:r>
          </w:p>
        </w:tc>
      </w:tr>
      <w:tr w:rsidR="00DA46F8" w:rsidRPr="008E69BD" w14:paraId="2E183F38" w14:textId="77777777" w:rsidTr="008F50FE">
        <w:trPr>
          <w:jc w:val="center"/>
        </w:trPr>
        <w:tc>
          <w:tcPr>
            <w:tcW w:w="2263" w:type="dxa"/>
            <w:vMerge/>
            <w:shd w:val="clear" w:color="auto" w:fill="F2F2F2" w:themeFill="background1" w:themeFillShade="F2"/>
            <w:vAlign w:val="center"/>
          </w:tcPr>
          <w:p w14:paraId="7792B1E2" w14:textId="77777777" w:rsidR="00000000" w:rsidRPr="008E69BD" w:rsidRDefault="00000000" w:rsidP="008F50FE">
            <w:pPr>
              <w:pStyle w:val="Prrafodelista"/>
              <w:spacing w:after="0" w:line="240" w:lineRule="auto"/>
              <w:ind w:left="0"/>
              <w:jc w:val="both"/>
              <w:rPr>
                <w:rFonts w:ascii="Times New Roman" w:hAnsi="Times New Roman" w:cs="Times New Roman"/>
                <w:i/>
                <w:iCs/>
                <w:sz w:val="28"/>
                <w:szCs w:val="24"/>
                <w:u w:val="single"/>
              </w:rPr>
            </w:pPr>
          </w:p>
        </w:tc>
        <w:tc>
          <w:tcPr>
            <w:tcW w:w="6565" w:type="dxa"/>
            <w:vAlign w:val="center"/>
          </w:tcPr>
          <w:p w14:paraId="51BF2C6D" w14:textId="77777777" w:rsidR="00000000" w:rsidRPr="008E69BD" w:rsidRDefault="008E69BD" w:rsidP="00CB5E45">
            <w:pPr>
              <w:pStyle w:val="Prrafodelista"/>
              <w:numPr>
                <w:ilvl w:val="1"/>
                <w:numId w:val="2"/>
              </w:numPr>
              <w:spacing w:after="0" w:line="240" w:lineRule="auto"/>
              <w:ind w:left="41" w:firstLine="0"/>
              <w:jc w:val="both"/>
              <w:rPr>
                <w:rFonts w:ascii="Times New Roman" w:hAnsi="Times New Roman" w:cs="Times New Roman"/>
                <w:i/>
                <w:iCs/>
                <w:sz w:val="28"/>
                <w:szCs w:val="24"/>
                <w:u w:val="single"/>
              </w:rPr>
            </w:pPr>
            <w:r w:rsidRPr="008E69BD">
              <w:rPr>
                <w:rFonts w:ascii="Times New Roman" w:eastAsia="Garamond" w:hAnsi="Times New Roman" w:cs="Times New Roman"/>
                <w:i/>
                <w:iCs/>
                <w:sz w:val="28"/>
                <w:u w:val="single"/>
              </w:rPr>
              <w:t>Respecto de los términos de caducidad del medio de control</w:t>
            </w:r>
            <w:r w:rsidRPr="008E69BD">
              <w:rPr>
                <w:rFonts w:ascii="Times New Roman" w:eastAsia="Garamond" w:hAnsi="Times New Roman" w:cs="Times New Roman"/>
                <w:i/>
                <w:iCs/>
                <w:sz w:val="28"/>
              </w:rPr>
              <w:t xml:space="preserve">. </w:t>
            </w:r>
            <w:r w:rsidRPr="008E69BD">
              <w:rPr>
                <w:rFonts w:ascii="Times New Roman" w:eastAsia="Garamond" w:hAnsi="Times New Roman" w:cs="Times New Roman"/>
                <w:sz w:val="28"/>
              </w:rPr>
              <w:t xml:space="preserve">En cada caso, </w:t>
            </w:r>
            <w:r w:rsidRPr="008E69BD">
              <w:rPr>
                <w:rFonts w:ascii="Times New Roman" w:eastAsia="Garamond" w:hAnsi="Times New Roman" w:cs="Times New Roman"/>
                <w:b/>
                <w:bCs/>
                <w:sz w:val="28"/>
              </w:rPr>
              <w:t xml:space="preserve">el Juez de lo Contencioso Administrativo podrá </w:t>
            </w:r>
            <w:r w:rsidRPr="008E69BD">
              <w:rPr>
                <w:rFonts w:ascii="Times New Roman" w:hAnsi="Times New Roman" w:cs="Times New Roman"/>
                <w:b/>
                <w:bCs/>
                <w:sz w:val="28"/>
              </w:rPr>
              <w:t>contabilizar el término de la prescripción</w:t>
            </w:r>
            <w:r w:rsidRPr="008E69BD">
              <w:rPr>
                <w:rFonts w:ascii="Times New Roman" w:hAnsi="Times New Roman" w:cs="Times New Roman"/>
                <w:sz w:val="28"/>
              </w:rPr>
              <w:t xml:space="preserve"> que debió tener en cuenta el juez laboral y de la seguridad social, al momento de estudiar la caducidad y admisión de la demanda.</w:t>
            </w:r>
          </w:p>
        </w:tc>
      </w:tr>
    </w:tbl>
    <w:p w14:paraId="733E1737" w14:textId="77777777" w:rsidR="00000000" w:rsidRPr="008E69BD" w:rsidRDefault="00000000" w:rsidP="00DA46F8">
      <w:pPr>
        <w:pStyle w:val="Prrafodelista"/>
        <w:spacing w:after="0" w:line="240" w:lineRule="auto"/>
        <w:ind w:left="0"/>
        <w:jc w:val="both"/>
        <w:rPr>
          <w:rFonts w:ascii="Times New Roman" w:hAnsi="Times New Roman" w:cs="Times New Roman"/>
          <w:i/>
          <w:iCs/>
          <w:sz w:val="28"/>
          <w:szCs w:val="28"/>
        </w:rPr>
      </w:pPr>
    </w:p>
    <w:p w14:paraId="300D8AF3" w14:textId="77777777" w:rsidR="00000000" w:rsidRPr="008E69BD" w:rsidRDefault="008E69BD" w:rsidP="0089795B">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bCs/>
          <w:sz w:val="28"/>
          <w:szCs w:val="28"/>
        </w:rPr>
        <w:t>Por último, se advierte que las reglas de transición citadas son aplicables a las demandas relacionadas con recobros de servicios de salud en los que el extremo pasivo sea integrado por el Ministerio de Salud y Protección Social y/o los consorcios que administraron en su momento, los recursos del Fondo de Solidaridad y Garantía - FOSYGA</w:t>
      </w:r>
      <w:r w:rsidRPr="008E69BD">
        <w:rPr>
          <w:rFonts w:ascii="Times New Roman" w:hAnsi="Times New Roman" w:cs="Times New Roman"/>
          <w:bCs/>
          <w:sz w:val="28"/>
          <w:szCs w:val="24"/>
          <w:vertAlign w:val="superscript"/>
        </w:rPr>
        <w:footnoteReference w:id="22"/>
      </w:r>
      <w:r w:rsidRPr="008E69BD">
        <w:rPr>
          <w:rFonts w:ascii="Times New Roman" w:hAnsi="Times New Roman" w:cs="Times New Roman"/>
          <w:bCs/>
          <w:sz w:val="28"/>
          <w:szCs w:val="28"/>
        </w:rPr>
        <w:t>.</w:t>
      </w:r>
    </w:p>
    <w:p w14:paraId="12984A65" w14:textId="77777777" w:rsidR="00000000" w:rsidRPr="008E69BD" w:rsidRDefault="00000000" w:rsidP="00845427">
      <w:pPr>
        <w:pStyle w:val="Prrafodelista"/>
        <w:spacing w:after="0" w:line="240" w:lineRule="auto"/>
        <w:ind w:left="0"/>
        <w:jc w:val="both"/>
        <w:rPr>
          <w:rFonts w:ascii="Times New Roman" w:hAnsi="Times New Roman" w:cs="Times New Roman"/>
          <w:i/>
          <w:iCs/>
          <w:sz w:val="28"/>
          <w:szCs w:val="28"/>
        </w:rPr>
      </w:pPr>
    </w:p>
    <w:p w14:paraId="776ACE6B" w14:textId="5842D6B9" w:rsidR="00000000" w:rsidRPr="008E69BD" w:rsidRDefault="008E69BD" w:rsidP="00CB5E45">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i/>
          <w:iCs/>
          <w:sz w:val="28"/>
          <w:szCs w:val="28"/>
          <w:u w:val="single"/>
        </w:rPr>
        <w:t>Examen del caso concreto</w:t>
      </w:r>
      <w:r w:rsidRPr="008E69BD">
        <w:rPr>
          <w:rFonts w:ascii="Times New Roman" w:hAnsi="Times New Roman" w:cs="Times New Roman"/>
          <w:i/>
          <w:iCs/>
          <w:sz w:val="28"/>
          <w:szCs w:val="28"/>
        </w:rPr>
        <w:t xml:space="preserve">. </w:t>
      </w:r>
      <w:r w:rsidRPr="008E69BD">
        <w:rPr>
          <w:rFonts w:ascii="Times New Roman" w:hAnsi="Times New Roman" w:cs="Times New Roman"/>
          <w:sz w:val="28"/>
          <w:szCs w:val="28"/>
          <w:lang w:val="es-ES_tradnl"/>
        </w:rPr>
        <w:t xml:space="preserve">En el asunto objeto de decisión, se cumplen con los tres presupuestos para la configuración de un conflicto de jurisdicciones, por las siguientes razones: </w:t>
      </w:r>
      <w:r w:rsidRPr="008E69BD">
        <w:rPr>
          <w:rFonts w:ascii="Times New Roman" w:hAnsi="Times New Roman" w:cs="Times New Roman"/>
          <w:i/>
          <w:iCs/>
          <w:sz w:val="28"/>
          <w:szCs w:val="28"/>
          <w:lang w:val="es-ES_tradnl"/>
        </w:rPr>
        <w:t>(i)</w:t>
      </w:r>
      <w:r w:rsidRPr="008E69BD">
        <w:rPr>
          <w:rFonts w:ascii="Times New Roman" w:hAnsi="Times New Roman" w:cs="Times New Roman"/>
          <w:sz w:val="28"/>
          <w:szCs w:val="28"/>
          <w:lang w:val="es-ES_tradnl"/>
        </w:rPr>
        <w:t xml:space="preserve"> el mismo se suscitó entre </w:t>
      </w:r>
      <w:r w:rsidRPr="008E69BD">
        <w:rPr>
          <w:rFonts w:ascii="Times New Roman" w:hAnsi="Times New Roman" w:cs="Times New Roman"/>
          <w:sz w:val="28"/>
          <w:szCs w:val="28"/>
        </w:rPr>
        <w:t>el Juzgado 15 Administrativo de Descongestión del Circuito de Bogotá y el Juzgado 24 Laboral del Circuito de la misma ciudad</w:t>
      </w:r>
      <w:r w:rsidRPr="008E69BD">
        <w:rPr>
          <w:rFonts w:ascii="Times New Roman" w:hAnsi="Times New Roman" w:cs="Times New Roman"/>
          <w:i/>
          <w:iCs/>
          <w:sz w:val="28"/>
          <w:szCs w:val="28"/>
          <w:lang w:val="es-ES_tradnl"/>
        </w:rPr>
        <w:t xml:space="preserve"> (</w:t>
      </w:r>
      <w:r w:rsidRPr="008E69BD">
        <w:rPr>
          <w:rFonts w:ascii="Times New Roman" w:hAnsi="Times New Roman" w:cs="Times New Roman"/>
          <w:i/>
          <w:iCs/>
          <w:sz w:val="28"/>
          <w:szCs w:val="28"/>
          <w:u w:val="single"/>
          <w:lang w:val="es-ES_tradnl"/>
        </w:rPr>
        <w:t>presupuesto subjetivo</w:t>
      </w:r>
      <w:r w:rsidRPr="008E69BD">
        <w:rPr>
          <w:rFonts w:ascii="Times New Roman" w:hAnsi="Times New Roman" w:cs="Times New Roman"/>
          <w:i/>
          <w:iCs/>
          <w:sz w:val="28"/>
          <w:szCs w:val="28"/>
          <w:lang w:val="es-ES_tradnl"/>
        </w:rPr>
        <w:t>)</w:t>
      </w:r>
      <w:r w:rsidRPr="008E69BD">
        <w:rPr>
          <w:rFonts w:ascii="Times New Roman" w:hAnsi="Times New Roman" w:cs="Times New Roman"/>
          <w:sz w:val="28"/>
          <w:szCs w:val="28"/>
          <w:lang w:val="es-ES_tradnl"/>
        </w:rPr>
        <w:t xml:space="preserve">; </w:t>
      </w:r>
      <w:r w:rsidRPr="008E69BD">
        <w:rPr>
          <w:rFonts w:ascii="Times New Roman" w:hAnsi="Times New Roman" w:cs="Times New Roman"/>
          <w:i/>
          <w:iCs/>
          <w:sz w:val="28"/>
          <w:szCs w:val="28"/>
          <w:lang w:val="es-ES_tradnl"/>
        </w:rPr>
        <w:t>(</w:t>
      </w:r>
      <w:proofErr w:type="spellStart"/>
      <w:r w:rsidRPr="008E69BD">
        <w:rPr>
          <w:rFonts w:ascii="Times New Roman" w:hAnsi="Times New Roman" w:cs="Times New Roman"/>
          <w:i/>
          <w:iCs/>
          <w:sz w:val="28"/>
          <w:szCs w:val="28"/>
          <w:lang w:val="es-ES_tradnl"/>
        </w:rPr>
        <w:t>ii</w:t>
      </w:r>
      <w:proofErr w:type="spellEnd"/>
      <w:r w:rsidRPr="008E69BD">
        <w:rPr>
          <w:rFonts w:ascii="Times New Roman" w:hAnsi="Times New Roman" w:cs="Times New Roman"/>
          <w:i/>
          <w:iCs/>
          <w:sz w:val="28"/>
          <w:szCs w:val="28"/>
          <w:lang w:val="es-ES_tradnl"/>
        </w:rPr>
        <w:t>)</w:t>
      </w:r>
      <w:r w:rsidRPr="008E69BD">
        <w:rPr>
          <w:rFonts w:ascii="Times New Roman" w:hAnsi="Times New Roman" w:cs="Times New Roman"/>
          <w:sz w:val="28"/>
          <w:szCs w:val="28"/>
          <w:lang w:val="es-ES_tradnl"/>
        </w:rPr>
        <w:t xml:space="preserve"> se acreditó una causa judicial respecto de la cual se alegó la falta de jurisdicción para </w:t>
      </w:r>
      <w:r w:rsidRPr="008E69BD">
        <w:rPr>
          <w:rFonts w:ascii="Times New Roman" w:hAnsi="Times New Roman" w:cs="Times New Roman"/>
          <w:sz w:val="28"/>
          <w:szCs w:val="28"/>
          <w:lang w:val="es-ES_tradnl"/>
        </w:rPr>
        <w:lastRenderedPageBreak/>
        <w:t>dirimirla, específicamente, se trata del conocimiento de la demanda instaurada por Sanitas EPS en contra de la Nación (Ministerio de Salud y Protección Social),</w:t>
      </w:r>
      <w:r w:rsidRPr="008E69BD">
        <w:rPr>
          <w:rFonts w:ascii="Times New Roman" w:hAnsi="Times New Roman" w:cs="Times New Roman"/>
          <w:sz w:val="28"/>
          <w:szCs w:val="28"/>
          <w:lang w:val="es-ES"/>
        </w:rPr>
        <w:t xml:space="preserve"> en </w:t>
      </w:r>
      <w:r w:rsidRPr="008E69BD">
        <w:rPr>
          <w:rFonts w:ascii="Times New Roman" w:hAnsi="Times New Roman" w:cs="Times New Roman"/>
          <w:color w:val="0D0D0D"/>
          <w:sz w:val="28"/>
          <w:szCs w:val="28"/>
          <w:shd w:val="clear" w:color="auto" w:fill="FFFFFF"/>
          <w:lang w:val="es-ES_tradnl"/>
        </w:rPr>
        <w:t>aras de reclamar el pago de</w:t>
      </w:r>
      <w:r w:rsidR="00FF35A3">
        <w:rPr>
          <w:rFonts w:ascii="Times New Roman" w:hAnsi="Times New Roman" w:cs="Times New Roman"/>
          <w:color w:val="0D0D0D"/>
          <w:sz w:val="28"/>
          <w:szCs w:val="28"/>
          <w:shd w:val="clear" w:color="auto" w:fill="FFFFFF"/>
          <w:lang w:val="es-ES_tradnl"/>
        </w:rPr>
        <w:t xml:space="preserve"> </w:t>
      </w:r>
      <w:r w:rsidRPr="008E69BD">
        <w:rPr>
          <w:rFonts w:ascii="Times New Roman" w:hAnsi="Times New Roman" w:cs="Times New Roman"/>
          <w:color w:val="0D0D0D"/>
          <w:sz w:val="28"/>
          <w:szCs w:val="28"/>
          <w:shd w:val="clear" w:color="auto" w:fill="FFFFFF"/>
          <w:lang w:val="es-ES_tradnl"/>
        </w:rPr>
        <w:t xml:space="preserve">                             $ 276.924.831 correspondientes a la cobertura y suministro de medicamentos no incluidos en el POS, hoy PBS </w:t>
      </w:r>
      <w:r w:rsidRPr="008E69BD">
        <w:rPr>
          <w:rFonts w:ascii="Times New Roman" w:hAnsi="Times New Roman" w:cs="Times New Roman"/>
          <w:i/>
          <w:iCs/>
          <w:sz w:val="28"/>
          <w:szCs w:val="28"/>
          <w:lang w:val="es-ES_tradnl"/>
        </w:rPr>
        <w:t>(</w:t>
      </w:r>
      <w:r w:rsidRPr="008E69BD">
        <w:rPr>
          <w:rFonts w:ascii="Times New Roman" w:hAnsi="Times New Roman" w:cs="Times New Roman"/>
          <w:i/>
          <w:iCs/>
          <w:sz w:val="28"/>
          <w:szCs w:val="28"/>
          <w:u w:val="single"/>
          <w:lang w:val="es-ES_tradnl"/>
        </w:rPr>
        <w:t>presupuesto objetivo</w:t>
      </w:r>
      <w:r w:rsidRPr="008E69BD">
        <w:rPr>
          <w:rFonts w:ascii="Times New Roman" w:hAnsi="Times New Roman" w:cs="Times New Roman"/>
          <w:i/>
          <w:iCs/>
          <w:sz w:val="28"/>
          <w:szCs w:val="28"/>
          <w:lang w:val="es-ES_tradnl"/>
        </w:rPr>
        <w:t>)</w:t>
      </w:r>
      <w:r w:rsidRPr="008E69BD">
        <w:rPr>
          <w:rFonts w:ascii="Times New Roman" w:hAnsi="Times New Roman" w:cs="Times New Roman"/>
          <w:sz w:val="28"/>
          <w:szCs w:val="28"/>
          <w:lang w:val="es-ES_tradnl"/>
        </w:rPr>
        <w:t xml:space="preserve">. Por último, </w:t>
      </w:r>
      <w:r w:rsidRPr="008E69BD">
        <w:rPr>
          <w:rFonts w:ascii="Times New Roman" w:hAnsi="Times New Roman" w:cs="Times New Roman"/>
          <w:i/>
          <w:iCs/>
          <w:sz w:val="28"/>
          <w:szCs w:val="28"/>
          <w:lang w:val="es-ES_tradnl"/>
        </w:rPr>
        <w:t>(</w:t>
      </w:r>
      <w:proofErr w:type="spellStart"/>
      <w:r w:rsidRPr="008E69BD">
        <w:rPr>
          <w:rFonts w:ascii="Times New Roman" w:hAnsi="Times New Roman" w:cs="Times New Roman"/>
          <w:i/>
          <w:iCs/>
          <w:sz w:val="28"/>
          <w:szCs w:val="28"/>
          <w:lang w:val="es-ES_tradnl"/>
        </w:rPr>
        <w:t>iii</w:t>
      </w:r>
      <w:proofErr w:type="spellEnd"/>
      <w:r w:rsidRPr="008E69BD">
        <w:rPr>
          <w:rFonts w:ascii="Times New Roman" w:hAnsi="Times New Roman" w:cs="Times New Roman"/>
          <w:i/>
          <w:iCs/>
          <w:sz w:val="28"/>
          <w:szCs w:val="28"/>
          <w:lang w:val="es-ES_tradnl"/>
        </w:rPr>
        <w:t>)</w:t>
      </w:r>
      <w:r w:rsidRPr="008E69BD">
        <w:rPr>
          <w:rFonts w:ascii="Times New Roman" w:hAnsi="Times New Roman" w:cs="Times New Roman"/>
          <w:sz w:val="28"/>
          <w:szCs w:val="28"/>
          <w:lang w:val="es-ES_tradnl"/>
        </w:rPr>
        <w:t xml:space="preserve"> se verificó que las dos autoridades judiciales en conflicto citaron y justificaron su falta de jurisdicción en los artículos 104 del CPACA y 2.4 del CPTSS, así como en pronunciamientos de la Corte Suprema de Justicia sobre asuntos similares </w:t>
      </w:r>
      <w:r w:rsidRPr="008E69BD">
        <w:rPr>
          <w:rFonts w:ascii="Times New Roman" w:hAnsi="Times New Roman" w:cs="Times New Roman"/>
          <w:i/>
          <w:iCs/>
          <w:sz w:val="28"/>
          <w:szCs w:val="28"/>
          <w:lang w:val="es-ES_tradnl"/>
        </w:rPr>
        <w:t>(</w:t>
      </w:r>
      <w:r w:rsidRPr="008E69BD">
        <w:rPr>
          <w:rFonts w:ascii="Times New Roman" w:hAnsi="Times New Roman" w:cs="Times New Roman"/>
          <w:i/>
          <w:iCs/>
          <w:sz w:val="28"/>
          <w:szCs w:val="28"/>
          <w:u w:val="single"/>
          <w:lang w:val="es-ES_tradnl"/>
        </w:rPr>
        <w:t>presupuesto normativo</w:t>
      </w:r>
      <w:r w:rsidRPr="008E69BD">
        <w:rPr>
          <w:rFonts w:ascii="Times New Roman" w:hAnsi="Times New Roman" w:cs="Times New Roman"/>
          <w:i/>
          <w:iCs/>
          <w:sz w:val="28"/>
          <w:szCs w:val="28"/>
          <w:lang w:val="es-ES_tradnl"/>
        </w:rPr>
        <w:t>)</w:t>
      </w:r>
      <w:r w:rsidRPr="008E69BD">
        <w:rPr>
          <w:rFonts w:ascii="Times New Roman" w:hAnsi="Times New Roman" w:cs="Times New Roman"/>
          <w:sz w:val="28"/>
          <w:szCs w:val="28"/>
          <w:lang w:val="es-ES_tradnl"/>
        </w:rPr>
        <w:t>.</w:t>
      </w:r>
    </w:p>
    <w:p w14:paraId="577DD4E2" w14:textId="77777777" w:rsidR="00000000" w:rsidRPr="008E69BD" w:rsidRDefault="00000000" w:rsidP="00C30E1C">
      <w:pPr>
        <w:pStyle w:val="Prrafodelista"/>
        <w:spacing w:after="0" w:line="240" w:lineRule="auto"/>
        <w:ind w:left="0"/>
        <w:jc w:val="both"/>
        <w:rPr>
          <w:rFonts w:ascii="Times New Roman" w:hAnsi="Times New Roman" w:cs="Times New Roman"/>
          <w:i/>
          <w:iCs/>
          <w:sz w:val="28"/>
          <w:szCs w:val="28"/>
        </w:rPr>
      </w:pPr>
    </w:p>
    <w:p w14:paraId="115CBF3E" w14:textId="77777777" w:rsidR="00000000" w:rsidRPr="008E69BD" w:rsidRDefault="008E69BD" w:rsidP="0089262D">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color w:val="000000"/>
          <w:sz w:val="28"/>
          <w:szCs w:val="28"/>
        </w:rPr>
        <w:t>Superado el anterior estudio</w:t>
      </w:r>
      <w:r w:rsidRPr="008E69BD">
        <w:rPr>
          <w:rFonts w:ascii="Times New Roman" w:hAnsi="Times New Roman" w:cs="Times New Roman"/>
          <w:sz w:val="28"/>
          <w:szCs w:val="28"/>
          <w:lang w:val="es-ES"/>
        </w:rPr>
        <w:t xml:space="preserve">, la Sala Plena advierte que, </w:t>
      </w:r>
      <w:r w:rsidRPr="008E69BD">
        <w:rPr>
          <w:rFonts w:ascii="Times New Roman" w:hAnsi="Times New Roman" w:cs="Times New Roman"/>
          <w:sz w:val="28"/>
          <w:szCs w:val="28"/>
        </w:rPr>
        <w:t>para el 25 de agosto de 2014, día de presentación de la demanda que originó el presente conflicto, el procedimiento de recobros debía surtirse ante el Ministerio de Salud y Protección Social (Fondo de Solidaridad y Garantía, FOSYGA)</w:t>
      </w:r>
      <w:r w:rsidRPr="008E69BD">
        <w:rPr>
          <w:rFonts w:ascii="Times New Roman" w:hAnsi="Times New Roman" w:cs="Times New Roman"/>
          <w:sz w:val="28"/>
          <w:szCs w:val="28"/>
          <w:bdr w:val="none" w:sz="0" w:space="0" w:color="auto" w:frame="1"/>
          <w:shd w:val="clear" w:color="auto" w:fill="FFFFFF"/>
        </w:rPr>
        <w:t xml:space="preserve">. Sin embargo, tal como se advirtió, ese procedimiento guarda cierta similitud con el trámite de recobros establecido de forma subsiguiente ante la ADRES, por lo que, en el caso concreto, esto no afecta la aplicación de la regla del </w:t>
      </w:r>
      <w:r w:rsidRPr="008E69BD">
        <w:rPr>
          <w:rFonts w:ascii="Times New Roman" w:hAnsi="Times New Roman" w:cs="Times New Roman"/>
          <w:b/>
          <w:bCs/>
          <w:sz w:val="28"/>
          <w:szCs w:val="28"/>
          <w:bdr w:val="none" w:sz="0" w:space="0" w:color="auto" w:frame="1"/>
          <w:shd w:val="clear" w:color="auto" w:fill="FFFFFF"/>
        </w:rPr>
        <w:t>auto 389 de 2021</w:t>
      </w:r>
      <w:r w:rsidRPr="008E69BD">
        <w:rPr>
          <w:rFonts w:ascii="Times New Roman" w:hAnsi="Times New Roman" w:cs="Times New Roman"/>
          <w:sz w:val="28"/>
          <w:szCs w:val="28"/>
          <w:bdr w:val="none" w:sz="0" w:space="0" w:color="auto" w:frame="1"/>
          <w:shd w:val="clear" w:color="auto" w:fill="FFFFFF"/>
        </w:rPr>
        <w:t>, ya que la ADRES fue vinculada en el trámite del asunto.</w:t>
      </w:r>
    </w:p>
    <w:p w14:paraId="2E215889" w14:textId="77777777" w:rsidR="00000000" w:rsidRPr="008E69BD" w:rsidRDefault="00000000" w:rsidP="00B24E1B">
      <w:pPr>
        <w:pStyle w:val="Prrafodelista"/>
        <w:spacing w:after="0" w:line="240" w:lineRule="auto"/>
        <w:ind w:left="0"/>
        <w:jc w:val="both"/>
        <w:rPr>
          <w:rFonts w:ascii="Times New Roman" w:hAnsi="Times New Roman" w:cs="Times New Roman"/>
          <w:i/>
          <w:iCs/>
          <w:sz w:val="28"/>
          <w:szCs w:val="28"/>
        </w:rPr>
      </w:pPr>
    </w:p>
    <w:p w14:paraId="504E3D49" w14:textId="77777777" w:rsidR="00000000" w:rsidRPr="008E69BD" w:rsidRDefault="008E69BD" w:rsidP="00CB5E45">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iCs/>
          <w:sz w:val="28"/>
          <w:szCs w:val="28"/>
        </w:rPr>
        <w:t xml:space="preserve">En virtud de la anterior precisión </w:t>
      </w:r>
      <w:r w:rsidRPr="008E69BD">
        <w:rPr>
          <w:rFonts w:ascii="Times New Roman" w:hAnsi="Times New Roman" w:cs="Times New Roman"/>
          <w:color w:val="000000"/>
          <w:sz w:val="28"/>
          <w:szCs w:val="28"/>
        </w:rPr>
        <w:t>y a partir de la aplicación de las reglas del auto en cita y</w:t>
      </w:r>
      <w:r w:rsidRPr="008E69BD">
        <w:rPr>
          <w:rFonts w:ascii="Times New Roman" w:hAnsi="Times New Roman" w:cs="Times New Roman"/>
          <w:sz w:val="28"/>
        </w:rPr>
        <w:t xml:space="preserve"> </w:t>
      </w:r>
      <w:r w:rsidRPr="008E69BD">
        <w:rPr>
          <w:rFonts w:ascii="Times New Roman" w:hAnsi="Times New Roman" w:cs="Times New Roman"/>
          <w:color w:val="000000"/>
          <w:sz w:val="28"/>
          <w:szCs w:val="28"/>
        </w:rPr>
        <w:t xml:space="preserve">lo previsto en el artículo 104.1 del CPACA, la Sala concluye que la Jurisdicción de lo Contencioso Administrativo es la competente para conocer de la demanda instaurada por Sanitas EPS en contra de la </w:t>
      </w:r>
      <w:r w:rsidRPr="008E69BD">
        <w:rPr>
          <w:rFonts w:ascii="Times New Roman" w:hAnsi="Times New Roman" w:cs="Times New Roman"/>
          <w:sz w:val="28"/>
          <w:szCs w:val="28"/>
          <w:lang w:val="es-ES_tradnl"/>
        </w:rPr>
        <w:t>Nación (Ministerio de Salud y Protección Social)</w:t>
      </w:r>
      <w:r w:rsidRPr="008E69BD">
        <w:rPr>
          <w:rFonts w:ascii="Times New Roman" w:hAnsi="Times New Roman" w:cs="Times New Roman"/>
          <w:color w:val="000000"/>
          <w:sz w:val="28"/>
          <w:szCs w:val="28"/>
        </w:rPr>
        <w:t>, ya que se pretende el reconocimiento y pago de prestaciones no incluidas en el POS, hoy PBS, las cuales fueron solicitadas y negadas a través del procedimiento administrativo de recobro.</w:t>
      </w:r>
    </w:p>
    <w:p w14:paraId="6491F83A" w14:textId="77777777" w:rsidR="00000000" w:rsidRPr="008E69BD" w:rsidRDefault="00000000" w:rsidP="00865D96">
      <w:pPr>
        <w:pStyle w:val="Prrafodelista"/>
        <w:spacing w:after="0" w:line="240" w:lineRule="auto"/>
        <w:ind w:left="0"/>
        <w:jc w:val="both"/>
        <w:rPr>
          <w:rFonts w:ascii="Times New Roman" w:hAnsi="Times New Roman" w:cs="Times New Roman"/>
          <w:i/>
          <w:iCs/>
          <w:sz w:val="28"/>
          <w:szCs w:val="28"/>
        </w:rPr>
      </w:pPr>
    </w:p>
    <w:p w14:paraId="4EECB9B0" w14:textId="77777777" w:rsidR="00000000" w:rsidRPr="008E69BD" w:rsidRDefault="008E69BD" w:rsidP="00CB5E45">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color w:val="000000"/>
          <w:sz w:val="28"/>
          <w:szCs w:val="28"/>
        </w:rPr>
        <w:t xml:space="preserve">Por ende, </w:t>
      </w:r>
      <w:r w:rsidRPr="008E69BD">
        <w:rPr>
          <w:rFonts w:ascii="Times New Roman" w:hAnsi="Times New Roman" w:cs="Times New Roman"/>
          <w:sz w:val="28"/>
          <w:szCs w:val="28"/>
        </w:rPr>
        <w:t xml:space="preserve">la Sala Plena concluye que el juez competente es el Juzgado 15 Administrativo de Descongestión del Circuito de Bogotá y le remitirá el presente asunto para que, de forma inmediata, de trámite a la demanda y profiera la decisión de fondo que considere pertinente, conforme con los fundamentos de la presente decisión y las reglas de transición desarrolladas en el </w:t>
      </w:r>
      <w:r w:rsidRPr="008E69BD">
        <w:rPr>
          <w:rFonts w:ascii="Times New Roman" w:hAnsi="Times New Roman" w:cs="Times New Roman"/>
          <w:b/>
          <w:bCs/>
          <w:sz w:val="28"/>
          <w:szCs w:val="28"/>
        </w:rPr>
        <w:t>auto 1942 de 2023</w:t>
      </w:r>
      <w:r w:rsidRPr="008E69BD">
        <w:rPr>
          <w:rFonts w:ascii="Times New Roman" w:hAnsi="Times New Roman" w:cs="Times New Roman"/>
          <w:sz w:val="28"/>
          <w:szCs w:val="28"/>
        </w:rPr>
        <w:t>.</w:t>
      </w:r>
    </w:p>
    <w:p w14:paraId="6A9C6F00" w14:textId="77777777" w:rsidR="00000000" w:rsidRPr="008E69BD" w:rsidRDefault="00000000" w:rsidP="00C30E1C">
      <w:pPr>
        <w:rPr>
          <w:rFonts w:ascii="Times New Roman" w:hAnsi="Times New Roman" w:cs="Times New Roman"/>
          <w:i/>
          <w:iCs/>
          <w:sz w:val="28"/>
          <w:szCs w:val="28"/>
          <w:u w:val="single"/>
          <w:lang w:val="es-ES_tradnl"/>
        </w:rPr>
      </w:pPr>
    </w:p>
    <w:p w14:paraId="0E5B3995" w14:textId="77777777" w:rsidR="00000000" w:rsidRPr="008E69BD" w:rsidRDefault="008E69BD" w:rsidP="00CB5E45">
      <w:pPr>
        <w:pStyle w:val="Prrafodelista"/>
        <w:numPr>
          <w:ilvl w:val="0"/>
          <w:numId w:val="2"/>
        </w:numPr>
        <w:spacing w:after="0" w:line="240" w:lineRule="auto"/>
        <w:ind w:left="0" w:firstLine="0"/>
        <w:jc w:val="both"/>
        <w:rPr>
          <w:rFonts w:ascii="Times New Roman" w:hAnsi="Times New Roman" w:cs="Times New Roman"/>
          <w:i/>
          <w:iCs/>
          <w:sz w:val="28"/>
          <w:szCs w:val="28"/>
        </w:rPr>
      </w:pPr>
      <w:r w:rsidRPr="008E69BD">
        <w:rPr>
          <w:rFonts w:ascii="Times New Roman" w:hAnsi="Times New Roman" w:cs="Times New Roman"/>
          <w:i/>
          <w:iCs/>
          <w:sz w:val="28"/>
          <w:szCs w:val="28"/>
          <w:u w:val="single"/>
          <w:lang w:val="es-ES_tradnl"/>
        </w:rPr>
        <w:t>Regla de la decisión</w:t>
      </w:r>
      <w:r w:rsidRPr="008E69BD">
        <w:rPr>
          <w:rFonts w:ascii="Times New Roman" w:hAnsi="Times New Roman" w:cs="Times New Roman"/>
          <w:i/>
          <w:iCs/>
          <w:color w:val="000000" w:themeColor="text1"/>
          <w:sz w:val="28"/>
          <w:szCs w:val="28"/>
          <w:lang w:val="es-ES_tradnl"/>
        </w:rPr>
        <w:t xml:space="preserve">. </w:t>
      </w:r>
      <w:bookmarkStart w:id="0" w:name="_Hlk127807153"/>
      <w:r w:rsidRPr="008E69BD">
        <w:rPr>
          <w:rFonts w:ascii="Times New Roman" w:hAnsi="Times New Roman" w:cs="Times New Roman"/>
          <w:color w:val="000000" w:themeColor="text1"/>
          <w:sz w:val="28"/>
          <w:szCs w:val="28"/>
          <w:lang w:val="es-ES_tradnl"/>
        </w:rPr>
        <w:t>“</w:t>
      </w:r>
      <w:r w:rsidRPr="008E69BD">
        <w:rPr>
          <w:rFonts w:ascii="Times New Roman" w:hAnsi="Times New Roman" w:cs="Times New Roman"/>
          <w:i/>
          <w:iCs/>
          <w:color w:val="000000" w:themeColor="text1"/>
          <w:sz w:val="28"/>
          <w:szCs w:val="28"/>
          <w:shd w:val="clear" w:color="auto" w:fill="FFFFFF"/>
          <w:lang w:val="es-ES"/>
        </w:rPr>
        <w:t>El conocimiento de los asuntos relacionados con los recobros de servicios y tecnologías en salud no incluidos en el POS, hoy PBS, corresponde a los jueces de lo contencioso administrativo, en virtud de lo dispuesto en el inciso 1° del artículo 104 del CPACA, en tanto se cuestiona por la EPS un acto administrativo proferido por la ADRES, que</w:t>
      </w:r>
      <w:r w:rsidRPr="008E69BD">
        <w:rPr>
          <w:rFonts w:ascii="Times New Roman" w:hAnsi="Times New Roman" w:cs="Times New Roman"/>
          <w:i/>
          <w:iCs/>
          <w:color w:val="0D0D0D"/>
          <w:sz w:val="28"/>
          <w:szCs w:val="28"/>
          <w:shd w:val="clear" w:color="auto" w:fill="FFFFFF"/>
        </w:rPr>
        <w:t xml:space="preserve"> no corresponde a </w:t>
      </w:r>
      <w:r w:rsidRPr="008E69BD">
        <w:rPr>
          <w:rFonts w:ascii="Times New Roman" w:hAnsi="Times New Roman" w:cs="Times New Roman"/>
          <w:i/>
          <w:iCs/>
          <w:color w:val="0D0D0D"/>
          <w:sz w:val="28"/>
          <w:szCs w:val="28"/>
          <w:shd w:val="clear" w:color="auto" w:fill="FFFFFF"/>
        </w:rPr>
        <w:lastRenderedPageBreak/>
        <w:t>las controversias previstas en el numeral 4º del artículo 2 del CPTSS, en la medida en que no se relacionan, en estricto sentido, con la prestación de servicios de la seguridad social. Por el contrario, se trata de un litigio presentado exclusivamente entre entidades administradoras y relativo a la financiación de servicios ya prestados, que no implica debatir sobre el reconocimiento de prestaciones ni a favor ni a cargo de usuarios, afiliados, beneficiarios, ni empleadores</w:t>
      </w:r>
      <w:r w:rsidRPr="008E69BD">
        <w:rPr>
          <w:rFonts w:ascii="Times New Roman" w:hAnsi="Times New Roman" w:cs="Times New Roman"/>
          <w:color w:val="0D0D0D"/>
          <w:sz w:val="28"/>
          <w:szCs w:val="28"/>
          <w:shd w:val="clear" w:color="auto" w:fill="FFFFFF"/>
        </w:rPr>
        <w:t>”</w:t>
      </w:r>
      <w:r w:rsidRPr="008E69BD">
        <w:rPr>
          <w:rStyle w:val="Refdenotaalpie"/>
          <w:rFonts w:ascii="Times New Roman" w:hAnsi="Times New Roman" w:cs="Times New Roman"/>
          <w:color w:val="000000" w:themeColor="text1"/>
          <w:sz w:val="28"/>
          <w:szCs w:val="28"/>
          <w:shd w:val="clear" w:color="auto" w:fill="FFFFFF"/>
          <w:lang w:val="es-ES"/>
        </w:rPr>
        <w:footnoteReference w:id="23"/>
      </w:r>
      <w:r w:rsidRPr="008E69BD">
        <w:rPr>
          <w:rFonts w:ascii="Times New Roman" w:hAnsi="Times New Roman" w:cs="Times New Roman"/>
          <w:color w:val="000000" w:themeColor="text1"/>
          <w:sz w:val="28"/>
          <w:szCs w:val="28"/>
        </w:rPr>
        <w:t>.</w:t>
      </w:r>
    </w:p>
    <w:bookmarkEnd w:id="0"/>
    <w:p w14:paraId="5CBCAFCA" w14:textId="77777777" w:rsidR="00000000" w:rsidRPr="008E69BD" w:rsidRDefault="00000000" w:rsidP="00C30E1C">
      <w:pPr>
        <w:pStyle w:val="Prrafodelista"/>
        <w:spacing w:after="0" w:line="240" w:lineRule="auto"/>
        <w:ind w:left="0"/>
        <w:jc w:val="both"/>
        <w:rPr>
          <w:rStyle w:val="FontStyle11"/>
          <w:sz w:val="28"/>
          <w:szCs w:val="28"/>
          <w:lang w:eastAsia="es-ES_tradnl"/>
        </w:rPr>
      </w:pPr>
    </w:p>
    <w:p w14:paraId="4DB0CE18" w14:textId="77777777" w:rsidR="00000000" w:rsidRPr="008E69BD" w:rsidRDefault="008E69BD" w:rsidP="00DA7308">
      <w:pPr>
        <w:pStyle w:val="Style5"/>
        <w:widowControl/>
        <w:numPr>
          <w:ilvl w:val="0"/>
          <w:numId w:val="1"/>
        </w:numPr>
        <w:jc w:val="both"/>
        <w:rPr>
          <w:rFonts w:ascii="Times New Roman" w:hAnsi="Times New Roman" w:cs="Times New Roman"/>
          <w:sz w:val="28"/>
        </w:rPr>
      </w:pPr>
      <w:r w:rsidRPr="008E69BD">
        <w:rPr>
          <w:rStyle w:val="FontStyle11"/>
          <w:sz w:val="28"/>
          <w:szCs w:val="28"/>
          <w:lang w:eastAsia="es-ES_tradnl"/>
        </w:rPr>
        <w:t>DECISIÓN</w:t>
      </w:r>
    </w:p>
    <w:p w14:paraId="12DF5646" w14:textId="77777777" w:rsidR="00000000" w:rsidRPr="008E69BD" w:rsidRDefault="00000000" w:rsidP="00C30E1C">
      <w:pPr>
        <w:jc w:val="both"/>
        <w:rPr>
          <w:rFonts w:ascii="Times New Roman" w:hAnsi="Times New Roman" w:cs="Times New Roman"/>
          <w:b/>
          <w:sz w:val="28"/>
        </w:rPr>
      </w:pPr>
    </w:p>
    <w:p w14:paraId="1CFD6FF5" w14:textId="77777777" w:rsidR="00000000" w:rsidRPr="008E69BD" w:rsidRDefault="008E69BD" w:rsidP="00C30E1C">
      <w:pPr>
        <w:jc w:val="both"/>
        <w:rPr>
          <w:rFonts w:ascii="Times New Roman" w:hAnsi="Times New Roman" w:cs="Times New Roman"/>
          <w:sz w:val="28"/>
          <w:szCs w:val="28"/>
        </w:rPr>
      </w:pPr>
      <w:r w:rsidRPr="008E69BD">
        <w:rPr>
          <w:rFonts w:ascii="Times New Roman" w:hAnsi="Times New Roman" w:cs="Times New Roman"/>
          <w:sz w:val="28"/>
          <w:szCs w:val="28"/>
        </w:rPr>
        <w:t>Con base en lo expuesto, la Sala Plena de la Corte Constitucional,</w:t>
      </w:r>
    </w:p>
    <w:p w14:paraId="41BCCA25" w14:textId="77777777" w:rsidR="00000000" w:rsidRPr="008E69BD" w:rsidRDefault="00000000" w:rsidP="00C30E1C">
      <w:pPr>
        <w:jc w:val="both"/>
        <w:rPr>
          <w:rFonts w:ascii="Times New Roman" w:hAnsi="Times New Roman" w:cs="Times New Roman"/>
          <w:b/>
          <w:sz w:val="28"/>
          <w:szCs w:val="28"/>
        </w:rPr>
      </w:pPr>
    </w:p>
    <w:p w14:paraId="02A3B381" w14:textId="77777777" w:rsidR="00000000" w:rsidRPr="008E69BD" w:rsidRDefault="008E69BD" w:rsidP="00C30E1C">
      <w:pPr>
        <w:jc w:val="center"/>
        <w:rPr>
          <w:rFonts w:ascii="Times New Roman" w:hAnsi="Times New Roman" w:cs="Times New Roman"/>
          <w:b/>
          <w:sz w:val="28"/>
          <w:szCs w:val="28"/>
        </w:rPr>
      </w:pPr>
      <w:r w:rsidRPr="008E69BD">
        <w:rPr>
          <w:rFonts w:ascii="Times New Roman" w:hAnsi="Times New Roman" w:cs="Times New Roman"/>
          <w:b/>
          <w:sz w:val="28"/>
          <w:szCs w:val="28"/>
        </w:rPr>
        <w:t>RESUELVE</w:t>
      </w:r>
    </w:p>
    <w:p w14:paraId="5D2A08F8" w14:textId="77777777" w:rsidR="00000000" w:rsidRPr="008E69BD" w:rsidRDefault="00000000" w:rsidP="00C30E1C">
      <w:pPr>
        <w:jc w:val="both"/>
        <w:rPr>
          <w:rFonts w:ascii="Times New Roman" w:hAnsi="Times New Roman" w:cs="Times New Roman"/>
          <w:b/>
          <w:sz w:val="28"/>
          <w:szCs w:val="28"/>
        </w:rPr>
      </w:pPr>
    </w:p>
    <w:p w14:paraId="30A6F946" w14:textId="77777777" w:rsidR="00000000" w:rsidRPr="008E69BD" w:rsidRDefault="008E69BD" w:rsidP="00C30E1C">
      <w:pPr>
        <w:jc w:val="both"/>
        <w:rPr>
          <w:rFonts w:ascii="Times New Roman" w:hAnsi="Times New Roman" w:cs="Times New Roman"/>
          <w:sz w:val="28"/>
          <w:szCs w:val="28"/>
        </w:rPr>
      </w:pPr>
      <w:r w:rsidRPr="008E69BD">
        <w:rPr>
          <w:rFonts w:ascii="Times New Roman" w:hAnsi="Times New Roman" w:cs="Times New Roman"/>
          <w:b/>
          <w:sz w:val="28"/>
          <w:szCs w:val="28"/>
          <w:lang w:val="es-ES"/>
        </w:rPr>
        <w:t xml:space="preserve">Primero. - </w:t>
      </w:r>
      <w:r w:rsidRPr="008E69BD">
        <w:rPr>
          <w:rFonts w:ascii="Times New Roman" w:hAnsi="Times New Roman" w:cs="Times New Roman"/>
          <w:b/>
          <w:sz w:val="28"/>
          <w:szCs w:val="28"/>
        </w:rPr>
        <w:t>DIRIMIR</w:t>
      </w:r>
      <w:r w:rsidRPr="008E69BD">
        <w:rPr>
          <w:rFonts w:ascii="Times New Roman" w:hAnsi="Times New Roman" w:cs="Times New Roman"/>
          <w:sz w:val="28"/>
          <w:szCs w:val="28"/>
        </w:rPr>
        <w:t xml:space="preserve"> el conflicto negativo de jurisdicciones suscitado entre el Juzgado 15 Administrativo de Descongestión del Circuito de Bogotá y el Juzgado 24 Laboral del Circuito de la misma ciudad, en el sentido de </w:t>
      </w:r>
      <w:r w:rsidRPr="008E69BD">
        <w:rPr>
          <w:rFonts w:ascii="Times New Roman" w:hAnsi="Times New Roman" w:cs="Times New Roman"/>
          <w:b/>
          <w:sz w:val="28"/>
          <w:szCs w:val="28"/>
        </w:rPr>
        <w:t>DECLARAR</w:t>
      </w:r>
      <w:r w:rsidRPr="008E69BD">
        <w:rPr>
          <w:rFonts w:ascii="Times New Roman" w:hAnsi="Times New Roman" w:cs="Times New Roman"/>
          <w:sz w:val="28"/>
          <w:szCs w:val="28"/>
        </w:rPr>
        <w:t xml:space="preserve"> que el Juzgado 15 Administrativo de Descongestión del Circuito de Bogotá es la autoridad competente para conocer de la demanda instaurada por Sanitas EPS en contra de la Nación - Ministerio de Salud y Protección Social</w:t>
      </w:r>
      <w:bookmarkStart w:id="1" w:name="_Hlk127807194"/>
      <w:r w:rsidRPr="008E69BD">
        <w:rPr>
          <w:rFonts w:ascii="Times New Roman" w:hAnsi="Times New Roman" w:cs="Times New Roman"/>
          <w:sz w:val="28"/>
          <w:szCs w:val="28"/>
        </w:rPr>
        <w:t>.</w:t>
      </w:r>
    </w:p>
    <w:bookmarkEnd w:id="1"/>
    <w:p w14:paraId="10B5C17B" w14:textId="77777777" w:rsidR="00000000" w:rsidRPr="008E69BD" w:rsidRDefault="00000000" w:rsidP="00C30E1C">
      <w:pPr>
        <w:jc w:val="both"/>
        <w:rPr>
          <w:rFonts w:ascii="Times New Roman" w:hAnsi="Times New Roman" w:cs="Times New Roman"/>
          <w:sz w:val="28"/>
          <w:szCs w:val="28"/>
        </w:rPr>
      </w:pPr>
    </w:p>
    <w:p w14:paraId="27CC575D" w14:textId="77777777" w:rsidR="00000000" w:rsidRPr="008E69BD" w:rsidRDefault="008E69BD" w:rsidP="00C30E1C">
      <w:pPr>
        <w:jc w:val="both"/>
        <w:rPr>
          <w:rFonts w:ascii="Times New Roman" w:hAnsi="Times New Roman" w:cs="Times New Roman"/>
          <w:sz w:val="28"/>
          <w:szCs w:val="28"/>
        </w:rPr>
      </w:pPr>
      <w:r w:rsidRPr="008E69BD">
        <w:rPr>
          <w:rFonts w:ascii="Times New Roman" w:hAnsi="Times New Roman" w:cs="Times New Roman"/>
          <w:b/>
          <w:sz w:val="28"/>
          <w:szCs w:val="28"/>
        </w:rPr>
        <w:t>Segundo. - REMITIR</w:t>
      </w:r>
      <w:r w:rsidRPr="008E69BD">
        <w:rPr>
          <w:rFonts w:ascii="Times New Roman" w:hAnsi="Times New Roman" w:cs="Times New Roman"/>
          <w:sz w:val="28"/>
          <w:szCs w:val="28"/>
        </w:rPr>
        <w:t xml:space="preserve"> el expediente CJU-2545 al Juzgado 15 Administrativo de Descongestión del Circuito de Bogotá, para que continúe con el trámite del proceso conforme con las reglas de transición desarrolladas en el </w:t>
      </w:r>
      <w:r w:rsidRPr="008E69BD">
        <w:rPr>
          <w:rFonts w:ascii="Times New Roman" w:hAnsi="Times New Roman" w:cs="Times New Roman"/>
          <w:b/>
          <w:bCs/>
          <w:sz w:val="28"/>
          <w:szCs w:val="28"/>
        </w:rPr>
        <w:t xml:space="preserve">auto 1942 de 2023, </w:t>
      </w:r>
      <w:r w:rsidRPr="008E69BD">
        <w:rPr>
          <w:rFonts w:ascii="Times New Roman" w:hAnsi="Times New Roman" w:cs="Times New Roman"/>
          <w:sz w:val="28"/>
          <w:szCs w:val="28"/>
        </w:rPr>
        <w:t>y para comunique la presente decisión a los interesados, incluyendo al Juzgado 24 Laboral del Circuito de la misma ciudad.</w:t>
      </w:r>
    </w:p>
    <w:p w14:paraId="65404FCB" w14:textId="77777777" w:rsidR="00000000" w:rsidRPr="008E69BD" w:rsidRDefault="00000000" w:rsidP="00C30E1C">
      <w:pPr>
        <w:jc w:val="both"/>
        <w:rPr>
          <w:rFonts w:ascii="Times New Roman" w:hAnsi="Times New Roman" w:cs="Times New Roman"/>
          <w:sz w:val="28"/>
          <w:szCs w:val="28"/>
        </w:rPr>
      </w:pPr>
    </w:p>
    <w:p w14:paraId="6F4203BF" w14:textId="77777777" w:rsidR="00000000" w:rsidRPr="008E69BD" w:rsidRDefault="008E69BD" w:rsidP="00C30E1C">
      <w:pPr>
        <w:jc w:val="both"/>
        <w:rPr>
          <w:rFonts w:ascii="Times New Roman" w:hAnsi="Times New Roman" w:cs="Times New Roman"/>
          <w:sz w:val="28"/>
          <w:szCs w:val="28"/>
        </w:rPr>
      </w:pPr>
      <w:r w:rsidRPr="008E69BD">
        <w:rPr>
          <w:rFonts w:ascii="Times New Roman" w:hAnsi="Times New Roman" w:cs="Times New Roman"/>
          <w:sz w:val="28"/>
          <w:szCs w:val="28"/>
        </w:rPr>
        <w:t>Notifíquese, comuníquese y cúmplase.</w:t>
      </w:r>
    </w:p>
    <w:p w14:paraId="5296B0E5" w14:textId="77777777" w:rsidR="00000000" w:rsidRPr="008E69BD" w:rsidRDefault="00000000" w:rsidP="00C30E1C">
      <w:pPr>
        <w:jc w:val="both"/>
        <w:rPr>
          <w:rFonts w:ascii="Times New Roman" w:hAnsi="Times New Roman" w:cs="Times New Roman"/>
          <w:sz w:val="28"/>
          <w:szCs w:val="28"/>
        </w:rPr>
      </w:pPr>
    </w:p>
    <w:p w14:paraId="7A0D1A6E" w14:textId="77777777" w:rsidR="00000000" w:rsidRPr="008E69BD" w:rsidRDefault="00000000" w:rsidP="00C30E1C">
      <w:pPr>
        <w:jc w:val="both"/>
        <w:rPr>
          <w:rFonts w:ascii="Times New Roman" w:hAnsi="Times New Roman" w:cs="Times New Roman"/>
          <w:sz w:val="28"/>
          <w:szCs w:val="28"/>
        </w:rPr>
      </w:pPr>
    </w:p>
    <w:p w14:paraId="63BBD49C"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DIANA FAJARDO RIVERA</w:t>
      </w:r>
    </w:p>
    <w:p w14:paraId="37D85F2E"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Presidenta</w:t>
      </w:r>
    </w:p>
    <w:p w14:paraId="02C840E1" w14:textId="77777777" w:rsidR="00000000" w:rsidRPr="008E69BD" w:rsidRDefault="00000000" w:rsidP="003140AC">
      <w:pPr>
        <w:jc w:val="center"/>
        <w:rPr>
          <w:rFonts w:ascii="Times New Roman" w:hAnsi="Times New Roman" w:cs="Times New Roman"/>
          <w:sz w:val="28"/>
          <w:szCs w:val="28"/>
        </w:rPr>
      </w:pPr>
    </w:p>
    <w:p w14:paraId="576DB10F" w14:textId="77777777" w:rsidR="00000000" w:rsidRPr="008E69BD" w:rsidRDefault="00000000" w:rsidP="003140AC">
      <w:pPr>
        <w:jc w:val="center"/>
        <w:rPr>
          <w:rFonts w:ascii="Times New Roman" w:hAnsi="Times New Roman" w:cs="Times New Roman"/>
          <w:sz w:val="28"/>
          <w:szCs w:val="28"/>
        </w:rPr>
      </w:pPr>
    </w:p>
    <w:p w14:paraId="262E6492" w14:textId="77777777" w:rsidR="00000000" w:rsidRPr="008E69BD" w:rsidRDefault="00000000" w:rsidP="003140AC">
      <w:pPr>
        <w:jc w:val="center"/>
        <w:rPr>
          <w:rFonts w:ascii="Times New Roman" w:hAnsi="Times New Roman" w:cs="Times New Roman"/>
          <w:sz w:val="28"/>
          <w:szCs w:val="28"/>
        </w:rPr>
      </w:pPr>
    </w:p>
    <w:p w14:paraId="5CD4F088"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NATALIA ÁNGEL CABO</w:t>
      </w:r>
    </w:p>
    <w:p w14:paraId="701C73C9"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Magistrada</w:t>
      </w:r>
    </w:p>
    <w:p w14:paraId="0E92D2D2" w14:textId="77777777" w:rsidR="00000000" w:rsidRPr="008E69BD" w:rsidRDefault="00000000" w:rsidP="003140AC">
      <w:pPr>
        <w:jc w:val="center"/>
        <w:rPr>
          <w:rFonts w:ascii="Times New Roman" w:hAnsi="Times New Roman" w:cs="Times New Roman"/>
          <w:sz w:val="28"/>
          <w:szCs w:val="28"/>
        </w:rPr>
      </w:pPr>
    </w:p>
    <w:p w14:paraId="31AE6BE0" w14:textId="77777777" w:rsidR="00000000" w:rsidRPr="008E69BD" w:rsidRDefault="00000000" w:rsidP="003140AC">
      <w:pPr>
        <w:jc w:val="center"/>
        <w:rPr>
          <w:rFonts w:ascii="Times New Roman" w:hAnsi="Times New Roman" w:cs="Times New Roman"/>
          <w:sz w:val="28"/>
          <w:szCs w:val="28"/>
        </w:rPr>
      </w:pPr>
    </w:p>
    <w:p w14:paraId="0B6D42F3" w14:textId="77777777" w:rsidR="00000000" w:rsidRPr="008E69BD" w:rsidRDefault="00000000" w:rsidP="003140AC">
      <w:pPr>
        <w:jc w:val="center"/>
        <w:rPr>
          <w:rFonts w:ascii="Times New Roman" w:hAnsi="Times New Roman" w:cs="Times New Roman"/>
          <w:sz w:val="28"/>
          <w:szCs w:val="28"/>
        </w:rPr>
      </w:pPr>
    </w:p>
    <w:p w14:paraId="79AE1E32"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JUAN CARLOS CORTÉS GONZÁLEZ</w:t>
      </w:r>
    </w:p>
    <w:p w14:paraId="27C94DAA"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Magistrado</w:t>
      </w:r>
    </w:p>
    <w:p w14:paraId="70B54301" w14:textId="77777777" w:rsidR="00000000" w:rsidRPr="008E69BD" w:rsidRDefault="00000000" w:rsidP="003140AC">
      <w:pPr>
        <w:jc w:val="center"/>
        <w:rPr>
          <w:rFonts w:ascii="Times New Roman" w:hAnsi="Times New Roman" w:cs="Times New Roman"/>
          <w:sz w:val="28"/>
          <w:szCs w:val="28"/>
        </w:rPr>
      </w:pPr>
    </w:p>
    <w:p w14:paraId="74D86BCE" w14:textId="77777777" w:rsidR="00000000" w:rsidRPr="008E69BD" w:rsidRDefault="00000000" w:rsidP="003140AC">
      <w:pPr>
        <w:jc w:val="center"/>
        <w:rPr>
          <w:rFonts w:ascii="Times New Roman" w:hAnsi="Times New Roman" w:cs="Times New Roman"/>
          <w:sz w:val="28"/>
          <w:szCs w:val="28"/>
        </w:rPr>
      </w:pPr>
    </w:p>
    <w:p w14:paraId="2DACB426" w14:textId="77777777" w:rsidR="00000000" w:rsidRPr="008E69BD" w:rsidRDefault="00000000" w:rsidP="003140AC">
      <w:pPr>
        <w:jc w:val="center"/>
        <w:rPr>
          <w:rFonts w:ascii="Times New Roman" w:hAnsi="Times New Roman" w:cs="Times New Roman"/>
          <w:sz w:val="28"/>
          <w:szCs w:val="28"/>
        </w:rPr>
      </w:pPr>
    </w:p>
    <w:p w14:paraId="5587E873"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 xml:space="preserve">JORGE ENRIQUE IBÁÑEZ NAJAR </w:t>
      </w:r>
    </w:p>
    <w:p w14:paraId="59ED6B07"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Magistrado</w:t>
      </w:r>
    </w:p>
    <w:p w14:paraId="042FD0ED" w14:textId="77777777" w:rsidR="00000000" w:rsidRPr="008E69BD" w:rsidRDefault="00000000" w:rsidP="003140AC">
      <w:pPr>
        <w:jc w:val="center"/>
        <w:rPr>
          <w:rFonts w:ascii="Times New Roman" w:hAnsi="Times New Roman" w:cs="Times New Roman"/>
          <w:sz w:val="28"/>
          <w:szCs w:val="28"/>
        </w:rPr>
      </w:pPr>
    </w:p>
    <w:p w14:paraId="396EBE5C" w14:textId="77777777" w:rsidR="00000000" w:rsidRPr="008E69BD" w:rsidRDefault="00000000" w:rsidP="003140AC">
      <w:pPr>
        <w:jc w:val="center"/>
        <w:rPr>
          <w:rFonts w:ascii="Times New Roman" w:hAnsi="Times New Roman" w:cs="Times New Roman"/>
          <w:sz w:val="28"/>
          <w:szCs w:val="28"/>
        </w:rPr>
      </w:pPr>
    </w:p>
    <w:p w14:paraId="688993FB" w14:textId="77777777" w:rsidR="00000000" w:rsidRPr="008E69BD" w:rsidRDefault="00000000" w:rsidP="003140AC">
      <w:pPr>
        <w:jc w:val="center"/>
        <w:rPr>
          <w:rFonts w:ascii="Times New Roman" w:hAnsi="Times New Roman" w:cs="Times New Roman"/>
          <w:sz w:val="28"/>
          <w:szCs w:val="28"/>
        </w:rPr>
      </w:pPr>
    </w:p>
    <w:p w14:paraId="00FEE5BF"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ALEJANDRO LINARES CANTILLO</w:t>
      </w:r>
    </w:p>
    <w:p w14:paraId="4DC07088"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Magistrado</w:t>
      </w:r>
    </w:p>
    <w:p w14:paraId="6AA9E852" w14:textId="77777777" w:rsidR="00000000" w:rsidRPr="008E69BD" w:rsidRDefault="00000000" w:rsidP="003140AC">
      <w:pPr>
        <w:jc w:val="center"/>
        <w:rPr>
          <w:rFonts w:ascii="Times New Roman" w:hAnsi="Times New Roman" w:cs="Times New Roman"/>
          <w:sz w:val="28"/>
          <w:szCs w:val="28"/>
        </w:rPr>
      </w:pPr>
    </w:p>
    <w:p w14:paraId="13429212" w14:textId="77777777" w:rsidR="00000000" w:rsidRPr="008E69BD" w:rsidRDefault="00000000" w:rsidP="003140AC">
      <w:pPr>
        <w:jc w:val="center"/>
        <w:rPr>
          <w:rFonts w:ascii="Times New Roman" w:hAnsi="Times New Roman" w:cs="Times New Roman"/>
          <w:sz w:val="28"/>
          <w:szCs w:val="28"/>
        </w:rPr>
      </w:pPr>
    </w:p>
    <w:p w14:paraId="7BEA6ED0" w14:textId="77777777" w:rsidR="00000000" w:rsidRPr="008E69BD" w:rsidRDefault="00000000" w:rsidP="003140AC">
      <w:pPr>
        <w:jc w:val="center"/>
        <w:rPr>
          <w:rFonts w:ascii="Times New Roman" w:hAnsi="Times New Roman" w:cs="Times New Roman"/>
          <w:sz w:val="28"/>
          <w:szCs w:val="28"/>
        </w:rPr>
      </w:pPr>
    </w:p>
    <w:p w14:paraId="6BAA1D31"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ANTONIO JOSÉ LIZARAZO OCAMPO</w:t>
      </w:r>
    </w:p>
    <w:p w14:paraId="782ED5E9"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Magistrado</w:t>
      </w:r>
    </w:p>
    <w:p w14:paraId="37D14840" w14:textId="77777777" w:rsidR="00000000" w:rsidRPr="008E69BD" w:rsidRDefault="00000000" w:rsidP="003140AC">
      <w:pPr>
        <w:jc w:val="center"/>
        <w:rPr>
          <w:rFonts w:ascii="Times New Roman" w:hAnsi="Times New Roman" w:cs="Times New Roman"/>
          <w:sz w:val="28"/>
          <w:szCs w:val="28"/>
        </w:rPr>
      </w:pPr>
    </w:p>
    <w:p w14:paraId="72CD9BC9" w14:textId="77777777" w:rsidR="00000000" w:rsidRPr="008E69BD" w:rsidRDefault="00000000" w:rsidP="003140AC">
      <w:pPr>
        <w:jc w:val="center"/>
        <w:rPr>
          <w:rFonts w:ascii="Times New Roman" w:hAnsi="Times New Roman" w:cs="Times New Roman"/>
          <w:sz w:val="28"/>
          <w:szCs w:val="28"/>
        </w:rPr>
      </w:pPr>
    </w:p>
    <w:p w14:paraId="54DE545F" w14:textId="77777777" w:rsidR="00000000" w:rsidRPr="008E69BD" w:rsidRDefault="00000000" w:rsidP="003140AC">
      <w:pPr>
        <w:jc w:val="center"/>
        <w:rPr>
          <w:rFonts w:ascii="Times New Roman" w:hAnsi="Times New Roman" w:cs="Times New Roman"/>
          <w:sz w:val="28"/>
          <w:szCs w:val="28"/>
        </w:rPr>
      </w:pPr>
    </w:p>
    <w:p w14:paraId="70579F25"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PAOLA ANDREA MENESES MOSQUERA</w:t>
      </w:r>
    </w:p>
    <w:p w14:paraId="6C813817"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Magistrada</w:t>
      </w:r>
    </w:p>
    <w:p w14:paraId="3451A8B1" w14:textId="77777777" w:rsidR="00000000" w:rsidRPr="008E69BD" w:rsidRDefault="00000000" w:rsidP="003140AC">
      <w:pPr>
        <w:jc w:val="center"/>
        <w:rPr>
          <w:rFonts w:ascii="Times New Roman" w:hAnsi="Times New Roman" w:cs="Times New Roman"/>
          <w:sz w:val="28"/>
          <w:szCs w:val="28"/>
        </w:rPr>
      </w:pPr>
    </w:p>
    <w:p w14:paraId="3BC15C27" w14:textId="77777777" w:rsidR="00000000" w:rsidRPr="008E69BD" w:rsidRDefault="00000000" w:rsidP="003140AC">
      <w:pPr>
        <w:jc w:val="center"/>
        <w:rPr>
          <w:rFonts w:ascii="Times New Roman" w:hAnsi="Times New Roman" w:cs="Times New Roman"/>
          <w:sz w:val="28"/>
          <w:szCs w:val="28"/>
        </w:rPr>
      </w:pPr>
    </w:p>
    <w:p w14:paraId="03F91372" w14:textId="77777777" w:rsidR="00000000" w:rsidRPr="008E69BD" w:rsidRDefault="00000000" w:rsidP="003140AC">
      <w:pPr>
        <w:jc w:val="center"/>
        <w:rPr>
          <w:rFonts w:ascii="Times New Roman" w:hAnsi="Times New Roman" w:cs="Times New Roman"/>
          <w:sz w:val="28"/>
          <w:szCs w:val="28"/>
        </w:rPr>
      </w:pPr>
    </w:p>
    <w:p w14:paraId="056BB6A3"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CRISTINA PARDO SCHLESINGER</w:t>
      </w:r>
    </w:p>
    <w:p w14:paraId="104A43DD"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Magistrada</w:t>
      </w:r>
    </w:p>
    <w:p w14:paraId="0C1A350D" w14:textId="77777777" w:rsidR="00000000" w:rsidRPr="008E69BD" w:rsidRDefault="00000000" w:rsidP="003140AC">
      <w:pPr>
        <w:jc w:val="center"/>
        <w:rPr>
          <w:rFonts w:ascii="Times New Roman" w:hAnsi="Times New Roman" w:cs="Times New Roman"/>
          <w:sz w:val="28"/>
          <w:szCs w:val="28"/>
        </w:rPr>
      </w:pPr>
    </w:p>
    <w:p w14:paraId="6471FD4D" w14:textId="77777777" w:rsidR="00000000" w:rsidRPr="008E69BD" w:rsidRDefault="00000000" w:rsidP="003140AC">
      <w:pPr>
        <w:jc w:val="center"/>
        <w:rPr>
          <w:rFonts w:ascii="Times New Roman" w:hAnsi="Times New Roman" w:cs="Times New Roman"/>
          <w:sz w:val="28"/>
          <w:szCs w:val="28"/>
        </w:rPr>
      </w:pPr>
    </w:p>
    <w:p w14:paraId="040F5B0D" w14:textId="77777777" w:rsidR="00000000" w:rsidRPr="008E69BD" w:rsidRDefault="00000000" w:rsidP="003140AC">
      <w:pPr>
        <w:jc w:val="center"/>
        <w:rPr>
          <w:rFonts w:ascii="Times New Roman" w:hAnsi="Times New Roman" w:cs="Times New Roman"/>
          <w:sz w:val="28"/>
          <w:szCs w:val="28"/>
        </w:rPr>
      </w:pPr>
    </w:p>
    <w:p w14:paraId="5C24C0A9"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JOSE FERNANDO REYES CUARTAS</w:t>
      </w:r>
    </w:p>
    <w:p w14:paraId="0900036A"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Magistrado</w:t>
      </w:r>
    </w:p>
    <w:p w14:paraId="608FC230" w14:textId="77777777" w:rsidR="00000000" w:rsidRPr="008E69BD" w:rsidRDefault="00000000" w:rsidP="003140AC">
      <w:pPr>
        <w:jc w:val="center"/>
        <w:rPr>
          <w:rFonts w:ascii="Times New Roman" w:hAnsi="Times New Roman" w:cs="Times New Roman"/>
          <w:sz w:val="28"/>
          <w:szCs w:val="28"/>
        </w:rPr>
      </w:pPr>
    </w:p>
    <w:p w14:paraId="06198CA0" w14:textId="77777777" w:rsidR="00000000" w:rsidRPr="008E69BD" w:rsidRDefault="00000000" w:rsidP="003140AC">
      <w:pPr>
        <w:jc w:val="center"/>
        <w:rPr>
          <w:rFonts w:ascii="Times New Roman" w:hAnsi="Times New Roman" w:cs="Times New Roman"/>
          <w:sz w:val="28"/>
          <w:szCs w:val="28"/>
        </w:rPr>
      </w:pPr>
    </w:p>
    <w:p w14:paraId="1D3479CB" w14:textId="77777777" w:rsidR="00000000" w:rsidRPr="008E69BD" w:rsidRDefault="00000000" w:rsidP="003140AC">
      <w:pPr>
        <w:jc w:val="center"/>
        <w:rPr>
          <w:rFonts w:ascii="Times New Roman" w:hAnsi="Times New Roman" w:cs="Times New Roman"/>
          <w:sz w:val="28"/>
          <w:szCs w:val="28"/>
        </w:rPr>
      </w:pPr>
    </w:p>
    <w:p w14:paraId="013125E9"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ANDREA LILIANA ROMERO LOPEZ</w:t>
      </w:r>
    </w:p>
    <w:p w14:paraId="558801DB" w14:textId="77777777" w:rsidR="00000000" w:rsidRPr="008E69BD" w:rsidRDefault="008E69BD" w:rsidP="003140AC">
      <w:pPr>
        <w:jc w:val="center"/>
        <w:rPr>
          <w:rFonts w:ascii="Times New Roman" w:hAnsi="Times New Roman" w:cs="Times New Roman"/>
          <w:sz w:val="28"/>
          <w:szCs w:val="28"/>
        </w:rPr>
      </w:pPr>
      <w:r w:rsidRPr="008E69BD">
        <w:rPr>
          <w:rFonts w:ascii="Times New Roman" w:hAnsi="Times New Roman" w:cs="Times New Roman"/>
          <w:sz w:val="28"/>
          <w:szCs w:val="28"/>
        </w:rPr>
        <w:t>Secretaria General</w:t>
      </w:r>
    </w:p>
    <w:p w14:paraId="5DBC20D3" w14:textId="77777777" w:rsidR="00000000" w:rsidRPr="008E69BD" w:rsidRDefault="00000000" w:rsidP="003140AC">
      <w:pPr>
        <w:jc w:val="center"/>
        <w:rPr>
          <w:rFonts w:ascii="Times New Roman" w:hAnsi="Times New Roman" w:cs="Times New Roman"/>
          <w:sz w:val="28"/>
          <w:szCs w:val="28"/>
        </w:rPr>
      </w:pPr>
    </w:p>
    <w:p w14:paraId="15442409" w14:textId="77777777" w:rsidR="00000000" w:rsidRPr="008E69BD" w:rsidRDefault="00000000" w:rsidP="003140AC">
      <w:pPr>
        <w:jc w:val="center"/>
        <w:rPr>
          <w:rFonts w:ascii="Times New Roman" w:hAnsi="Times New Roman" w:cs="Times New Roman"/>
          <w:sz w:val="28"/>
          <w:szCs w:val="28"/>
        </w:rPr>
      </w:pPr>
    </w:p>
    <w:p w14:paraId="72271787" w14:textId="77777777" w:rsidR="00000000" w:rsidRPr="008E69BD" w:rsidRDefault="00000000" w:rsidP="003140AC">
      <w:pPr>
        <w:jc w:val="center"/>
        <w:rPr>
          <w:rFonts w:ascii="Times New Roman" w:hAnsi="Times New Roman" w:cs="Times New Roman"/>
          <w:sz w:val="28"/>
          <w:szCs w:val="28"/>
        </w:rPr>
      </w:pPr>
    </w:p>
    <w:p w14:paraId="60BE80F7" w14:textId="77777777" w:rsidR="00000000" w:rsidRPr="008E69BD" w:rsidRDefault="00000000" w:rsidP="003140AC">
      <w:pPr>
        <w:jc w:val="center"/>
        <w:rPr>
          <w:rFonts w:ascii="Times New Roman" w:hAnsi="Times New Roman" w:cs="Times New Roman"/>
          <w:sz w:val="28"/>
          <w:szCs w:val="28"/>
        </w:rPr>
      </w:pPr>
    </w:p>
    <w:p w14:paraId="0766655E" w14:textId="77777777" w:rsidR="00000000" w:rsidRPr="008E69BD" w:rsidRDefault="00000000" w:rsidP="003140AC">
      <w:pPr>
        <w:jc w:val="center"/>
        <w:rPr>
          <w:rFonts w:ascii="Times New Roman" w:hAnsi="Times New Roman" w:cs="Times New Roman"/>
          <w:sz w:val="28"/>
          <w:szCs w:val="28"/>
        </w:rPr>
      </w:pPr>
    </w:p>
    <w:p w14:paraId="7E4B6E42" w14:textId="77777777" w:rsidR="00000000" w:rsidRPr="008E69BD" w:rsidRDefault="00000000" w:rsidP="003140AC">
      <w:pPr>
        <w:jc w:val="center"/>
        <w:rPr>
          <w:rFonts w:ascii="Times New Roman" w:hAnsi="Times New Roman" w:cs="Times New Roman"/>
          <w:sz w:val="28"/>
          <w:szCs w:val="28"/>
        </w:rPr>
      </w:pPr>
    </w:p>
    <w:sectPr w:rsidR="003140AC" w:rsidRPr="008E69BD">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658AD" w14:textId="77777777" w:rsidR="003529AE" w:rsidRDefault="003529AE">
      <w:pPr>
        <w:spacing w:after="0" w:line="240" w:lineRule="auto"/>
      </w:pPr>
      <w:r>
        <w:separator/>
      </w:r>
    </w:p>
  </w:endnote>
  <w:endnote w:type="continuationSeparator" w:id="0">
    <w:p w14:paraId="236A3DD2" w14:textId="77777777" w:rsidR="003529AE" w:rsidRDefault="0035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E62C2" w14:textId="77777777" w:rsidR="003529AE" w:rsidRDefault="003529AE">
      <w:pPr>
        <w:spacing w:after="0" w:line="240" w:lineRule="auto"/>
      </w:pPr>
      <w:r>
        <w:separator/>
      </w:r>
    </w:p>
  </w:footnote>
  <w:footnote w:type="continuationSeparator" w:id="0">
    <w:p w14:paraId="08715565" w14:textId="77777777" w:rsidR="003529AE" w:rsidRDefault="003529AE">
      <w:pPr>
        <w:spacing w:after="0" w:line="240" w:lineRule="auto"/>
      </w:pPr>
      <w:r>
        <w:continuationSeparator/>
      </w:r>
    </w:p>
  </w:footnote>
  <w:footnote w:id="1">
    <w:p w14:paraId="42B98C10" w14:textId="77777777" w:rsidR="00000000" w:rsidRPr="0064552E" w:rsidRDefault="008E69BD" w:rsidP="00FD3257">
      <w:pPr>
        <w:pStyle w:val="Textonotapie"/>
        <w:jc w:val="both"/>
        <w:rPr>
          <w:lang w:val="es-ES_tradnl"/>
        </w:rPr>
      </w:pPr>
      <w:r w:rsidRPr="0064552E">
        <w:rPr>
          <w:rStyle w:val="Refdenotaalpie"/>
        </w:rPr>
        <w:footnoteRef/>
      </w:r>
      <w:r w:rsidRPr="0064552E">
        <w:t xml:space="preserve"> Hoy en día, las funciones relacionadas con recobros recaen en la Administradora de los Recursos del Sistema General de Seguridad Social en Salud (en adelante, “</w:t>
      </w:r>
      <w:r w:rsidRPr="0064552E">
        <w:rPr>
          <w:i/>
          <w:iCs/>
          <w:u w:val="single"/>
        </w:rPr>
        <w:t>ADRES</w:t>
      </w:r>
      <w:r w:rsidRPr="0064552E">
        <w:t>”). Por esta razón, fue vinculada al proceso de la referencia.</w:t>
      </w:r>
    </w:p>
  </w:footnote>
  <w:footnote w:id="2">
    <w:p w14:paraId="633F17E7" w14:textId="77777777" w:rsidR="00000000" w:rsidRPr="0064552E" w:rsidRDefault="008E69BD" w:rsidP="00FD3257">
      <w:pPr>
        <w:pStyle w:val="Textonotapie"/>
        <w:jc w:val="both"/>
        <w:rPr>
          <w:color w:val="000000" w:themeColor="text1"/>
          <w:lang w:val="es-ES_tradnl"/>
        </w:rPr>
      </w:pPr>
      <w:r w:rsidRPr="0064552E">
        <w:rPr>
          <w:rStyle w:val="Refdenotaalpie"/>
          <w:color w:val="000000" w:themeColor="text1"/>
        </w:rPr>
        <w:footnoteRef/>
      </w:r>
      <w:r w:rsidRPr="0064552E">
        <w:rPr>
          <w:color w:val="000000" w:themeColor="text1"/>
        </w:rPr>
        <w:t xml:space="preserve"> Conforme </w:t>
      </w:r>
      <w:r>
        <w:rPr>
          <w:color w:val="000000" w:themeColor="text1"/>
        </w:rPr>
        <w:t>con</w:t>
      </w:r>
      <w:r w:rsidRPr="0064552E">
        <w:rPr>
          <w:color w:val="000000" w:themeColor="text1"/>
        </w:rPr>
        <w:t xml:space="preserve"> lo dispuesto en el artículo 66 de la Ley 1753 de 2015, la ADRES está adscrita al Ministerio de Salud y Protección Social y es la encargada de administrar los recursos del FOSYGA, FONSAET, los copagos de prestaciones no incluidas en el PBS del régimen contributivo y los recursos del </w:t>
      </w:r>
      <w:r>
        <w:rPr>
          <w:color w:val="000000" w:themeColor="text1"/>
        </w:rPr>
        <w:t>s</w:t>
      </w:r>
      <w:r w:rsidRPr="0064552E">
        <w:rPr>
          <w:color w:val="000000" w:themeColor="text1"/>
        </w:rPr>
        <w:t>istema, entre otras.</w:t>
      </w:r>
    </w:p>
  </w:footnote>
  <w:footnote w:id="3">
    <w:p w14:paraId="0684EDCF" w14:textId="77777777" w:rsidR="00000000" w:rsidRPr="0064552E" w:rsidRDefault="008E69BD" w:rsidP="00FD3257">
      <w:pPr>
        <w:pStyle w:val="Textonotapie"/>
        <w:jc w:val="both"/>
        <w:rPr>
          <w:color w:val="000000" w:themeColor="text1"/>
          <w:lang w:val="es-MX"/>
        </w:rPr>
      </w:pPr>
      <w:r w:rsidRPr="0064552E">
        <w:rPr>
          <w:rStyle w:val="Refdenotaalpie"/>
          <w:color w:val="000000" w:themeColor="text1"/>
        </w:rPr>
        <w:footnoteRef/>
      </w:r>
      <w:r w:rsidRPr="0064552E">
        <w:rPr>
          <w:color w:val="000000" w:themeColor="text1"/>
        </w:rPr>
        <w:t xml:space="preserve"> </w:t>
      </w:r>
      <w:proofErr w:type="spellStart"/>
      <w:r w:rsidRPr="0064552E">
        <w:rPr>
          <w:color w:val="000000" w:themeColor="text1"/>
        </w:rPr>
        <w:t>Ibíd</w:t>
      </w:r>
      <w:proofErr w:type="spellEnd"/>
      <w:r w:rsidRPr="0064552E">
        <w:rPr>
          <w:color w:val="000000" w:themeColor="text1"/>
        </w:rPr>
        <w:t>, págs. 355-</w:t>
      </w:r>
      <w:proofErr w:type="gramStart"/>
      <w:r w:rsidRPr="0064552E">
        <w:rPr>
          <w:color w:val="000000" w:themeColor="text1"/>
        </w:rPr>
        <w:t>356.</w:t>
      </w:r>
      <w:r w:rsidRPr="0064552E">
        <w:rPr>
          <w:color w:val="000000" w:themeColor="text1"/>
          <w:lang w:val="es-MX"/>
        </w:rPr>
        <w:t>.</w:t>
      </w:r>
      <w:proofErr w:type="gramEnd"/>
    </w:p>
  </w:footnote>
  <w:footnote w:id="4">
    <w:p w14:paraId="34A3DF76" w14:textId="77777777" w:rsidR="00000000" w:rsidRPr="0064552E" w:rsidRDefault="008E69BD" w:rsidP="00DE7AC4">
      <w:pPr>
        <w:rPr>
          <w:sz w:val="20"/>
          <w:szCs w:val="20"/>
        </w:rPr>
      </w:pPr>
      <w:r w:rsidRPr="0064552E">
        <w:rPr>
          <w:rStyle w:val="Refdenotaalpie"/>
          <w:sz w:val="20"/>
          <w:szCs w:val="20"/>
        </w:rPr>
        <w:footnoteRef/>
      </w:r>
      <w:r w:rsidRPr="0064552E">
        <w:rPr>
          <w:sz w:val="20"/>
          <w:szCs w:val="20"/>
        </w:rPr>
        <w:t xml:space="preserve"> Radicado No. 110010230000201700200-01.</w:t>
      </w:r>
    </w:p>
  </w:footnote>
  <w:footnote w:id="5">
    <w:p w14:paraId="0DC093BA" w14:textId="77777777" w:rsidR="00000000" w:rsidRPr="0064552E" w:rsidRDefault="008E69BD" w:rsidP="00FD3257">
      <w:pPr>
        <w:pStyle w:val="Textonotapie"/>
        <w:jc w:val="both"/>
        <w:rPr>
          <w:color w:val="000000" w:themeColor="text1"/>
          <w:lang w:val="es-MX"/>
        </w:rPr>
      </w:pPr>
      <w:r w:rsidRPr="0064552E">
        <w:rPr>
          <w:rStyle w:val="Refdenotaalpie"/>
          <w:color w:val="000000" w:themeColor="text1"/>
        </w:rPr>
        <w:footnoteRef/>
      </w:r>
      <w:r w:rsidRPr="0064552E">
        <w:rPr>
          <w:color w:val="000000" w:themeColor="text1"/>
        </w:rPr>
        <w:t xml:space="preserve"> </w:t>
      </w:r>
      <w:r w:rsidRPr="0064552E">
        <w:rPr>
          <w:color w:val="000000" w:themeColor="text1"/>
          <w:lang w:val="es-MX"/>
        </w:rPr>
        <w:t>Archivo “18CdFolio1177AudioAudiencia08-07-2021.mp4”.</w:t>
      </w:r>
    </w:p>
  </w:footnote>
  <w:footnote w:id="6">
    <w:p w14:paraId="2FF00297" w14:textId="77777777" w:rsidR="00000000" w:rsidRPr="0064552E" w:rsidRDefault="008E69BD" w:rsidP="00FD3257">
      <w:pPr>
        <w:pStyle w:val="Textonotapie"/>
        <w:jc w:val="both"/>
        <w:rPr>
          <w:color w:val="000000" w:themeColor="text1"/>
          <w:lang w:val="es-MX"/>
        </w:rPr>
      </w:pPr>
      <w:r w:rsidRPr="0064552E">
        <w:rPr>
          <w:rStyle w:val="Refdenotaalpie"/>
          <w:color w:val="000000" w:themeColor="text1"/>
        </w:rPr>
        <w:footnoteRef/>
      </w:r>
      <w:r w:rsidRPr="0064552E">
        <w:rPr>
          <w:color w:val="000000" w:themeColor="text1"/>
        </w:rPr>
        <w:t xml:space="preserve"> </w:t>
      </w:r>
      <w:r w:rsidRPr="0064552E">
        <w:rPr>
          <w:color w:val="000000" w:themeColor="text1"/>
          <w:lang w:val="es-MX"/>
        </w:rPr>
        <w:t>Archivo “</w:t>
      </w:r>
      <w:r w:rsidRPr="0064552E">
        <w:rPr>
          <w:iCs/>
          <w:color w:val="000000" w:themeColor="text1"/>
          <w:lang w:val="es-MX"/>
        </w:rPr>
        <w:t>03 CJU-2545 Constancia de Reparto.pdf</w:t>
      </w:r>
      <w:r w:rsidRPr="0064552E">
        <w:rPr>
          <w:color w:val="000000" w:themeColor="text1"/>
          <w:lang w:val="es-MX"/>
        </w:rPr>
        <w:t>”.</w:t>
      </w:r>
    </w:p>
  </w:footnote>
  <w:footnote w:id="7">
    <w:p w14:paraId="25A0214A" w14:textId="77777777" w:rsidR="00000000" w:rsidRPr="0064552E" w:rsidRDefault="008E69BD" w:rsidP="00FD3257">
      <w:pPr>
        <w:pStyle w:val="Textonotapie"/>
        <w:jc w:val="both"/>
      </w:pPr>
      <w:r w:rsidRPr="0064552E">
        <w:rPr>
          <w:rStyle w:val="Refdenotaalpie"/>
        </w:rPr>
        <w:footnoteRef/>
      </w:r>
      <w:r w:rsidRPr="0064552E">
        <w:t xml:space="preserve"> Corte Constitucional, autos 345 de 2018, 328 y 452 de 2019.</w:t>
      </w:r>
    </w:p>
  </w:footnote>
  <w:footnote w:id="8">
    <w:p w14:paraId="0B29E3D6" w14:textId="77777777" w:rsidR="00000000" w:rsidRPr="0064552E" w:rsidRDefault="008E69BD" w:rsidP="00FD3257">
      <w:pPr>
        <w:pStyle w:val="Textonotapie"/>
        <w:jc w:val="both"/>
        <w:rPr>
          <w:color w:val="000000" w:themeColor="text1"/>
          <w:lang w:val="es-ES_tradnl"/>
        </w:rPr>
      </w:pPr>
      <w:r w:rsidRPr="0064552E">
        <w:rPr>
          <w:rStyle w:val="Refdenotaalpie"/>
          <w:color w:val="000000" w:themeColor="text1"/>
        </w:rPr>
        <w:footnoteRef/>
      </w:r>
      <w:r w:rsidRPr="0064552E">
        <w:rPr>
          <w:color w:val="000000" w:themeColor="text1"/>
        </w:rPr>
        <w:t xml:space="preserve"> Corte Constitucional, auto 155 de 2019, reiterado, entre otros, por los autos 452 y 503 de 2019 y 129 y 415 de 2020.</w:t>
      </w:r>
    </w:p>
  </w:footnote>
  <w:footnote w:id="9">
    <w:p w14:paraId="611634F3" w14:textId="77777777" w:rsidR="00000000" w:rsidRPr="0064552E" w:rsidRDefault="008E69BD" w:rsidP="00FD3257">
      <w:pPr>
        <w:pStyle w:val="Textonotapie"/>
        <w:jc w:val="both"/>
        <w:rPr>
          <w:color w:val="000000" w:themeColor="text1"/>
        </w:rPr>
      </w:pPr>
      <w:r w:rsidRPr="0064552E">
        <w:rPr>
          <w:rStyle w:val="Refdenotaalpie"/>
          <w:color w:val="000000" w:themeColor="text1"/>
        </w:rPr>
        <w:footnoteRef/>
      </w:r>
      <w:r w:rsidRPr="0064552E">
        <w:rPr>
          <w:color w:val="000000" w:themeColor="text1"/>
        </w:rPr>
        <w:t xml:space="preserve"> En consecuencia, no habrá conflicto cuando solo sea parte una autoridad o una de las partes en colisión no ejerza funciones jurisdiccionales.</w:t>
      </w:r>
    </w:p>
  </w:footnote>
  <w:footnote w:id="10">
    <w:p w14:paraId="2BFA2E90" w14:textId="77777777" w:rsidR="00000000" w:rsidRPr="0064552E" w:rsidRDefault="008E69BD" w:rsidP="00FD3257">
      <w:pPr>
        <w:pStyle w:val="Textonotapie"/>
        <w:jc w:val="both"/>
        <w:rPr>
          <w:color w:val="000000" w:themeColor="text1"/>
          <w:lang w:val="es-ES_tradnl"/>
        </w:rPr>
      </w:pPr>
      <w:r w:rsidRPr="0064552E">
        <w:rPr>
          <w:rStyle w:val="Refdenotaalpie"/>
          <w:color w:val="000000" w:themeColor="text1"/>
        </w:rPr>
        <w:footnoteRef/>
      </w:r>
      <w:r w:rsidRPr="0064552E">
        <w:rPr>
          <w:color w:val="000000" w:themeColor="text1"/>
        </w:rPr>
        <w:t xml:space="preserve"> </w:t>
      </w:r>
      <w:r w:rsidRPr="0064552E">
        <w:rPr>
          <w:color w:val="000000" w:themeColor="text1"/>
          <w:lang w:val="es-ES_tradnl"/>
        </w:rPr>
        <w:t>En este sentido, no existirá conflicto cuando se evidencie que el litigio no está en trámite o no existe o el debate procesal se centra sobre una causa de carácter administrativo o político, pero no jurisdiccional (artículo 116 de la Constitución).</w:t>
      </w:r>
    </w:p>
  </w:footnote>
  <w:footnote w:id="11">
    <w:p w14:paraId="37D90D73" w14:textId="77777777" w:rsidR="00000000" w:rsidRPr="0064552E" w:rsidRDefault="008E69BD" w:rsidP="00FD3257">
      <w:pPr>
        <w:pStyle w:val="Textonotapie"/>
        <w:jc w:val="both"/>
        <w:rPr>
          <w:color w:val="000000" w:themeColor="text1"/>
        </w:rPr>
      </w:pPr>
      <w:r w:rsidRPr="0064552E">
        <w:rPr>
          <w:rStyle w:val="Refdenotaalpie"/>
          <w:color w:val="000000" w:themeColor="text1"/>
        </w:rPr>
        <w:footnoteRef/>
      </w:r>
      <w:r w:rsidRPr="0064552E">
        <w:rPr>
          <w:color w:val="000000" w:themeColor="text1"/>
        </w:rPr>
        <w:t xml:space="preserve"> Así pues, no existirá conflicto cuando se evidencie que, a pesar de concurrir formalmente dos autoridades judiciales, una de ellas no ha rechazado su competencia o manifestado su intención de asumirla o la exposición sobre la competencia desplegada por las autoridades en conflicto no tiene, al menos, aparentemente, fundamento normativo alguno, al sustentarse únicamente en argumentos de mera conveniencia.</w:t>
      </w:r>
    </w:p>
  </w:footnote>
  <w:footnote w:id="12">
    <w:p w14:paraId="1CE5C507" w14:textId="77777777" w:rsidR="00000000" w:rsidRPr="0064552E" w:rsidRDefault="008E69BD" w:rsidP="00FD3257">
      <w:pPr>
        <w:pStyle w:val="Textonotapie"/>
        <w:jc w:val="both"/>
        <w:rPr>
          <w:color w:val="000000" w:themeColor="text1"/>
        </w:rPr>
      </w:pPr>
      <w:r w:rsidRPr="0064552E">
        <w:rPr>
          <w:rStyle w:val="Refdenotaalpie"/>
          <w:color w:val="000000" w:themeColor="text1"/>
        </w:rPr>
        <w:footnoteRef/>
      </w:r>
      <w:r w:rsidRPr="0064552E">
        <w:rPr>
          <w:color w:val="000000" w:themeColor="text1"/>
        </w:rPr>
        <w:t xml:space="preserve"> Corte Constitucional, autos 389 y 390 de 2021.</w:t>
      </w:r>
    </w:p>
  </w:footnote>
  <w:footnote w:id="13">
    <w:p w14:paraId="35C465A0" w14:textId="77777777" w:rsidR="00000000" w:rsidRPr="0064552E" w:rsidRDefault="008E69BD" w:rsidP="00FD3257">
      <w:pPr>
        <w:pStyle w:val="Textonotapie"/>
        <w:jc w:val="both"/>
      </w:pPr>
      <w:r w:rsidRPr="0064552E">
        <w:rPr>
          <w:rStyle w:val="Refdenotaalpie"/>
        </w:rPr>
        <w:footnoteRef/>
      </w:r>
      <w:r w:rsidRPr="0064552E">
        <w:t xml:space="preserve"> Hoy en día, PBS.</w:t>
      </w:r>
    </w:p>
  </w:footnote>
  <w:footnote w:id="14">
    <w:p w14:paraId="4A7B7AEC" w14:textId="77777777" w:rsidR="00000000" w:rsidRDefault="008E69BD" w:rsidP="00845427">
      <w:pPr>
        <w:pStyle w:val="Textonotapie"/>
      </w:pPr>
      <w:r>
        <w:rPr>
          <w:rStyle w:val="Refdenotaalpie"/>
        </w:rPr>
        <w:footnoteRef/>
      </w:r>
      <w:r>
        <w:t xml:space="preserve"> autos 682 de 2021 y 135 de 2022, entre otros.</w:t>
      </w:r>
    </w:p>
  </w:footnote>
  <w:footnote w:id="15">
    <w:p w14:paraId="7E279ABA" w14:textId="77777777" w:rsidR="00000000" w:rsidRDefault="008E69BD" w:rsidP="00845427">
      <w:pPr>
        <w:pStyle w:val="Textonotapie"/>
      </w:pPr>
      <w:r>
        <w:rPr>
          <w:rStyle w:val="Refdenotaalpie"/>
        </w:rPr>
        <w:footnoteRef/>
      </w:r>
      <w:r>
        <w:t xml:space="preserve"> 1 de agosto de 2017.</w:t>
      </w:r>
    </w:p>
  </w:footnote>
  <w:footnote w:id="16">
    <w:p w14:paraId="5067E075" w14:textId="77777777" w:rsidR="00000000" w:rsidRPr="00D97579" w:rsidRDefault="008E69BD" w:rsidP="00845427">
      <w:pPr>
        <w:pStyle w:val="Textonotapie"/>
        <w:jc w:val="both"/>
        <w:rPr>
          <w:lang w:val="es-ES_tradnl"/>
        </w:rPr>
      </w:pPr>
      <w:r>
        <w:rPr>
          <w:rStyle w:val="Refdenotaalpie"/>
        </w:rPr>
        <w:footnoteRef/>
      </w:r>
      <w:r>
        <w:t xml:space="preserve"> En el</w:t>
      </w:r>
      <w:r w:rsidRPr="00B11E74">
        <w:t xml:space="preserve"> </w:t>
      </w:r>
      <w:r>
        <w:t>a</w:t>
      </w:r>
      <w:r w:rsidRPr="007D0718">
        <w:rPr>
          <w:bCs/>
          <w:lang w:eastAsia="uz-Cyrl-UZ"/>
        </w:rPr>
        <w:t>uto 1942 de 2023</w:t>
      </w:r>
      <w:r>
        <w:rPr>
          <w:bCs/>
          <w:lang w:eastAsia="uz-Cyrl-UZ"/>
        </w:rPr>
        <w:t>, se</w:t>
      </w:r>
      <w:r w:rsidRPr="00B11E74">
        <w:rPr>
          <w:lang w:eastAsia="uz-Cyrl-UZ"/>
        </w:rPr>
        <w:t xml:space="preserve"> precisó que</w:t>
      </w:r>
      <w:r w:rsidRPr="00B11E74">
        <w:t xml:space="preserve"> el procedimiento </w:t>
      </w:r>
      <w:r w:rsidRPr="00B11E74">
        <w:rPr>
          <w:rFonts w:eastAsiaTheme="minorHAnsi"/>
        </w:rPr>
        <w:t>especial que</w:t>
      </w:r>
      <w:r w:rsidRPr="00B11E74">
        <w:rPr>
          <w:rFonts w:eastAsiaTheme="minorHAnsi"/>
          <w:bCs/>
        </w:rPr>
        <w:t xml:space="preserve"> se adelanta ante la ADRES consagra un mecanismo de réplica frente a la decisión sobre el recobro, el cual debe ser resuelto por la misma entidad. En concreto, el artículo 56 de la Resolución 1885 de 2018 determina que </w:t>
      </w:r>
      <w:r w:rsidRPr="00B11E74">
        <w:rPr>
          <w:color w:val="0D0D0D"/>
          <w:shd w:val="clear" w:color="auto" w:fill="FFFFFF"/>
        </w:rPr>
        <w:t xml:space="preserve">en el procedimiento administrativo de pago de recobros </w:t>
      </w:r>
      <w:r w:rsidRPr="00B11E74">
        <w:rPr>
          <w:bCs/>
          <w:color w:val="0D0D0D"/>
          <w:shd w:val="clear" w:color="auto" w:fill="FFFFFF"/>
        </w:rPr>
        <w:t>es posible</w:t>
      </w:r>
      <w:r w:rsidRPr="00B11E74">
        <w:rPr>
          <w:color w:val="0D0D0D"/>
          <w:shd w:val="clear" w:color="auto" w:fill="FFFFFF"/>
        </w:rPr>
        <w:t xml:space="preserve"> ejercer un trámite de objeción frente a la comunicación inicial de la ADRES.</w:t>
      </w:r>
      <w:r w:rsidRPr="00B11E74">
        <w:t xml:space="preserve"> </w:t>
      </w:r>
      <w:r>
        <w:t>S</w:t>
      </w:r>
      <w:r w:rsidRPr="00B11E74">
        <w:rPr>
          <w:rStyle w:val="xxxcontentpasted0"/>
          <w:color w:val="000000"/>
          <w:bdr w:val="none" w:sz="0" w:space="0" w:color="auto" w:frame="1"/>
          <w:shd w:val="clear" w:color="auto" w:fill="FFFFFF"/>
        </w:rPr>
        <w:t>e evidencia que el procedimiento especial de recobro se ha regulado de forma similar desde el año 2006</w:t>
      </w:r>
      <w:r w:rsidRPr="00B11E74">
        <w:rPr>
          <w:color w:val="000000"/>
          <w:bdr w:val="none" w:sz="0" w:space="0" w:color="auto" w:frame="1"/>
          <w:shd w:val="clear" w:color="auto" w:fill="FFFFFF"/>
        </w:rPr>
        <w:t>;</w:t>
      </w:r>
      <w:r w:rsidRPr="00B11E74">
        <w:rPr>
          <w:rStyle w:val="xxxcontentpasted0"/>
          <w:color w:val="000000"/>
          <w:bdr w:val="none" w:sz="0" w:space="0" w:color="auto" w:frame="1"/>
          <w:shd w:val="clear" w:color="auto" w:fill="FFFFFF"/>
        </w:rPr>
        <w:t xml:space="preserve"> teniendo en cuenta que aún no existía la ADRES, las demandas se dirigían generalmente frente al Ministerio de Salud.</w:t>
      </w:r>
    </w:p>
  </w:footnote>
  <w:footnote w:id="17">
    <w:p w14:paraId="3C1AD154" w14:textId="77777777" w:rsidR="00000000" w:rsidRPr="00FF408B" w:rsidRDefault="008E69BD" w:rsidP="00845427">
      <w:pPr>
        <w:pStyle w:val="Textonotapie"/>
      </w:pPr>
      <w:r>
        <w:rPr>
          <w:rStyle w:val="Refdenotaalpie"/>
        </w:rPr>
        <w:footnoteRef/>
      </w:r>
      <w:r>
        <w:t xml:space="preserve"> Resoluciones 2933 de 2006, 458 de 2013, 5395 de 2013, 1328 de 2016, entre otras.</w:t>
      </w:r>
    </w:p>
  </w:footnote>
  <w:footnote w:id="18">
    <w:p w14:paraId="6BDD61C6" w14:textId="77777777" w:rsidR="00000000" w:rsidRPr="001942E2" w:rsidRDefault="008E69BD" w:rsidP="00845427">
      <w:pPr>
        <w:pStyle w:val="Textonotapie"/>
        <w:jc w:val="both"/>
      </w:pPr>
      <w:r>
        <w:rPr>
          <w:rStyle w:val="Refdenotaalpie"/>
        </w:rPr>
        <w:footnoteRef/>
      </w:r>
      <w:r>
        <w:t xml:space="preserve"> En este mismo sentido, en el auto 862 de 2021 se advirtió que “</w:t>
      </w:r>
      <w:r w:rsidRPr="001942E2">
        <w:rPr>
          <w:i/>
          <w:iCs/>
        </w:rPr>
        <w:t>en relación con el hecho de que en un recobro judicial al Estado la parte demandada esté conformada por el Ministerio de Salud y Protección Social, no impide la reiteración del Auto 389 de 2021 para la solución del conflicto de competencia</w:t>
      </w:r>
      <w:r>
        <w:t>”.</w:t>
      </w:r>
    </w:p>
  </w:footnote>
  <w:footnote w:id="19">
    <w:p w14:paraId="26FCD61A" w14:textId="77777777" w:rsidR="00000000" w:rsidRPr="0064552E" w:rsidRDefault="008E69BD" w:rsidP="00FD3257">
      <w:pPr>
        <w:pStyle w:val="Textonotapie"/>
        <w:jc w:val="both"/>
      </w:pPr>
      <w:r w:rsidRPr="0064552E">
        <w:rPr>
          <w:rStyle w:val="Refdenotaalpie"/>
        </w:rPr>
        <w:footnoteRef/>
      </w:r>
      <w:r w:rsidRPr="0064552E">
        <w:t xml:space="preserve"> </w:t>
      </w:r>
      <w:r w:rsidRPr="0064552E">
        <w:rPr>
          <w:lang w:val="es-ES_tradnl"/>
        </w:rPr>
        <w:t xml:space="preserve">Sin perjuicio de la presente síntesis, las reglas de transición están desarrolladas y fundamentadas en el </w:t>
      </w:r>
      <w:r w:rsidRPr="0064552E">
        <w:rPr>
          <w:b/>
          <w:bCs/>
          <w:lang w:val="es-ES_tradnl"/>
        </w:rPr>
        <w:t>auto 1942 de 2023</w:t>
      </w:r>
      <w:r w:rsidRPr="0064552E">
        <w:rPr>
          <w:lang w:val="es-ES_tradnl"/>
        </w:rPr>
        <w:t xml:space="preserve"> de la Corte Constitucional, al cual se remite en su integridad esta providencia.</w:t>
      </w:r>
    </w:p>
  </w:footnote>
  <w:footnote w:id="20">
    <w:p w14:paraId="4CAE6FF2" w14:textId="77777777" w:rsidR="00000000" w:rsidRPr="0064552E" w:rsidRDefault="008E69BD" w:rsidP="00FD3257">
      <w:pPr>
        <w:pStyle w:val="Textonotapie"/>
        <w:jc w:val="both"/>
      </w:pPr>
      <w:r w:rsidRPr="0064552E">
        <w:rPr>
          <w:rStyle w:val="Refdenotaalpie"/>
        </w:rPr>
        <w:footnoteRef/>
      </w:r>
      <w:r w:rsidRPr="0064552E">
        <w:t xml:space="preserve"> Respecto de los literales </w:t>
      </w:r>
      <w:r w:rsidRPr="0064552E">
        <w:rPr>
          <w:i/>
          <w:iCs/>
        </w:rPr>
        <w:t>a</w:t>
      </w:r>
      <w:r w:rsidRPr="0064552E">
        <w:t xml:space="preserve">) y </w:t>
      </w:r>
      <w:r w:rsidRPr="0064552E">
        <w:rPr>
          <w:i/>
          <w:iCs/>
        </w:rPr>
        <w:t>c</w:t>
      </w:r>
      <w:r w:rsidRPr="0064552E">
        <w:t>) que refieren a demandas en las que existe decisión de la Jurisdicción de lo Contencioso Administrativo de inadmisión o rechazo por el incumplimiento de los requisitos de procedibilidad (</w:t>
      </w:r>
      <w:r w:rsidRPr="0064552E">
        <w:rPr>
          <w:i/>
          <w:iCs/>
        </w:rPr>
        <w:t>agotamiento de recursos obligatorios y/o conciliación extrajudicial</w:t>
      </w:r>
      <w:r w:rsidRPr="0064552E">
        <w:t xml:space="preserve">) o el presupuesto procesal de la caducidad; el auto determinó que, en caso de existir una decisión definitiva respecto de esas demandas, las mismas podrán ser nuevamente presentadas de acuerdo con el literal </w:t>
      </w:r>
      <w:r w:rsidRPr="0064552E">
        <w:rPr>
          <w:i/>
          <w:iCs/>
        </w:rPr>
        <w:t>e</w:t>
      </w:r>
      <w:r w:rsidRPr="0064552E">
        <w:t xml:space="preserve">). Sin embargo, si fueron solo inadmitidas, se deberá dar aplicación a estas reglas. En el mismo sentido, se determinó que en las demandas referidas en los literales </w:t>
      </w:r>
      <w:r w:rsidRPr="0064552E">
        <w:rPr>
          <w:i/>
          <w:iCs/>
        </w:rPr>
        <w:t>c</w:t>
      </w:r>
      <w:r w:rsidRPr="0064552E">
        <w:t xml:space="preserve">) y </w:t>
      </w:r>
      <w:r w:rsidRPr="0064552E">
        <w:rPr>
          <w:i/>
          <w:iCs/>
        </w:rPr>
        <w:t>d</w:t>
      </w:r>
      <w:r w:rsidRPr="0064552E">
        <w:t>), el juez de conocimiento deberá considerar si el referido incumplimiento de la parte demandante deriva de la confianza legítima que ostentaría frente a la observancia del precedente que remitía el asunto a la Jurisdicción Ordinaria Laboral.</w:t>
      </w:r>
    </w:p>
  </w:footnote>
  <w:footnote w:id="21">
    <w:p w14:paraId="5B098236" w14:textId="77777777" w:rsidR="00000000" w:rsidRPr="0064552E" w:rsidRDefault="008E69BD" w:rsidP="00FD3257">
      <w:pPr>
        <w:pStyle w:val="Textonotapie"/>
        <w:jc w:val="both"/>
        <w:rPr>
          <w:lang w:val="es-ES_tradnl"/>
        </w:rPr>
      </w:pPr>
      <w:r w:rsidRPr="0064552E">
        <w:rPr>
          <w:rStyle w:val="Refdenotaalpie"/>
        </w:rPr>
        <w:footnoteRef/>
      </w:r>
      <w:r w:rsidRPr="0064552E">
        <w:t xml:space="preserve"> </w:t>
      </w:r>
      <w:r w:rsidRPr="0064552E">
        <w:rPr>
          <w:lang w:val="es-ES_tradnl"/>
        </w:rPr>
        <w:t>Sin perjuicio de la presente síntesis, las reglas de transición están desarrolladas y fundamentadas en el auto 1942 de 2023 de la Corte Constitucional, al cual se remite en su integridad esta providencia.</w:t>
      </w:r>
    </w:p>
  </w:footnote>
  <w:footnote w:id="22">
    <w:p w14:paraId="16D52FA8" w14:textId="77777777" w:rsidR="00000000" w:rsidRPr="0064552E" w:rsidRDefault="008E69BD" w:rsidP="0089795B">
      <w:pPr>
        <w:jc w:val="both"/>
        <w:rPr>
          <w:sz w:val="20"/>
          <w:szCs w:val="20"/>
        </w:rPr>
      </w:pPr>
      <w:r w:rsidRPr="0064552E">
        <w:rPr>
          <w:sz w:val="20"/>
          <w:szCs w:val="20"/>
          <w:vertAlign w:val="superscript"/>
        </w:rPr>
        <w:footnoteRef/>
      </w:r>
      <w:r w:rsidRPr="0064552E">
        <w:rPr>
          <w:sz w:val="20"/>
          <w:szCs w:val="20"/>
        </w:rPr>
        <w:t xml:space="preserve"> Esta interpretación ha sido adoptada por la Corte Constitucional en los autos </w:t>
      </w:r>
      <w:r>
        <w:rPr>
          <w:sz w:val="20"/>
          <w:szCs w:val="20"/>
        </w:rPr>
        <w:t>2237, 2256</w:t>
      </w:r>
      <w:r w:rsidRPr="0064552E">
        <w:rPr>
          <w:sz w:val="20"/>
          <w:szCs w:val="20"/>
        </w:rPr>
        <w:t xml:space="preserve"> de 2023,</w:t>
      </w:r>
      <w:r>
        <w:rPr>
          <w:sz w:val="20"/>
          <w:szCs w:val="20"/>
        </w:rPr>
        <w:t xml:space="preserve"> entre otros.</w:t>
      </w:r>
    </w:p>
  </w:footnote>
  <w:footnote w:id="23">
    <w:p w14:paraId="0B91F1F0" w14:textId="77777777" w:rsidR="00000000" w:rsidRPr="0064552E" w:rsidRDefault="008E69BD" w:rsidP="00FD3257">
      <w:pPr>
        <w:pStyle w:val="Textonotapie"/>
        <w:jc w:val="both"/>
        <w:rPr>
          <w:color w:val="000000" w:themeColor="text1"/>
          <w:lang w:val="es-ES"/>
        </w:rPr>
      </w:pPr>
      <w:r w:rsidRPr="0064552E">
        <w:rPr>
          <w:rStyle w:val="Refdenotaalpie"/>
          <w:color w:val="000000" w:themeColor="text1"/>
        </w:rPr>
        <w:footnoteRef/>
      </w:r>
      <w:r w:rsidRPr="0064552E">
        <w:rPr>
          <w:color w:val="000000" w:themeColor="text1"/>
        </w:rPr>
        <w:t xml:space="preserve"> </w:t>
      </w:r>
      <w:r w:rsidRPr="0064552E">
        <w:rPr>
          <w:color w:val="000000" w:themeColor="text1"/>
          <w:lang w:val="es-ES"/>
        </w:rPr>
        <w:t>Corte Constitucional, auto 389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D15E0"/>
    <w:multiLevelType w:val="hybridMultilevel"/>
    <w:tmpl w:val="0AFEF93C"/>
    <w:lvl w:ilvl="0" w:tplc="B13E287C">
      <w:start w:val="1"/>
      <w:numFmt w:val="upperRoman"/>
      <w:lvlText w:val="%1."/>
      <w:lvlJc w:val="left"/>
      <w:rPr>
        <w:rFonts w:hint="default"/>
        <w:b/>
        <w:i w:val="0"/>
        <w:sz w:val="28"/>
      </w:rPr>
    </w:lvl>
    <w:lvl w:ilvl="1" w:tplc="3D6CEA4C">
      <w:start w:val="1"/>
      <w:numFmt w:val="decimal"/>
      <w:lvlText w:val="%2."/>
      <w:lvlJc w:val="left"/>
      <w:pPr>
        <w:ind w:left="1440" w:hanging="360"/>
      </w:pPr>
      <w:rPr>
        <w:rFonts w:hint="default"/>
        <w:b w:val="0"/>
        <w:bCs w:val="0"/>
        <w:i w:val="0"/>
        <w:iCs w:val="0"/>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0200E8"/>
    <w:multiLevelType w:val="hybridMultilevel"/>
    <w:tmpl w:val="253026C6"/>
    <w:lvl w:ilvl="0" w:tplc="EAAC759C">
      <w:start w:val="1"/>
      <w:numFmt w:val="lowerLetter"/>
      <w:lvlText w:val="(%1)"/>
      <w:lvlJc w:val="left"/>
      <w:pPr>
        <w:ind w:left="360" w:hanging="360"/>
      </w:pPr>
      <w:rPr>
        <w:rFonts w:hint="default"/>
        <w:b/>
        <w:i w:val="0"/>
        <w:sz w:val="24"/>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BF36804"/>
    <w:multiLevelType w:val="hybridMultilevel"/>
    <w:tmpl w:val="957C5DCC"/>
    <w:lvl w:ilvl="0" w:tplc="E07C836A">
      <w:start w:val="6"/>
      <w:numFmt w:val="decimal"/>
      <w:lvlText w:val="%1."/>
      <w:lvlJc w:val="left"/>
      <w:pPr>
        <w:ind w:left="720" w:hanging="360"/>
      </w:pPr>
      <w:rPr>
        <w:rFonts w:hint="default"/>
        <w:i w:val="0"/>
        <w:iCs w:val="0"/>
        <w:u w:val="no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41729981">
    <w:abstractNumId w:val="0"/>
  </w:num>
  <w:num w:numId="2" w16cid:durableId="470562596">
    <w:abstractNumId w:val="2"/>
  </w:num>
  <w:num w:numId="3" w16cid:durableId="20329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06"/>
    <w:rsid w:val="00016F7E"/>
    <w:rsid w:val="002D35E9"/>
    <w:rsid w:val="003529AE"/>
    <w:rsid w:val="00863406"/>
    <w:rsid w:val="008C1C1E"/>
    <w:rsid w:val="008E69BD"/>
    <w:rsid w:val="00AB064F"/>
    <w:rsid w:val="00E15860"/>
    <w:rsid w:val="00FF35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7F8E2"/>
  <w14:defaultImageDpi w14:val="0"/>
  <w15:docId w15:val="{A52A4DD6-2DB1-4FB3-BA5A-5BA4E3D5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a,ft"/>
    <w:basedOn w:val="Normal"/>
    <w:link w:val="TextonotapieCar1"/>
    <w:uiPriority w:val="99"/>
    <w:qFormat/>
    <w:rsid w:val="00FD3A50"/>
    <w:rPr>
      <w:sz w:val="20"/>
      <w:szCs w:val="20"/>
    </w:rPr>
  </w:style>
  <w:style w:type="character" w:customStyle="1" w:styleId="TextonotapieCar">
    <w:name w:val="Texto nota pie Car"/>
    <w:basedOn w:val="Fuentedeprrafopredeter"/>
    <w:uiPriority w:val="99"/>
    <w:semiHidden/>
    <w:rsid w:val="00FD3A50"/>
    <w:rPr>
      <w:rFonts w:ascii="Times New Roman" w:eastAsia="Times New Roman" w:hAnsi="Times New Roman" w:cs="Times New Roman"/>
      <w:kern w:val="0"/>
      <w:sz w:val="20"/>
      <w:szCs w:val="20"/>
      <w:lang w:eastAsia="es-CO"/>
    </w:rPr>
  </w:style>
  <w:style w:type="character" w:styleId="Refdenotaalpie">
    <w:name w:val="footnote reference"/>
    <w:aliases w:val="Texto de nota al pie,Footnotes refss,Appel note de bas de page,referencia nota al pie,Footnote number,BVI fnr,f,Fago Fußnotenzeichen,4_G,16 Point,Superscript 6 Point,Texto nota al pie,Ref. de nota al pie 2,Texto nota pie Car2,F,FC,R"/>
    <w:link w:val="Piedepagina"/>
    <w:uiPriority w:val="99"/>
    <w:qFormat/>
    <w:rsid w:val="00FD3A50"/>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qFormat/>
    <w:locked/>
    <w:rsid w:val="00FD3A50"/>
    <w:rPr>
      <w:rFonts w:ascii="Times New Roman" w:eastAsia="Times New Roman" w:hAnsi="Times New Roman" w:cs="Times New Roman"/>
      <w:kern w:val="0"/>
      <w:sz w:val="20"/>
      <w:szCs w:val="20"/>
      <w:lang w:eastAsia="es-CO"/>
    </w:rPr>
  </w:style>
  <w:style w:type="paragraph" w:styleId="Encabezado">
    <w:name w:val="header"/>
    <w:basedOn w:val="Normal"/>
    <w:link w:val="EncabezadoCar"/>
    <w:rsid w:val="00FD3A50"/>
    <w:pPr>
      <w:tabs>
        <w:tab w:val="center" w:pos="4252"/>
        <w:tab w:val="right" w:pos="8504"/>
      </w:tabs>
    </w:pPr>
  </w:style>
  <w:style w:type="character" w:customStyle="1" w:styleId="EncabezadoCar">
    <w:name w:val="Encabezado Car"/>
    <w:basedOn w:val="Fuentedeprrafopredeter"/>
    <w:link w:val="Encabezado"/>
    <w:rsid w:val="00FD3A50"/>
    <w:rPr>
      <w:rFonts w:ascii="Times New Roman" w:eastAsia="Times New Roman" w:hAnsi="Times New Roman" w:cs="Times New Roman"/>
      <w:kern w:val="0"/>
      <w:lang w:eastAsia="es-CO"/>
    </w:rPr>
  </w:style>
  <w:style w:type="paragraph" w:styleId="Piedepgina">
    <w:name w:val="footer"/>
    <w:basedOn w:val="Normal"/>
    <w:link w:val="PiedepginaCar"/>
    <w:rsid w:val="00FD3A50"/>
    <w:pPr>
      <w:tabs>
        <w:tab w:val="center" w:pos="4252"/>
        <w:tab w:val="right" w:pos="8504"/>
      </w:tabs>
    </w:pPr>
  </w:style>
  <w:style w:type="character" w:customStyle="1" w:styleId="PiedepginaCar">
    <w:name w:val="Pie de página Car"/>
    <w:basedOn w:val="Fuentedeprrafopredeter"/>
    <w:link w:val="Piedepgina"/>
    <w:rsid w:val="00FD3A50"/>
    <w:rPr>
      <w:rFonts w:ascii="Times New Roman" w:eastAsia="Times New Roman" w:hAnsi="Times New Roman" w:cs="Times New Roman"/>
      <w:kern w:val="0"/>
      <w:lang w:eastAsia="es-CO"/>
    </w:rPr>
  </w:style>
  <w:style w:type="character" w:styleId="Nmerodepgina">
    <w:name w:val="page number"/>
    <w:rsid w:val="00FD3A50"/>
  </w:style>
  <w:style w:type="paragraph" w:customStyle="1" w:styleId="Style2">
    <w:name w:val="Style2"/>
    <w:basedOn w:val="Normal"/>
    <w:uiPriority w:val="99"/>
    <w:rsid w:val="00FD3A50"/>
    <w:pPr>
      <w:widowControl w:val="0"/>
      <w:autoSpaceDE w:val="0"/>
      <w:autoSpaceDN w:val="0"/>
      <w:adjustRightInd w:val="0"/>
      <w:spacing w:line="322" w:lineRule="exact"/>
      <w:jc w:val="center"/>
    </w:pPr>
  </w:style>
  <w:style w:type="paragraph" w:customStyle="1" w:styleId="Style5">
    <w:name w:val="Style5"/>
    <w:basedOn w:val="Normal"/>
    <w:uiPriority w:val="99"/>
    <w:rsid w:val="00FD3A50"/>
    <w:pPr>
      <w:widowControl w:val="0"/>
      <w:autoSpaceDE w:val="0"/>
      <w:autoSpaceDN w:val="0"/>
      <w:adjustRightInd w:val="0"/>
    </w:pPr>
  </w:style>
  <w:style w:type="paragraph" w:customStyle="1" w:styleId="Style6">
    <w:name w:val="Style6"/>
    <w:basedOn w:val="Normal"/>
    <w:uiPriority w:val="99"/>
    <w:rsid w:val="00FD3A50"/>
    <w:pPr>
      <w:widowControl w:val="0"/>
      <w:autoSpaceDE w:val="0"/>
      <w:autoSpaceDN w:val="0"/>
      <w:adjustRightInd w:val="0"/>
      <w:spacing w:line="322" w:lineRule="exact"/>
      <w:jc w:val="both"/>
    </w:pPr>
  </w:style>
  <w:style w:type="character" w:customStyle="1" w:styleId="FontStyle11">
    <w:name w:val="Font Style11"/>
    <w:uiPriority w:val="99"/>
    <w:rsid w:val="00FD3A50"/>
    <w:rPr>
      <w:rFonts w:ascii="Times New Roman" w:hAnsi="Times New Roman" w:cs="Times New Roman"/>
      <w:b/>
      <w:bCs/>
      <w:sz w:val="26"/>
      <w:szCs w:val="26"/>
    </w:rPr>
  </w:style>
  <w:style w:type="character" w:customStyle="1" w:styleId="FontStyle12">
    <w:name w:val="Font Style12"/>
    <w:uiPriority w:val="99"/>
    <w:rsid w:val="00FD3A50"/>
    <w:rPr>
      <w:rFonts w:ascii="Times New Roman" w:hAnsi="Times New Roman" w:cs="Times New Roman"/>
      <w:sz w:val="26"/>
      <w:szCs w:val="26"/>
    </w:rPr>
  </w:style>
  <w:style w:type="paragraph" w:styleId="Prrafodelista">
    <w:name w:val="List Paragraph"/>
    <w:aliases w:val="Colorful List - Accent 11,Ha,List Paragraph1,lp1,Normal2,List Paragraph2,List1,titulo 3,Párrafo de lista1,Bullets,Párrafo de lista2,Cuadrícula clara - Énfasis 31,Dot pt,F5 List Paragraph,No Spacing1,Footnote,Normal1,normal"/>
    <w:basedOn w:val="Normal"/>
    <w:link w:val="PrrafodelistaCar"/>
    <w:uiPriority w:val="34"/>
    <w:qFormat/>
    <w:rsid w:val="00FD3A50"/>
    <w:pPr>
      <w:ind w:left="720"/>
      <w:contextualSpacing/>
    </w:pPr>
    <w:rPr>
      <w:rFonts w:eastAsia="Calibri"/>
      <w:lang w:eastAsia="en-US"/>
    </w:rPr>
  </w:style>
  <w:style w:type="paragraph" w:styleId="Sinespaciado">
    <w:name w:val="No Spacing"/>
    <w:uiPriority w:val="1"/>
    <w:qFormat/>
    <w:rsid w:val="00FD3A50"/>
    <w:rPr>
      <w:rFonts w:ascii="Times New Roman" w:eastAsia="Times New Roman" w:hAnsi="Times New Roman" w:cs="Times New Roman"/>
      <w:sz w:val="28"/>
      <w:szCs w:val="28"/>
      <w:lang w:val="es-ES" w:eastAsia="es-ES"/>
    </w:rPr>
  </w:style>
  <w:style w:type="character" w:styleId="Refdecomentario">
    <w:name w:val="annotation reference"/>
    <w:basedOn w:val="Fuentedeprrafopredeter"/>
    <w:uiPriority w:val="99"/>
    <w:semiHidden/>
    <w:unhideWhenUsed/>
    <w:rsid w:val="00FD3A50"/>
    <w:rPr>
      <w:sz w:val="16"/>
      <w:szCs w:val="16"/>
    </w:rPr>
  </w:style>
  <w:style w:type="paragraph" w:customStyle="1" w:styleId="Piedepagina">
    <w:name w:val="Pie de pagina"/>
    <w:aliases w:val="Ref. de nota al pie2,Nota de pie"/>
    <w:basedOn w:val="Normal"/>
    <w:link w:val="Refdenotaalpie"/>
    <w:uiPriority w:val="99"/>
    <w:rsid w:val="00FD3A50"/>
    <w:pPr>
      <w:spacing w:line="240" w:lineRule="exact"/>
    </w:pPr>
    <w:rPr>
      <w:rFonts w:eastAsiaTheme="minorHAnsi"/>
      <w:kern w:val="2"/>
      <w:vertAlign w:val="superscript"/>
      <w:lang w:eastAsia="en-US"/>
    </w:rPr>
  </w:style>
  <w:style w:type="character" w:customStyle="1" w:styleId="PrrafodelistaCar">
    <w:name w:val="Párrafo de lista Car"/>
    <w:aliases w:val="Colorful List - Accent 11 Car,Ha Car,List Paragraph1 Car,lp1 Car,Normal2 Car,List Paragraph2 Car,List1 Car,titulo 3 Car,Párrafo de lista1 Car,Bullets Car,Párrafo de lista2 Car,Cuadrícula clara - Énfasis 31 Car,Dot pt Car,Normal1 Car"/>
    <w:link w:val="Prrafodelista"/>
    <w:uiPriority w:val="34"/>
    <w:locked/>
    <w:rsid w:val="00FD3A50"/>
    <w:rPr>
      <w:rFonts w:ascii="Times New Roman" w:eastAsia="Calibri" w:hAnsi="Times New Roman" w:cs="Times New Roman"/>
      <w:kern w:val="0"/>
      <w:szCs w:val="22"/>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kern w:val="0"/>
      <w:sz w:val="20"/>
      <w:szCs w:val="20"/>
      <w:lang w:eastAsia="es-CO"/>
    </w:rPr>
  </w:style>
  <w:style w:type="table" w:styleId="Tablaconcuadrcula">
    <w:name w:val="Table Grid"/>
    <w:basedOn w:val="Tablanormal"/>
    <w:uiPriority w:val="39"/>
    <w:rsid w:val="0051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F679C0"/>
  </w:style>
  <w:style w:type="character" w:customStyle="1" w:styleId="xcontentpasted0">
    <w:name w:val="x_contentpasted0"/>
    <w:basedOn w:val="Fuentedeprrafopredeter"/>
    <w:rsid w:val="00C5056D"/>
  </w:style>
  <w:style w:type="character" w:customStyle="1" w:styleId="xxxcontentpasted0">
    <w:name w:val="x_x_x_contentpasted0"/>
    <w:basedOn w:val="Fuentedeprrafopredeter"/>
    <w:rsid w:val="00845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2959</Words>
  <Characters>16276</Characters>
  <Application>Microsoft Office Word</Application>
  <DocSecurity>0</DocSecurity>
  <Lines>135</Lines>
  <Paragraphs>38</Paragraphs>
  <ScaleCrop>false</ScaleCrop>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Marleny Aldana Sandoval</cp:lastModifiedBy>
  <cp:revision>2</cp:revision>
  <dcterms:created xsi:type="dcterms:W3CDTF">2024-07-04T16:36:00Z</dcterms:created>
  <dcterms:modified xsi:type="dcterms:W3CDTF">2024-07-04T16:36:00Z</dcterms:modified>
</cp:coreProperties>
</file>