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D6DC" w14:textId="77777777" w:rsidR="003B63B6" w:rsidRDefault="003B63B6" w:rsidP="00F54371">
      <w:pPr>
        <w:pStyle w:val="Default"/>
        <w:rPr>
          <w:rFonts w:ascii="Bookman Old Style" w:hAnsi="Bookman Old Style" w:cs="Bookman Old Style"/>
          <w:b/>
          <w:bCs/>
          <w:color w:val="auto"/>
          <w:sz w:val="28"/>
          <w:szCs w:val="28"/>
        </w:rPr>
      </w:pPr>
    </w:p>
    <w:p w14:paraId="4EFE3AD0" w14:textId="3503D382" w:rsidR="00F54371" w:rsidRDefault="00F54371" w:rsidP="00932D1D">
      <w:pPr>
        <w:pStyle w:val="Default"/>
        <w:jc w:val="center"/>
        <w:rPr>
          <w:rFonts w:ascii="Bookman Old Style" w:hAnsi="Bookman Old Style" w:cs="Bookman Old Style"/>
          <w:color w:val="auto"/>
          <w:sz w:val="28"/>
          <w:szCs w:val="28"/>
        </w:rPr>
      </w:pPr>
      <w:r>
        <w:rPr>
          <w:rFonts w:ascii="Bookman Old Style" w:hAnsi="Bookman Old Style" w:cs="Bookman Old Style"/>
          <w:b/>
          <w:bCs/>
          <w:color w:val="auto"/>
          <w:sz w:val="28"/>
          <w:szCs w:val="28"/>
        </w:rPr>
        <w:t>REPÚBLICA DE COLOMBIA</w:t>
      </w:r>
    </w:p>
    <w:p w14:paraId="0A230C8A" w14:textId="6ED5FFBC" w:rsidR="00F54371" w:rsidRDefault="00F54371" w:rsidP="00932D1D">
      <w:pPr>
        <w:pStyle w:val="Default"/>
        <w:jc w:val="center"/>
        <w:rPr>
          <w:rFonts w:ascii="Bookman Old Style" w:hAnsi="Bookman Old Style" w:cs="Bookman Old Style"/>
          <w:color w:val="auto"/>
          <w:sz w:val="28"/>
          <w:szCs w:val="28"/>
        </w:rPr>
      </w:pPr>
      <w:r>
        <w:rPr>
          <w:rFonts w:ascii="Bookman Old Style" w:hAnsi="Bookman Old Style" w:cs="Bookman Old Style"/>
          <w:b/>
          <w:bCs/>
          <w:color w:val="auto"/>
          <w:sz w:val="28"/>
          <w:szCs w:val="28"/>
        </w:rPr>
        <w:t>TRIBUNAL SUPERIOR DEL DISTRITO JUDICIAL DE</w:t>
      </w:r>
    </w:p>
    <w:p w14:paraId="7DA4CED7" w14:textId="22C0C383" w:rsidR="00F54371" w:rsidRDefault="00F54371" w:rsidP="00932D1D">
      <w:pPr>
        <w:pStyle w:val="Default"/>
        <w:jc w:val="center"/>
        <w:rPr>
          <w:rFonts w:ascii="Bookman Old Style" w:hAnsi="Bookman Old Style" w:cs="Bookman Old Style"/>
          <w:color w:val="auto"/>
          <w:sz w:val="28"/>
          <w:szCs w:val="28"/>
        </w:rPr>
      </w:pPr>
      <w:r>
        <w:rPr>
          <w:rFonts w:ascii="Bookman Old Style" w:hAnsi="Bookman Old Style" w:cs="Bookman Old Style"/>
          <w:b/>
          <w:bCs/>
          <w:color w:val="auto"/>
          <w:sz w:val="28"/>
          <w:szCs w:val="28"/>
        </w:rPr>
        <w:t>BOGOTÁ, D.C.</w:t>
      </w:r>
    </w:p>
    <w:p w14:paraId="369FFD9A" w14:textId="581947F0" w:rsidR="00F54371" w:rsidRDefault="00F54371" w:rsidP="00932D1D">
      <w:pPr>
        <w:pStyle w:val="Default"/>
        <w:jc w:val="center"/>
        <w:rPr>
          <w:rFonts w:ascii="Bookman Old Style" w:hAnsi="Bookman Old Style" w:cs="Bookman Old Style"/>
          <w:color w:val="auto"/>
          <w:sz w:val="28"/>
          <w:szCs w:val="28"/>
        </w:rPr>
      </w:pPr>
      <w:r>
        <w:rPr>
          <w:rFonts w:ascii="Bookman Old Style" w:hAnsi="Bookman Old Style" w:cs="Bookman Old Style"/>
          <w:b/>
          <w:bCs/>
          <w:color w:val="auto"/>
          <w:sz w:val="28"/>
          <w:szCs w:val="28"/>
        </w:rPr>
        <w:t>SALA CIVIL</w:t>
      </w:r>
    </w:p>
    <w:p w14:paraId="71F514D7" w14:textId="77777777" w:rsidR="00932D1D" w:rsidRDefault="00932D1D" w:rsidP="00932D1D">
      <w:pPr>
        <w:pStyle w:val="Default"/>
        <w:jc w:val="center"/>
        <w:rPr>
          <w:rFonts w:ascii="Bookman Old Style" w:hAnsi="Bookman Old Style" w:cs="Bookman Old Style"/>
          <w:b/>
          <w:bCs/>
          <w:color w:val="auto"/>
          <w:sz w:val="23"/>
          <w:szCs w:val="23"/>
        </w:rPr>
      </w:pPr>
    </w:p>
    <w:p w14:paraId="32D0BB36" w14:textId="21FFEB5D" w:rsidR="00F54371" w:rsidRDefault="00F54371" w:rsidP="00932D1D">
      <w:pPr>
        <w:pStyle w:val="Default"/>
        <w:jc w:val="center"/>
        <w:rPr>
          <w:rFonts w:ascii="Bookman Old Style" w:hAnsi="Bookman Old Style" w:cs="Bookman Old Style"/>
          <w:color w:val="auto"/>
          <w:sz w:val="23"/>
          <w:szCs w:val="23"/>
        </w:rPr>
      </w:pPr>
      <w:r>
        <w:rPr>
          <w:rFonts w:ascii="Bookman Old Style" w:hAnsi="Bookman Old Style" w:cs="Bookman Old Style"/>
          <w:b/>
          <w:bCs/>
          <w:color w:val="auto"/>
          <w:sz w:val="23"/>
          <w:szCs w:val="23"/>
        </w:rPr>
        <w:t>MAGISTRADA SUSTANCIADORA: RUTH ELENA GALVIS VERGARA</w:t>
      </w:r>
    </w:p>
    <w:p w14:paraId="05125F84" w14:textId="77777777" w:rsidR="00932D1D" w:rsidRDefault="00932D1D" w:rsidP="00932D1D">
      <w:pPr>
        <w:pStyle w:val="Default"/>
        <w:jc w:val="center"/>
        <w:rPr>
          <w:rFonts w:ascii="Bookman Old Style" w:hAnsi="Bookman Old Style" w:cs="Bookman Old Style"/>
          <w:color w:val="auto"/>
          <w:sz w:val="28"/>
          <w:szCs w:val="28"/>
        </w:rPr>
      </w:pPr>
    </w:p>
    <w:p w14:paraId="0CAADE49" w14:textId="622D75F0" w:rsidR="00F54371" w:rsidRDefault="00F54371" w:rsidP="00932D1D">
      <w:pPr>
        <w:pStyle w:val="Default"/>
        <w:jc w:val="center"/>
        <w:rPr>
          <w:color w:val="auto"/>
          <w:sz w:val="28"/>
          <w:szCs w:val="28"/>
        </w:rPr>
      </w:pPr>
      <w:r>
        <w:rPr>
          <w:rFonts w:ascii="Bookman Old Style" w:hAnsi="Bookman Old Style" w:cs="Bookman Old Style"/>
          <w:color w:val="auto"/>
          <w:sz w:val="28"/>
          <w:szCs w:val="28"/>
        </w:rPr>
        <w:t>Bogotá, D.C., dieciséis de noviembre de dos mil veintitrés</w:t>
      </w:r>
    </w:p>
    <w:p w14:paraId="23134326" w14:textId="77777777" w:rsidR="00932D1D" w:rsidRDefault="00932D1D" w:rsidP="00F54371">
      <w:pPr>
        <w:pStyle w:val="Default"/>
        <w:rPr>
          <w:rFonts w:ascii="Bookman Old Style" w:hAnsi="Bookman Old Style" w:cs="Bookman Old Style"/>
          <w:color w:val="auto"/>
          <w:sz w:val="22"/>
          <w:szCs w:val="22"/>
        </w:rPr>
      </w:pPr>
    </w:p>
    <w:p w14:paraId="378193B1" w14:textId="77777777" w:rsidR="00932D1D" w:rsidRDefault="00932D1D" w:rsidP="00F54371">
      <w:pPr>
        <w:pStyle w:val="Default"/>
        <w:rPr>
          <w:rFonts w:ascii="Bookman Old Style" w:hAnsi="Bookman Old Style" w:cs="Bookman Old Style"/>
          <w:color w:val="auto"/>
          <w:sz w:val="22"/>
          <w:szCs w:val="22"/>
        </w:rPr>
      </w:pPr>
    </w:p>
    <w:p w14:paraId="121E5DEE" w14:textId="56FE7380" w:rsidR="00F54371" w:rsidRDefault="00F54371" w:rsidP="00F54371">
      <w:pPr>
        <w:pStyle w:val="Default"/>
        <w:rPr>
          <w:color w:val="auto"/>
          <w:sz w:val="22"/>
          <w:szCs w:val="22"/>
        </w:rPr>
      </w:pPr>
      <w:r>
        <w:rPr>
          <w:rFonts w:ascii="Bookman Old Style" w:hAnsi="Bookman Old Style" w:cs="Bookman Old Style"/>
          <w:color w:val="auto"/>
          <w:sz w:val="22"/>
          <w:szCs w:val="22"/>
        </w:rPr>
        <w:t xml:space="preserve">Proceso: </w:t>
      </w:r>
      <w:r w:rsidR="00932D1D">
        <w:rPr>
          <w:rFonts w:ascii="Bookman Old Style" w:hAnsi="Bookman Old Style" w:cs="Bookman Old Style"/>
          <w:color w:val="auto"/>
          <w:sz w:val="22"/>
          <w:szCs w:val="22"/>
        </w:rPr>
        <w:tab/>
      </w:r>
      <w:r>
        <w:rPr>
          <w:rFonts w:ascii="Bookman Old Style" w:hAnsi="Bookman Old Style" w:cs="Bookman Old Style"/>
          <w:color w:val="auto"/>
          <w:sz w:val="22"/>
          <w:szCs w:val="22"/>
        </w:rPr>
        <w:t xml:space="preserve">Declarativo de pertenencia </w:t>
      </w:r>
    </w:p>
    <w:p w14:paraId="32062AE9" w14:textId="7AA1DF72" w:rsidR="00F54371" w:rsidRDefault="00F54371" w:rsidP="00F54371">
      <w:pPr>
        <w:pStyle w:val="Default"/>
        <w:rPr>
          <w:color w:val="auto"/>
          <w:sz w:val="22"/>
          <w:szCs w:val="22"/>
        </w:rPr>
      </w:pPr>
      <w:r>
        <w:rPr>
          <w:rFonts w:ascii="Bookman Old Style" w:hAnsi="Bookman Old Style" w:cs="Bookman Old Style"/>
          <w:color w:val="auto"/>
          <w:sz w:val="22"/>
          <w:szCs w:val="22"/>
        </w:rPr>
        <w:t xml:space="preserve">Accionante: </w:t>
      </w:r>
      <w:r w:rsidR="00932D1D">
        <w:rPr>
          <w:rFonts w:ascii="Bookman Old Style" w:hAnsi="Bookman Old Style" w:cs="Bookman Old Style"/>
          <w:color w:val="auto"/>
          <w:sz w:val="22"/>
          <w:szCs w:val="22"/>
        </w:rPr>
        <w:tab/>
      </w:r>
      <w:r>
        <w:rPr>
          <w:rFonts w:ascii="Bookman Old Style" w:hAnsi="Bookman Old Style" w:cs="Bookman Old Style"/>
          <w:color w:val="auto"/>
          <w:sz w:val="22"/>
          <w:szCs w:val="22"/>
        </w:rPr>
        <w:t xml:space="preserve">Edgar Polanía Cortés </w:t>
      </w:r>
    </w:p>
    <w:p w14:paraId="31A8F002" w14:textId="2F061279" w:rsidR="00F54371" w:rsidRDefault="00F54371" w:rsidP="00932D1D">
      <w:pPr>
        <w:pStyle w:val="Default"/>
        <w:ind w:left="1440" w:hanging="1440"/>
        <w:rPr>
          <w:color w:val="auto"/>
          <w:sz w:val="22"/>
          <w:szCs w:val="22"/>
        </w:rPr>
      </w:pPr>
      <w:r>
        <w:rPr>
          <w:rFonts w:ascii="Bookman Old Style" w:hAnsi="Bookman Old Style" w:cs="Bookman Old Style"/>
          <w:color w:val="auto"/>
          <w:sz w:val="22"/>
          <w:szCs w:val="22"/>
        </w:rPr>
        <w:t xml:space="preserve">Accionado: </w:t>
      </w:r>
      <w:r w:rsidR="00932D1D">
        <w:rPr>
          <w:rFonts w:ascii="Bookman Old Style" w:hAnsi="Bookman Old Style" w:cs="Bookman Old Style"/>
          <w:color w:val="auto"/>
          <w:sz w:val="22"/>
          <w:szCs w:val="22"/>
        </w:rPr>
        <w:tab/>
      </w:r>
      <w:r>
        <w:rPr>
          <w:rFonts w:ascii="Bookman Old Style" w:hAnsi="Bookman Old Style" w:cs="Bookman Old Style"/>
          <w:color w:val="auto"/>
          <w:sz w:val="22"/>
          <w:szCs w:val="22"/>
        </w:rPr>
        <w:t xml:space="preserve">Clínica San Rafael hoy Hospital Universitario Clínica San Rafael y demás personas indeterminadas. </w:t>
      </w:r>
    </w:p>
    <w:p w14:paraId="390C3B84" w14:textId="16FF81C1" w:rsidR="00F54371" w:rsidRDefault="00F54371" w:rsidP="00F54371">
      <w:pPr>
        <w:pStyle w:val="Default"/>
        <w:rPr>
          <w:color w:val="auto"/>
          <w:sz w:val="22"/>
          <w:szCs w:val="22"/>
        </w:rPr>
      </w:pPr>
      <w:r>
        <w:rPr>
          <w:rFonts w:ascii="Bookman Old Style" w:hAnsi="Bookman Old Style" w:cs="Bookman Old Style"/>
          <w:color w:val="auto"/>
          <w:sz w:val="22"/>
          <w:szCs w:val="22"/>
        </w:rPr>
        <w:t xml:space="preserve">Radicación: </w:t>
      </w:r>
      <w:r w:rsidR="00932D1D">
        <w:rPr>
          <w:rFonts w:ascii="Bookman Old Style" w:hAnsi="Bookman Old Style" w:cs="Bookman Old Style"/>
          <w:color w:val="auto"/>
          <w:sz w:val="22"/>
          <w:szCs w:val="22"/>
        </w:rPr>
        <w:tab/>
      </w:r>
      <w:r>
        <w:rPr>
          <w:rFonts w:ascii="Bookman Old Style" w:hAnsi="Bookman Old Style" w:cs="Bookman Old Style"/>
          <w:color w:val="auto"/>
          <w:sz w:val="22"/>
          <w:szCs w:val="22"/>
        </w:rPr>
        <w:t xml:space="preserve">110013103033201900419 01 </w:t>
      </w:r>
    </w:p>
    <w:p w14:paraId="25541909" w14:textId="63217BC3" w:rsidR="00F54371" w:rsidRDefault="00F54371" w:rsidP="00F54371">
      <w:pPr>
        <w:pStyle w:val="Default"/>
        <w:rPr>
          <w:color w:val="auto"/>
          <w:sz w:val="22"/>
          <w:szCs w:val="22"/>
        </w:rPr>
      </w:pPr>
      <w:r>
        <w:rPr>
          <w:rFonts w:ascii="Bookman Old Style" w:hAnsi="Bookman Old Style" w:cs="Bookman Old Style"/>
          <w:color w:val="auto"/>
          <w:sz w:val="22"/>
          <w:szCs w:val="22"/>
        </w:rPr>
        <w:t xml:space="preserve">Procedencia: </w:t>
      </w:r>
      <w:r w:rsidR="00932D1D">
        <w:rPr>
          <w:rFonts w:ascii="Bookman Old Style" w:hAnsi="Bookman Old Style" w:cs="Bookman Old Style"/>
          <w:color w:val="auto"/>
          <w:sz w:val="22"/>
          <w:szCs w:val="22"/>
        </w:rPr>
        <w:tab/>
      </w:r>
      <w:r>
        <w:rPr>
          <w:rFonts w:ascii="Bookman Old Style" w:hAnsi="Bookman Old Style" w:cs="Bookman Old Style"/>
          <w:color w:val="auto"/>
          <w:sz w:val="22"/>
          <w:szCs w:val="22"/>
        </w:rPr>
        <w:t xml:space="preserve">Juzgado 33 Civil del Circuito de Bogotá </w:t>
      </w:r>
    </w:p>
    <w:p w14:paraId="26513F32" w14:textId="1695DFF4" w:rsidR="00F54371" w:rsidRDefault="00F54371" w:rsidP="00F54371">
      <w:pPr>
        <w:pStyle w:val="Default"/>
        <w:rPr>
          <w:color w:val="auto"/>
          <w:sz w:val="22"/>
          <w:szCs w:val="22"/>
        </w:rPr>
      </w:pPr>
      <w:r>
        <w:rPr>
          <w:rFonts w:ascii="Bookman Old Style" w:hAnsi="Bookman Old Style" w:cs="Bookman Old Style"/>
          <w:color w:val="auto"/>
          <w:sz w:val="22"/>
          <w:szCs w:val="22"/>
        </w:rPr>
        <w:t xml:space="preserve">Asunto: </w:t>
      </w:r>
      <w:r w:rsidR="00932D1D">
        <w:rPr>
          <w:rFonts w:ascii="Bookman Old Style" w:hAnsi="Bookman Old Style" w:cs="Bookman Old Style"/>
          <w:color w:val="auto"/>
          <w:sz w:val="22"/>
          <w:szCs w:val="22"/>
        </w:rPr>
        <w:tab/>
      </w:r>
      <w:r>
        <w:rPr>
          <w:rFonts w:ascii="Bookman Old Style" w:hAnsi="Bookman Old Style" w:cs="Bookman Old Style"/>
          <w:color w:val="auto"/>
          <w:sz w:val="22"/>
          <w:szCs w:val="22"/>
        </w:rPr>
        <w:t xml:space="preserve">Apelación de auto </w:t>
      </w:r>
    </w:p>
    <w:p w14:paraId="15F21B3D" w14:textId="77777777" w:rsidR="00F54371" w:rsidRDefault="00F54371" w:rsidP="00F54371">
      <w:pPr>
        <w:pStyle w:val="Default"/>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AI-185/23 </w:t>
      </w:r>
    </w:p>
    <w:p w14:paraId="38C185D5" w14:textId="77777777" w:rsidR="00932D1D" w:rsidRDefault="00932D1D" w:rsidP="00F54371">
      <w:pPr>
        <w:pStyle w:val="Default"/>
        <w:rPr>
          <w:rFonts w:ascii="Bookman Old Style" w:hAnsi="Bookman Old Style" w:cs="Bookman Old Style"/>
          <w:color w:val="auto"/>
          <w:sz w:val="28"/>
          <w:szCs w:val="28"/>
        </w:rPr>
      </w:pPr>
    </w:p>
    <w:p w14:paraId="497CE232" w14:textId="77777777" w:rsidR="00932D1D" w:rsidRDefault="00932D1D" w:rsidP="00412418">
      <w:pPr>
        <w:pStyle w:val="Default"/>
        <w:jc w:val="both"/>
        <w:rPr>
          <w:rFonts w:ascii="Bookman Old Style" w:hAnsi="Bookman Old Style" w:cs="Bookman Old Style"/>
          <w:color w:val="auto"/>
          <w:sz w:val="28"/>
          <w:szCs w:val="28"/>
        </w:rPr>
      </w:pPr>
    </w:p>
    <w:p w14:paraId="040B9DE0" w14:textId="733814A5" w:rsidR="00F54371" w:rsidRDefault="00F54371" w:rsidP="00412418">
      <w:pPr>
        <w:pStyle w:val="Default"/>
        <w:jc w:val="both"/>
        <w:rPr>
          <w:color w:val="auto"/>
          <w:sz w:val="28"/>
          <w:szCs w:val="28"/>
        </w:rPr>
      </w:pPr>
      <w:r>
        <w:rPr>
          <w:rFonts w:ascii="Bookman Old Style" w:hAnsi="Bookman Old Style" w:cs="Bookman Old Style"/>
          <w:color w:val="auto"/>
          <w:sz w:val="28"/>
          <w:szCs w:val="28"/>
        </w:rPr>
        <w:t xml:space="preserve">Se resuelve el recurso de apelación que interpuso la curadora </w:t>
      </w:r>
      <w:r>
        <w:rPr>
          <w:rFonts w:ascii="Bookman Old Style" w:hAnsi="Bookman Old Style" w:cs="Bookman Old Style"/>
          <w:i/>
          <w:iCs/>
          <w:color w:val="auto"/>
          <w:sz w:val="28"/>
          <w:szCs w:val="28"/>
        </w:rPr>
        <w:t xml:space="preserve">ad </w:t>
      </w:r>
      <w:proofErr w:type="spellStart"/>
      <w:r>
        <w:rPr>
          <w:rFonts w:ascii="Bookman Old Style" w:hAnsi="Bookman Old Style" w:cs="Bookman Old Style"/>
          <w:i/>
          <w:iCs/>
          <w:color w:val="auto"/>
          <w:sz w:val="28"/>
          <w:szCs w:val="28"/>
        </w:rPr>
        <w:t>litem</w:t>
      </w:r>
      <w:proofErr w:type="spellEnd"/>
      <w:r>
        <w:rPr>
          <w:rFonts w:ascii="Bookman Old Style" w:hAnsi="Bookman Old Style" w:cs="Bookman Old Style"/>
          <w:i/>
          <w:iCs/>
          <w:color w:val="auto"/>
          <w:sz w:val="28"/>
          <w:szCs w:val="28"/>
        </w:rPr>
        <w:t xml:space="preserve"> </w:t>
      </w:r>
      <w:r>
        <w:rPr>
          <w:rFonts w:ascii="Bookman Old Style" w:hAnsi="Bookman Old Style" w:cs="Bookman Old Style"/>
          <w:color w:val="auto"/>
          <w:sz w:val="28"/>
          <w:szCs w:val="28"/>
        </w:rPr>
        <w:t xml:space="preserve">de las personas indeterminadas, contra los numerales 4° y 5° del acápite de </w:t>
      </w:r>
      <w:r>
        <w:rPr>
          <w:rFonts w:ascii="Bookman Old Style" w:hAnsi="Bookman Old Style" w:cs="Bookman Old Style"/>
          <w:color w:val="auto"/>
          <w:sz w:val="23"/>
          <w:szCs w:val="23"/>
        </w:rPr>
        <w:t>“</w:t>
      </w:r>
      <w:r>
        <w:rPr>
          <w:rFonts w:ascii="Bookman Old Style" w:hAnsi="Bookman Old Style" w:cs="Bookman Old Style"/>
          <w:i/>
          <w:iCs/>
          <w:color w:val="auto"/>
          <w:sz w:val="23"/>
          <w:szCs w:val="23"/>
        </w:rPr>
        <w:t xml:space="preserve">PRUEBAS DECRETADAS PARA LA CURADORA AD LITEM DE LAS PERSONAS INDETERMINADAS” </w:t>
      </w:r>
      <w:r>
        <w:rPr>
          <w:rFonts w:ascii="Bookman Old Style" w:hAnsi="Bookman Old Style" w:cs="Bookman Old Style"/>
          <w:color w:val="auto"/>
          <w:sz w:val="28"/>
          <w:szCs w:val="28"/>
        </w:rPr>
        <w:t xml:space="preserve">del auto que profirió el Juzgado 33 Civil del Circuito de Bogotá el 13 de abril de 2023. </w:t>
      </w:r>
    </w:p>
    <w:p w14:paraId="110A2FAE" w14:textId="77777777" w:rsidR="00BC0A15" w:rsidRDefault="00BC0A15" w:rsidP="00412418">
      <w:pPr>
        <w:pStyle w:val="Default"/>
        <w:jc w:val="both"/>
        <w:rPr>
          <w:rFonts w:ascii="Bookman Old Style" w:hAnsi="Bookman Old Style" w:cs="Bookman Old Style"/>
          <w:b/>
          <w:bCs/>
          <w:color w:val="auto"/>
          <w:sz w:val="28"/>
          <w:szCs w:val="28"/>
        </w:rPr>
      </w:pPr>
    </w:p>
    <w:p w14:paraId="4CB43C04" w14:textId="05405BB0" w:rsidR="00F54371" w:rsidRDefault="00F54371" w:rsidP="00412418">
      <w:pPr>
        <w:pStyle w:val="Default"/>
        <w:jc w:val="both"/>
        <w:rPr>
          <w:color w:val="auto"/>
          <w:sz w:val="28"/>
          <w:szCs w:val="28"/>
        </w:rPr>
      </w:pPr>
      <w:r>
        <w:rPr>
          <w:rFonts w:ascii="Bookman Old Style" w:hAnsi="Bookman Old Style" w:cs="Bookman Old Style"/>
          <w:b/>
          <w:bCs/>
          <w:color w:val="auto"/>
          <w:sz w:val="28"/>
          <w:szCs w:val="28"/>
        </w:rPr>
        <w:t xml:space="preserve">Antecedentes </w:t>
      </w:r>
    </w:p>
    <w:p w14:paraId="2FF70AC0" w14:textId="77777777" w:rsidR="00BC0A15" w:rsidRDefault="00BC0A15" w:rsidP="00412418">
      <w:pPr>
        <w:pStyle w:val="Default"/>
        <w:jc w:val="both"/>
        <w:rPr>
          <w:rFonts w:ascii="Bookman Old Style" w:hAnsi="Bookman Old Style" w:cs="Bookman Old Style"/>
          <w:color w:val="auto"/>
          <w:sz w:val="28"/>
          <w:szCs w:val="28"/>
        </w:rPr>
      </w:pPr>
    </w:p>
    <w:p w14:paraId="396F54A6" w14:textId="4ED3D74A" w:rsidR="00F54371" w:rsidRDefault="00F54371" w:rsidP="00412418">
      <w:pPr>
        <w:pStyle w:val="Default"/>
        <w:jc w:val="both"/>
        <w:rPr>
          <w:color w:val="auto"/>
          <w:sz w:val="28"/>
          <w:szCs w:val="28"/>
        </w:rPr>
      </w:pPr>
      <w:r>
        <w:rPr>
          <w:rFonts w:ascii="Bookman Old Style" w:hAnsi="Bookman Old Style" w:cs="Bookman Old Style"/>
          <w:color w:val="auto"/>
          <w:sz w:val="28"/>
          <w:szCs w:val="28"/>
        </w:rPr>
        <w:t xml:space="preserve">1. Edgar Polanía Cortés, presentó demanda verbal de pertenencia en contra del Hospital Universitario Clínica San Rafael y personas indeterminadas, para que se declare que adquirió por prescripción adquisitiva extraordinaria el dominio del bien identificado con matrícula inmobiliaria 50C-120157; en consecuencia, se inscriba la sentencia en dicho folio. </w:t>
      </w:r>
    </w:p>
    <w:p w14:paraId="24E7F58D" w14:textId="77777777" w:rsidR="00BC0A15" w:rsidRDefault="00BC0A15" w:rsidP="00412418">
      <w:pPr>
        <w:pStyle w:val="Default"/>
        <w:jc w:val="both"/>
        <w:rPr>
          <w:rFonts w:ascii="Bookman Old Style" w:hAnsi="Bookman Old Style" w:cs="Bookman Old Style"/>
          <w:color w:val="auto"/>
          <w:sz w:val="28"/>
          <w:szCs w:val="28"/>
        </w:rPr>
      </w:pPr>
    </w:p>
    <w:p w14:paraId="6F319AFC" w14:textId="77777777" w:rsidR="00456A28" w:rsidRDefault="00F54371" w:rsidP="00412418">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2. El litigio se admitió por auto de 15 de julio de 2019, y una vez se cumplió con el emplazamiento de las personas indeterminadas, por auto de 27 de enero de 2020</w:t>
      </w:r>
      <w:r>
        <w:rPr>
          <w:rFonts w:ascii="Bookman Old Style" w:hAnsi="Bookman Old Style" w:cs="Bookman Old Style"/>
          <w:color w:val="auto"/>
          <w:sz w:val="18"/>
          <w:szCs w:val="18"/>
        </w:rPr>
        <w:t xml:space="preserve">2 </w:t>
      </w:r>
      <w:r>
        <w:rPr>
          <w:rFonts w:ascii="Bookman Old Style" w:hAnsi="Bookman Old Style" w:cs="Bookman Old Style"/>
          <w:color w:val="auto"/>
          <w:sz w:val="28"/>
          <w:szCs w:val="28"/>
        </w:rPr>
        <w:t xml:space="preserve">se dispuso la representación de estas a través de curador </w:t>
      </w:r>
      <w:r>
        <w:rPr>
          <w:rFonts w:ascii="Bookman Old Style" w:hAnsi="Bookman Old Style" w:cs="Bookman Old Style"/>
          <w:i/>
          <w:iCs/>
          <w:color w:val="auto"/>
          <w:sz w:val="28"/>
          <w:szCs w:val="28"/>
        </w:rPr>
        <w:t xml:space="preserve">ad </w:t>
      </w:r>
      <w:proofErr w:type="spellStart"/>
      <w:r>
        <w:rPr>
          <w:rFonts w:ascii="Bookman Old Style" w:hAnsi="Bookman Old Style" w:cs="Bookman Old Style"/>
          <w:i/>
          <w:iCs/>
          <w:color w:val="auto"/>
          <w:sz w:val="28"/>
          <w:szCs w:val="28"/>
        </w:rPr>
        <w:t>litem</w:t>
      </w:r>
      <w:proofErr w:type="spellEnd"/>
      <w:r>
        <w:rPr>
          <w:rFonts w:ascii="Bookman Old Style" w:hAnsi="Bookman Old Style" w:cs="Bookman Old Style"/>
          <w:color w:val="auto"/>
          <w:sz w:val="28"/>
          <w:szCs w:val="28"/>
        </w:rPr>
        <w:t>, quien luego de aceptar el nombramiento, contestó la demanda y propuso medios exceptivos de fondo</w:t>
      </w:r>
      <w:r w:rsidR="004610E3">
        <w:rPr>
          <w:rFonts w:ascii="Bookman Old Style" w:hAnsi="Bookman Old Style" w:cs="Bookman Old Style"/>
          <w:color w:val="auto"/>
          <w:sz w:val="28"/>
          <w:szCs w:val="28"/>
        </w:rPr>
        <w:t>.</w:t>
      </w:r>
      <w:r w:rsidR="00AC4BD1">
        <w:rPr>
          <w:rFonts w:ascii="Bookman Old Style" w:hAnsi="Bookman Old Style" w:cs="Bookman Old Style"/>
          <w:color w:val="auto"/>
          <w:sz w:val="28"/>
          <w:szCs w:val="28"/>
        </w:rPr>
        <w:t xml:space="preserve"> </w:t>
      </w:r>
    </w:p>
    <w:p w14:paraId="7029E231" w14:textId="7EFE3D06" w:rsidR="00F54371" w:rsidRDefault="00676D29" w:rsidP="00412418">
      <w:pPr>
        <w:pStyle w:val="Default"/>
        <w:jc w:val="both"/>
        <w:rPr>
          <w:color w:val="auto"/>
          <w:sz w:val="28"/>
          <w:szCs w:val="28"/>
        </w:rPr>
      </w:pPr>
      <w:r w:rsidRPr="00676D29">
        <w:rPr>
          <w:rFonts w:ascii="Arial" w:hAnsi="Arial" w:cs="Arial"/>
          <w:sz w:val="28"/>
          <w:szCs w:val="28"/>
        </w:rPr>
        <w:lastRenderedPageBreak/>
        <w:t>3. Por auto de 27 de julio de 2022</w:t>
      </w:r>
      <w:r w:rsidRPr="00676D29">
        <w:rPr>
          <w:rFonts w:ascii="Arial" w:hAnsi="Arial" w:cs="Arial"/>
          <w:sz w:val="18"/>
          <w:szCs w:val="18"/>
        </w:rPr>
        <w:t>4</w:t>
      </w:r>
      <w:r w:rsidRPr="00676D29">
        <w:rPr>
          <w:rFonts w:ascii="Arial" w:hAnsi="Arial" w:cs="Arial"/>
          <w:sz w:val="28"/>
          <w:szCs w:val="28"/>
        </w:rPr>
        <w:t>, se aceptó la reforma del libelo inaugural que formuló la parte convocante. De cara a la que la auxiliar de la justicia que actúa en representación de las personas indeterminadas, descorrió el traslado, manifestando</w:t>
      </w:r>
      <w:r>
        <w:rPr>
          <w:rFonts w:ascii="Arial" w:hAnsi="Arial" w:cs="Arial"/>
          <w:sz w:val="28"/>
          <w:szCs w:val="28"/>
        </w:rPr>
        <w:t xml:space="preserve"> </w:t>
      </w:r>
      <w:r w:rsidR="00F54371">
        <w:rPr>
          <w:rFonts w:ascii="Bookman Old Style" w:hAnsi="Bookman Old Style" w:cs="Bookman Old Style"/>
          <w:color w:val="auto"/>
          <w:sz w:val="28"/>
          <w:szCs w:val="28"/>
        </w:rPr>
        <w:t xml:space="preserve">estarse a lo que resulte probado en el proceso y solicitó se decreten como pruebas, entre otras, la exhibición de documentos a cargo del demandante y de la inmobiliaria Hermanos Morales S.A.S. que relaciona, respectivamente, en los numerales 5 y 6 del acápite </w:t>
      </w:r>
      <w:r w:rsidR="00F54371">
        <w:rPr>
          <w:rFonts w:ascii="Bookman Old Style" w:hAnsi="Bookman Old Style" w:cs="Bookman Old Style"/>
          <w:i/>
          <w:iCs/>
          <w:color w:val="auto"/>
          <w:sz w:val="28"/>
          <w:szCs w:val="28"/>
        </w:rPr>
        <w:t xml:space="preserve">“6.2. Solicitud de pruebas” </w:t>
      </w:r>
      <w:r w:rsidR="00F54371">
        <w:rPr>
          <w:rFonts w:ascii="Bookman Old Style" w:hAnsi="Bookman Old Style" w:cs="Bookman Old Style"/>
          <w:color w:val="auto"/>
          <w:sz w:val="28"/>
          <w:szCs w:val="28"/>
        </w:rPr>
        <w:t>de dicho escrito</w:t>
      </w:r>
      <w:r w:rsidR="00F54371">
        <w:rPr>
          <w:rFonts w:ascii="Bookman Old Style" w:hAnsi="Bookman Old Style" w:cs="Bookman Old Style"/>
          <w:color w:val="auto"/>
          <w:sz w:val="18"/>
          <w:szCs w:val="18"/>
        </w:rPr>
        <w:t>5</w:t>
      </w:r>
      <w:r w:rsidR="00F54371">
        <w:rPr>
          <w:rFonts w:ascii="Bookman Old Style" w:hAnsi="Bookman Old Style" w:cs="Bookman Old Style"/>
          <w:color w:val="auto"/>
          <w:sz w:val="28"/>
          <w:szCs w:val="28"/>
        </w:rPr>
        <w:t xml:space="preserve">. </w:t>
      </w:r>
    </w:p>
    <w:p w14:paraId="49527FF9" w14:textId="77777777" w:rsidR="00AC4BD1" w:rsidRDefault="00AC4BD1" w:rsidP="00412418">
      <w:pPr>
        <w:pStyle w:val="Default"/>
        <w:jc w:val="both"/>
        <w:rPr>
          <w:rFonts w:ascii="Bookman Old Style" w:hAnsi="Bookman Old Style" w:cs="Bookman Old Style"/>
          <w:color w:val="auto"/>
          <w:sz w:val="28"/>
          <w:szCs w:val="28"/>
        </w:rPr>
      </w:pPr>
    </w:p>
    <w:p w14:paraId="11D76D36" w14:textId="6E9E488F" w:rsidR="00F54371" w:rsidRDefault="00F54371" w:rsidP="00412418">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 xml:space="preserve">4. Por auto de 13 de abril de 2023, el funcionario cognoscente, en los numerales que se señalaron en el encabezado de este proveído, negó la solicitud probatoria de la curadora </w:t>
      </w:r>
      <w:r>
        <w:rPr>
          <w:rFonts w:ascii="Bookman Old Style" w:hAnsi="Bookman Old Style" w:cs="Bookman Old Style"/>
          <w:i/>
          <w:iCs/>
          <w:color w:val="auto"/>
          <w:sz w:val="28"/>
          <w:szCs w:val="28"/>
        </w:rPr>
        <w:t xml:space="preserve">ad </w:t>
      </w:r>
      <w:proofErr w:type="spellStart"/>
      <w:r>
        <w:rPr>
          <w:rFonts w:ascii="Bookman Old Style" w:hAnsi="Bookman Old Style" w:cs="Bookman Old Style"/>
          <w:i/>
          <w:iCs/>
          <w:color w:val="auto"/>
          <w:sz w:val="28"/>
          <w:szCs w:val="28"/>
        </w:rPr>
        <w:t>litem</w:t>
      </w:r>
      <w:proofErr w:type="spellEnd"/>
      <w:r>
        <w:rPr>
          <w:rFonts w:ascii="Bookman Old Style" w:hAnsi="Bookman Old Style" w:cs="Bookman Old Style"/>
          <w:i/>
          <w:iCs/>
          <w:color w:val="auto"/>
          <w:sz w:val="28"/>
          <w:szCs w:val="28"/>
        </w:rPr>
        <w:t xml:space="preserve"> </w:t>
      </w:r>
      <w:r>
        <w:rPr>
          <w:rFonts w:ascii="Bookman Old Style" w:hAnsi="Bookman Old Style" w:cs="Bookman Old Style"/>
          <w:color w:val="auto"/>
          <w:sz w:val="28"/>
          <w:szCs w:val="28"/>
        </w:rPr>
        <w:t xml:space="preserve">que se describe en el numeral anterior, por no cumplir con los requisitos previstos por el artículo 266 de la Ley 1564 de 2012, para su decreto. </w:t>
      </w:r>
    </w:p>
    <w:p w14:paraId="7F11CFFA" w14:textId="77777777" w:rsidR="00B446B9" w:rsidRDefault="00B446B9" w:rsidP="00412418">
      <w:pPr>
        <w:pStyle w:val="Default"/>
        <w:jc w:val="both"/>
        <w:rPr>
          <w:color w:val="auto"/>
          <w:sz w:val="28"/>
          <w:szCs w:val="28"/>
        </w:rPr>
      </w:pPr>
    </w:p>
    <w:p w14:paraId="10856A64" w14:textId="77777777" w:rsidR="00F54371" w:rsidRDefault="00F54371" w:rsidP="00412418">
      <w:pPr>
        <w:pStyle w:val="Default"/>
        <w:jc w:val="both"/>
        <w:rPr>
          <w:color w:val="auto"/>
          <w:sz w:val="28"/>
          <w:szCs w:val="28"/>
        </w:rPr>
      </w:pPr>
      <w:r>
        <w:rPr>
          <w:rFonts w:ascii="Bookman Old Style" w:hAnsi="Bookman Old Style" w:cs="Bookman Old Style"/>
          <w:color w:val="auto"/>
          <w:sz w:val="28"/>
          <w:szCs w:val="28"/>
        </w:rPr>
        <w:t xml:space="preserve">5. Inconforme, la representante de los indeterminados enfiló los recursos ordinarios contra la prenotada resolución judicial, para lo cual adujo que las pruebas solicitadas estos son pertinentes, conducentes y útiles para esclarecer, de un lado, en lo que respecta a la exhibición pedida al actor, si ha ejercido actos de señor y dueño sobre el inmueble pretendido, y si ha obtenido frutos como consecuencia de la explotación económica y material del mismo; y de otro, en lo que atañe a la sociedad inmobiliaria, la existencia de los actos de posesión y de los requisitos para prescribir adquisitivamente el bien por parte del accionante. </w:t>
      </w:r>
    </w:p>
    <w:p w14:paraId="55C47AF6" w14:textId="77777777" w:rsidR="00B446B9" w:rsidRDefault="00B446B9" w:rsidP="00412418">
      <w:pPr>
        <w:pStyle w:val="Default"/>
        <w:jc w:val="both"/>
        <w:rPr>
          <w:rFonts w:ascii="Bookman Old Style" w:hAnsi="Bookman Old Style" w:cs="Bookman Old Style"/>
          <w:color w:val="auto"/>
          <w:sz w:val="28"/>
          <w:szCs w:val="28"/>
        </w:rPr>
      </w:pPr>
    </w:p>
    <w:p w14:paraId="4447594A" w14:textId="48CF25FC" w:rsidR="00F54371" w:rsidRDefault="00F54371" w:rsidP="00B446B9">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 xml:space="preserve">6. La decisión cuestionada se mantuvo en vía de reposición por el juez de primera instancia, quien sostuvo que no se cumplía con las exigencias formales para su decreto, agregó que lo que se busca probar con dichos documentos incumbe acreditarlo a la parte demandante, a más que existen otros medios para demostrar la posesión. Bajo las anteriores razones, se abrió paso a la apelación objeto de esta decisión. </w:t>
      </w:r>
    </w:p>
    <w:p w14:paraId="35EF648C" w14:textId="77777777" w:rsidR="00B446B9" w:rsidRDefault="00B446B9" w:rsidP="00B446B9">
      <w:pPr>
        <w:pStyle w:val="Default"/>
        <w:jc w:val="both"/>
        <w:rPr>
          <w:color w:val="auto"/>
          <w:sz w:val="28"/>
          <w:szCs w:val="28"/>
        </w:rPr>
      </w:pPr>
    </w:p>
    <w:p w14:paraId="0039335E" w14:textId="77777777" w:rsidR="00F54371" w:rsidRDefault="00F54371" w:rsidP="00412418">
      <w:pPr>
        <w:pStyle w:val="Default"/>
        <w:jc w:val="both"/>
        <w:rPr>
          <w:color w:val="auto"/>
          <w:sz w:val="28"/>
          <w:szCs w:val="28"/>
        </w:rPr>
      </w:pPr>
      <w:r>
        <w:rPr>
          <w:rFonts w:ascii="Bookman Old Style" w:hAnsi="Bookman Old Style" w:cs="Bookman Old Style"/>
          <w:b/>
          <w:bCs/>
          <w:color w:val="auto"/>
          <w:sz w:val="28"/>
          <w:szCs w:val="28"/>
        </w:rPr>
        <w:t xml:space="preserve">Consideraciones </w:t>
      </w:r>
    </w:p>
    <w:p w14:paraId="2E8DA2DF" w14:textId="77777777" w:rsidR="00B446B9" w:rsidRDefault="00B446B9" w:rsidP="00412418">
      <w:pPr>
        <w:pStyle w:val="Default"/>
        <w:jc w:val="both"/>
        <w:rPr>
          <w:rFonts w:ascii="Bookman Old Style" w:hAnsi="Bookman Old Style" w:cs="Bookman Old Style"/>
          <w:color w:val="auto"/>
          <w:sz w:val="28"/>
          <w:szCs w:val="28"/>
        </w:rPr>
      </w:pPr>
    </w:p>
    <w:p w14:paraId="2D745B91" w14:textId="3BF12E65" w:rsidR="00F54371" w:rsidRDefault="00F54371" w:rsidP="00412418">
      <w:pPr>
        <w:pStyle w:val="Default"/>
        <w:jc w:val="both"/>
        <w:rPr>
          <w:color w:val="auto"/>
          <w:sz w:val="28"/>
          <w:szCs w:val="28"/>
        </w:rPr>
      </w:pPr>
      <w:r>
        <w:rPr>
          <w:rFonts w:ascii="Bookman Old Style" w:hAnsi="Bookman Old Style" w:cs="Bookman Old Style"/>
          <w:color w:val="auto"/>
          <w:sz w:val="28"/>
          <w:szCs w:val="28"/>
        </w:rPr>
        <w:lastRenderedPageBreak/>
        <w:t xml:space="preserve">1. Para que las pretensiones o excepciones propuestas en el proceso o en los trámites paralelos sean reconocidas por el juzgador es necesario que los hechos que estructuran el supuesto de la norma estén debidamente probados; sin embargo, este postulado no provoca como necesaria consecuencia que toda prueba que las partes soliciten deba ser ordenada por el juez de conocimiento, puesto que ellas deben someterse al juicio de la pertinencia, utilidad, conducencia y oportunidad, además de cumplir con los requisitos señalados por la ley. </w:t>
      </w:r>
    </w:p>
    <w:p w14:paraId="7D6F173E" w14:textId="77777777" w:rsidR="00351087" w:rsidRDefault="00351087" w:rsidP="00412418">
      <w:pPr>
        <w:pStyle w:val="Default"/>
        <w:jc w:val="both"/>
        <w:rPr>
          <w:rFonts w:ascii="Bookman Old Style" w:hAnsi="Bookman Old Style" w:cs="Bookman Old Style"/>
          <w:color w:val="auto"/>
          <w:sz w:val="28"/>
          <w:szCs w:val="28"/>
        </w:rPr>
      </w:pPr>
    </w:p>
    <w:p w14:paraId="63E988EA" w14:textId="4A997D77" w:rsidR="00F54371" w:rsidRDefault="00F54371" w:rsidP="00412418">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 xml:space="preserve">2. Memórese además que, según los postulados de la teoría general de la prueba, para que la prueba pueda ser producida u obtenida válidamente y, por ende, se surtan los efectos legales procesales, así como las consecuencias sustanciales que de ellas puedan generarse, deben concurrir: </w:t>
      </w:r>
    </w:p>
    <w:p w14:paraId="693B3048" w14:textId="77777777" w:rsidR="00351087" w:rsidRDefault="00351087" w:rsidP="00412418">
      <w:pPr>
        <w:pStyle w:val="Default"/>
        <w:jc w:val="both"/>
        <w:rPr>
          <w:rFonts w:ascii="Bookman Old Style" w:hAnsi="Bookman Old Style" w:cs="Bookman Old Style"/>
          <w:i/>
          <w:iCs/>
          <w:color w:val="auto"/>
          <w:sz w:val="28"/>
          <w:szCs w:val="28"/>
        </w:rPr>
      </w:pPr>
    </w:p>
    <w:p w14:paraId="0D8E687B" w14:textId="6805E5E6" w:rsidR="00F54371" w:rsidRDefault="00F54371" w:rsidP="00351087">
      <w:pPr>
        <w:pStyle w:val="Default"/>
        <w:jc w:val="both"/>
        <w:rPr>
          <w:color w:val="auto"/>
          <w:sz w:val="28"/>
          <w:szCs w:val="28"/>
        </w:rPr>
      </w:pPr>
      <w:r>
        <w:rPr>
          <w:rFonts w:ascii="Bookman Old Style" w:hAnsi="Bookman Old Style" w:cs="Bookman Old Style"/>
          <w:i/>
          <w:iCs/>
          <w:color w:val="auto"/>
          <w:sz w:val="28"/>
          <w:szCs w:val="28"/>
        </w:rPr>
        <w:t>Requisitos intrínsecos</w:t>
      </w:r>
      <w:r>
        <w:rPr>
          <w:rFonts w:ascii="Bookman Old Style" w:hAnsi="Bookman Old Style" w:cs="Bookman Old Style"/>
          <w:color w:val="auto"/>
          <w:sz w:val="28"/>
          <w:szCs w:val="28"/>
        </w:rPr>
        <w:t xml:space="preserve">: relativos a la admisión de la prueba, que incluye su proposición (petición) y su decreto: </w:t>
      </w:r>
      <w:r>
        <w:rPr>
          <w:rFonts w:ascii="Bookman Old Style" w:hAnsi="Bookman Old Style" w:cs="Bookman Old Style"/>
          <w:i/>
          <w:iCs/>
          <w:color w:val="auto"/>
          <w:sz w:val="28"/>
          <w:szCs w:val="28"/>
        </w:rPr>
        <w:t xml:space="preserve">(i) </w:t>
      </w:r>
      <w:r>
        <w:rPr>
          <w:rFonts w:ascii="Bookman Old Style" w:hAnsi="Bookman Old Style" w:cs="Bookman Old Style"/>
          <w:b/>
          <w:bCs/>
          <w:color w:val="auto"/>
          <w:sz w:val="28"/>
          <w:szCs w:val="28"/>
        </w:rPr>
        <w:t xml:space="preserve">conducencia </w:t>
      </w:r>
      <w:r>
        <w:rPr>
          <w:rFonts w:ascii="Bookman Old Style" w:hAnsi="Bookman Old Style" w:cs="Bookman Old Style"/>
          <w:color w:val="auto"/>
          <w:sz w:val="28"/>
          <w:szCs w:val="28"/>
        </w:rPr>
        <w:t xml:space="preserve">del medio escogido, que hace referencia al uso de los medios aptos, idóneos para probar un determinado hecho, es decir, una comparación entre el medio probatorio y la ley para establecer la aptitud de aquel para demostrar el supuesto fáctico en un proceso, </w:t>
      </w:r>
      <w:r>
        <w:rPr>
          <w:rFonts w:ascii="Bookman Old Style" w:hAnsi="Bookman Old Style" w:cs="Bookman Old Style"/>
          <w:i/>
          <w:iCs/>
          <w:color w:val="auto"/>
          <w:sz w:val="28"/>
          <w:szCs w:val="28"/>
        </w:rPr>
        <w:t>(</w:t>
      </w:r>
      <w:proofErr w:type="spellStart"/>
      <w:r>
        <w:rPr>
          <w:rFonts w:ascii="Bookman Old Style" w:hAnsi="Bookman Old Style" w:cs="Bookman Old Style"/>
          <w:i/>
          <w:iCs/>
          <w:color w:val="auto"/>
          <w:sz w:val="28"/>
          <w:szCs w:val="28"/>
        </w:rPr>
        <w:t>ii</w:t>
      </w:r>
      <w:proofErr w:type="spellEnd"/>
      <w:r>
        <w:rPr>
          <w:rFonts w:ascii="Bookman Old Style" w:hAnsi="Bookman Old Style" w:cs="Bookman Old Style"/>
          <w:i/>
          <w:iCs/>
          <w:color w:val="auto"/>
          <w:sz w:val="28"/>
          <w:szCs w:val="28"/>
        </w:rPr>
        <w:t xml:space="preserve">) </w:t>
      </w:r>
      <w:r>
        <w:rPr>
          <w:rFonts w:ascii="Bookman Old Style" w:hAnsi="Bookman Old Style" w:cs="Bookman Old Style"/>
          <w:b/>
          <w:bCs/>
          <w:color w:val="auto"/>
          <w:sz w:val="28"/>
          <w:szCs w:val="28"/>
        </w:rPr>
        <w:t xml:space="preserve">pertinencia o relevancia </w:t>
      </w:r>
      <w:r>
        <w:rPr>
          <w:rFonts w:ascii="Bookman Old Style" w:hAnsi="Bookman Old Style" w:cs="Bookman Old Style"/>
          <w:color w:val="auto"/>
          <w:sz w:val="28"/>
          <w:szCs w:val="28"/>
        </w:rPr>
        <w:t>del hecho que se ha de probar. La pertinencia de la prueba, (</w:t>
      </w:r>
      <w:proofErr w:type="spellStart"/>
      <w:r>
        <w:rPr>
          <w:rFonts w:ascii="Bookman Old Style" w:hAnsi="Bookman Old Style" w:cs="Bookman Old Style"/>
          <w:i/>
          <w:iCs/>
          <w:color w:val="auto"/>
          <w:sz w:val="28"/>
          <w:szCs w:val="28"/>
        </w:rPr>
        <w:t>Inutile</w:t>
      </w:r>
      <w:proofErr w:type="spellEnd"/>
      <w:r>
        <w:rPr>
          <w:rFonts w:ascii="Bookman Old Style" w:hAnsi="Bookman Old Style" w:cs="Bookman Old Style"/>
          <w:i/>
          <w:iCs/>
          <w:color w:val="auto"/>
          <w:sz w:val="28"/>
          <w:szCs w:val="28"/>
        </w:rPr>
        <w:t xml:space="preserve"> </w:t>
      </w:r>
      <w:proofErr w:type="spellStart"/>
      <w:r>
        <w:rPr>
          <w:rFonts w:ascii="Bookman Old Style" w:hAnsi="Bookman Old Style" w:cs="Bookman Old Style"/>
          <w:i/>
          <w:iCs/>
          <w:color w:val="auto"/>
          <w:sz w:val="28"/>
          <w:szCs w:val="28"/>
        </w:rPr>
        <w:t>est</w:t>
      </w:r>
      <w:proofErr w:type="spellEnd"/>
      <w:r>
        <w:rPr>
          <w:rFonts w:ascii="Bookman Old Style" w:hAnsi="Bookman Old Style" w:cs="Bookman Old Style"/>
          <w:i/>
          <w:iCs/>
          <w:color w:val="auto"/>
          <w:sz w:val="28"/>
          <w:szCs w:val="28"/>
        </w:rPr>
        <w:t xml:space="preserve"> probare </w:t>
      </w:r>
      <w:proofErr w:type="spellStart"/>
      <w:r>
        <w:rPr>
          <w:rFonts w:ascii="Bookman Old Style" w:hAnsi="Bookman Old Style" w:cs="Bookman Old Style"/>
          <w:i/>
          <w:iCs/>
          <w:color w:val="auto"/>
          <w:sz w:val="28"/>
          <w:szCs w:val="28"/>
        </w:rPr>
        <w:t>quod</w:t>
      </w:r>
      <w:proofErr w:type="spellEnd"/>
      <w:r>
        <w:rPr>
          <w:rFonts w:ascii="Bookman Old Style" w:hAnsi="Bookman Old Style" w:cs="Bookman Old Style"/>
          <w:i/>
          <w:iCs/>
          <w:color w:val="auto"/>
          <w:sz w:val="28"/>
          <w:szCs w:val="28"/>
        </w:rPr>
        <w:t xml:space="preserve"> </w:t>
      </w:r>
      <w:proofErr w:type="spellStart"/>
      <w:r>
        <w:rPr>
          <w:rFonts w:ascii="Bookman Old Style" w:hAnsi="Bookman Old Style" w:cs="Bookman Old Style"/>
          <w:i/>
          <w:iCs/>
          <w:color w:val="auto"/>
          <w:sz w:val="28"/>
          <w:szCs w:val="28"/>
        </w:rPr>
        <w:t>probatum</w:t>
      </w:r>
      <w:proofErr w:type="spellEnd"/>
      <w:r>
        <w:rPr>
          <w:rFonts w:ascii="Bookman Old Style" w:hAnsi="Bookman Old Style" w:cs="Bookman Old Style"/>
          <w:i/>
          <w:iCs/>
          <w:color w:val="auto"/>
          <w:sz w:val="28"/>
          <w:szCs w:val="28"/>
        </w:rPr>
        <w:t xml:space="preserve"> non </w:t>
      </w:r>
      <w:proofErr w:type="spellStart"/>
      <w:r>
        <w:rPr>
          <w:rFonts w:ascii="Bookman Old Style" w:hAnsi="Bookman Old Style" w:cs="Bookman Old Style"/>
          <w:i/>
          <w:iCs/>
          <w:color w:val="auto"/>
          <w:sz w:val="28"/>
          <w:szCs w:val="28"/>
        </w:rPr>
        <w:t>relevant</w:t>
      </w:r>
      <w:proofErr w:type="spellEnd"/>
      <w:r>
        <w:rPr>
          <w:rFonts w:ascii="Bookman Old Style" w:hAnsi="Bookman Old Style" w:cs="Bookman Old Style"/>
          <w:i/>
          <w:iCs/>
          <w:color w:val="auto"/>
          <w:sz w:val="28"/>
          <w:szCs w:val="28"/>
        </w:rPr>
        <w:t xml:space="preserve"> y frustra </w:t>
      </w:r>
      <w:proofErr w:type="spellStart"/>
      <w:r>
        <w:rPr>
          <w:rFonts w:ascii="Bookman Old Style" w:hAnsi="Bookman Old Style" w:cs="Bookman Old Style"/>
          <w:i/>
          <w:iCs/>
          <w:color w:val="auto"/>
          <w:sz w:val="28"/>
          <w:szCs w:val="28"/>
        </w:rPr>
        <w:t>probatum</w:t>
      </w:r>
      <w:proofErr w:type="spellEnd"/>
      <w:r>
        <w:rPr>
          <w:rFonts w:ascii="Bookman Old Style" w:hAnsi="Bookman Old Style" w:cs="Bookman Old Style"/>
          <w:i/>
          <w:iCs/>
          <w:color w:val="auto"/>
          <w:sz w:val="28"/>
          <w:szCs w:val="28"/>
        </w:rPr>
        <w:t xml:space="preserve"> non </w:t>
      </w:r>
      <w:proofErr w:type="spellStart"/>
      <w:r>
        <w:rPr>
          <w:rFonts w:ascii="Bookman Old Style" w:hAnsi="Bookman Old Style" w:cs="Bookman Old Style"/>
          <w:i/>
          <w:iCs/>
          <w:color w:val="auto"/>
          <w:sz w:val="28"/>
          <w:szCs w:val="28"/>
        </w:rPr>
        <w:t>relevant</w:t>
      </w:r>
      <w:proofErr w:type="spellEnd"/>
      <w:r>
        <w:rPr>
          <w:rFonts w:ascii="Bookman Old Style" w:hAnsi="Bookman Old Style" w:cs="Bookman Old Style"/>
          <w:color w:val="auto"/>
          <w:sz w:val="28"/>
          <w:szCs w:val="28"/>
        </w:rPr>
        <w:t xml:space="preserve">), demuestra la relación directa entre el hecho alegado y el elemento probatorio solicitado; bien puede ocurrir que una prueba sea conducente para demostrar un hecho determinado, pero que, sin embargo, no guarde ninguna relación con el “tema probatorio”; </w:t>
      </w:r>
      <w:r>
        <w:rPr>
          <w:rFonts w:ascii="Bookman Old Style" w:hAnsi="Bookman Old Style" w:cs="Bookman Old Style"/>
          <w:i/>
          <w:iCs/>
          <w:color w:val="auto"/>
          <w:sz w:val="28"/>
          <w:szCs w:val="28"/>
        </w:rPr>
        <w:t>(</w:t>
      </w:r>
      <w:proofErr w:type="spellStart"/>
      <w:r>
        <w:rPr>
          <w:rFonts w:ascii="Bookman Old Style" w:hAnsi="Bookman Old Style" w:cs="Bookman Old Style"/>
          <w:i/>
          <w:iCs/>
          <w:color w:val="auto"/>
          <w:sz w:val="28"/>
          <w:szCs w:val="28"/>
        </w:rPr>
        <w:t>iii</w:t>
      </w:r>
      <w:proofErr w:type="spellEnd"/>
      <w:r>
        <w:rPr>
          <w:rFonts w:ascii="Bookman Old Style" w:hAnsi="Bookman Old Style" w:cs="Bookman Old Style"/>
          <w:i/>
          <w:iCs/>
          <w:color w:val="auto"/>
          <w:sz w:val="28"/>
          <w:szCs w:val="28"/>
        </w:rPr>
        <w:t xml:space="preserve">) </w:t>
      </w:r>
      <w:r>
        <w:rPr>
          <w:rFonts w:ascii="Bookman Old Style" w:hAnsi="Bookman Old Style" w:cs="Bookman Old Style"/>
          <w:color w:val="auto"/>
          <w:sz w:val="28"/>
          <w:szCs w:val="28"/>
        </w:rPr>
        <w:t xml:space="preserve">se debe analizar su </w:t>
      </w:r>
      <w:r>
        <w:rPr>
          <w:rFonts w:ascii="Bookman Old Style" w:hAnsi="Bookman Old Style" w:cs="Bookman Old Style"/>
          <w:b/>
          <w:bCs/>
          <w:color w:val="auto"/>
          <w:sz w:val="28"/>
          <w:szCs w:val="28"/>
        </w:rPr>
        <w:t xml:space="preserve">utilidad o su superfluidad </w:t>
      </w:r>
      <w:r>
        <w:rPr>
          <w:rFonts w:ascii="Bookman Old Style" w:hAnsi="Bookman Old Style" w:cs="Bookman Old Style"/>
          <w:color w:val="auto"/>
          <w:sz w:val="28"/>
          <w:szCs w:val="28"/>
        </w:rPr>
        <w:t xml:space="preserve">de la prueba, que atañe a poder de convencimiento que tenga para el juzgador en otras palabras una prueba es inútil cuando sobra, por no ser idónea, no en sí misma, sino con relación a la utilidad que le debe prestar al proceso. La utilidad de la prueba, teniendo en cuenta el principio de la economía una prueba será inútil cuando el hecho que se quiere probar con ella se encuentra plenamente demostrado en el proceso, de modo que se torna en innecesaria y aún costosa para el debate procesal. Para que una prueba pueda ser considerada inútil, primero se debe haber establecido </w:t>
      </w:r>
      <w:r>
        <w:rPr>
          <w:rFonts w:ascii="Bookman Old Style" w:hAnsi="Bookman Old Style" w:cs="Bookman Old Style"/>
          <w:color w:val="auto"/>
          <w:sz w:val="28"/>
          <w:szCs w:val="28"/>
        </w:rPr>
        <w:lastRenderedPageBreak/>
        <w:t xml:space="preserve">su conducencia y pertinencia. En virtud de este principio, serán inútiles las pruebas que tiendan a demostrar notorios, hechos debatidos en otro proceso o hechos legalmente presumidos y, </w:t>
      </w:r>
      <w:r>
        <w:rPr>
          <w:rFonts w:ascii="Bookman Old Style" w:hAnsi="Bookman Old Style" w:cs="Bookman Old Style"/>
          <w:i/>
          <w:iCs/>
          <w:color w:val="auto"/>
          <w:sz w:val="28"/>
          <w:szCs w:val="28"/>
        </w:rPr>
        <w:t>(</w:t>
      </w:r>
      <w:proofErr w:type="spellStart"/>
      <w:r>
        <w:rPr>
          <w:rFonts w:ascii="Bookman Old Style" w:hAnsi="Bookman Old Style" w:cs="Bookman Old Style"/>
          <w:i/>
          <w:iCs/>
          <w:color w:val="auto"/>
          <w:sz w:val="28"/>
          <w:szCs w:val="28"/>
        </w:rPr>
        <w:t>iv</w:t>
      </w:r>
      <w:proofErr w:type="spellEnd"/>
      <w:r>
        <w:rPr>
          <w:rFonts w:ascii="Bookman Old Style" w:hAnsi="Bookman Old Style" w:cs="Bookman Old Style"/>
          <w:i/>
          <w:iCs/>
          <w:color w:val="auto"/>
          <w:sz w:val="28"/>
          <w:szCs w:val="28"/>
        </w:rPr>
        <w:t xml:space="preserve">) </w:t>
      </w:r>
      <w:r>
        <w:rPr>
          <w:rFonts w:ascii="Bookman Old Style" w:hAnsi="Bookman Old Style" w:cs="Bookman Old Style"/>
          <w:color w:val="auto"/>
          <w:sz w:val="28"/>
          <w:szCs w:val="28"/>
        </w:rPr>
        <w:t xml:space="preserve">la </w:t>
      </w:r>
      <w:r>
        <w:rPr>
          <w:rFonts w:ascii="Bookman Old Style" w:hAnsi="Bookman Old Style" w:cs="Bookman Old Style"/>
          <w:b/>
          <w:bCs/>
          <w:color w:val="auto"/>
          <w:sz w:val="28"/>
          <w:szCs w:val="28"/>
        </w:rPr>
        <w:t xml:space="preserve">licitud </w:t>
      </w:r>
      <w:r>
        <w:rPr>
          <w:rFonts w:ascii="Bookman Old Style" w:hAnsi="Bookman Old Style" w:cs="Bookman Old Style"/>
          <w:color w:val="auto"/>
          <w:sz w:val="28"/>
          <w:szCs w:val="28"/>
        </w:rPr>
        <w:t xml:space="preserve">de la prueba, que exige su obtención conforme al ordenamiento constitucional y legal y sobre todo respectando el debido proceso (artículo 29 de la Constitución). </w:t>
      </w:r>
    </w:p>
    <w:p w14:paraId="663489A2" w14:textId="77777777" w:rsidR="00351087" w:rsidRDefault="00351087" w:rsidP="00412418">
      <w:pPr>
        <w:pStyle w:val="Default"/>
        <w:jc w:val="both"/>
        <w:rPr>
          <w:rFonts w:ascii="Bookman Old Style" w:hAnsi="Bookman Old Style" w:cs="Bookman Old Style"/>
          <w:i/>
          <w:iCs/>
          <w:color w:val="auto"/>
          <w:sz w:val="28"/>
          <w:szCs w:val="28"/>
        </w:rPr>
      </w:pPr>
    </w:p>
    <w:p w14:paraId="2B4AE524" w14:textId="455197AC" w:rsidR="00F54371" w:rsidRDefault="00F54371" w:rsidP="00412418">
      <w:pPr>
        <w:pStyle w:val="Default"/>
        <w:jc w:val="both"/>
        <w:rPr>
          <w:color w:val="auto"/>
          <w:sz w:val="28"/>
          <w:szCs w:val="28"/>
        </w:rPr>
      </w:pPr>
      <w:r>
        <w:rPr>
          <w:rFonts w:ascii="Bookman Old Style" w:hAnsi="Bookman Old Style" w:cs="Bookman Old Style"/>
          <w:i/>
          <w:iCs/>
          <w:color w:val="auto"/>
          <w:sz w:val="28"/>
          <w:szCs w:val="28"/>
        </w:rPr>
        <w:t xml:space="preserve">Requisitos extrínsecos </w:t>
      </w:r>
      <w:r>
        <w:rPr>
          <w:rFonts w:ascii="Bookman Old Style" w:hAnsi="Bookman Old Style" w:cs="Bookman Old Style"/>
          <w:color w:val="auto"/>
          <w:sz w:val="28"/>
          <w:szCs w:val="28"/>
        </w:rPr>
        <w:t xml:space="preserve">(necesarios para la admisibilidad como para la práctica de la prueba): </w:t>
      </w:r>
      <w:r>
        <w:rPr>
          <w:rFonts w:ascii="Bookman Old Style" w:hAnsi="Bookman Old Style" w:cs="Bookman Old Style"/>
          <w:i/>
          <w:iCs/>
          <w:color w:val="auto"/>
          <w:sz w:val="28"/>
          <w:szCs w:val="28"/>
        </w:rPr>
        <w:t xml:space="preserve">(i) </w:t>
      </w:r>
      <w:r>
        <w:rPr>
          <w:rFonts w:ascii="Bookman Old Style" w:hAnsi="Bookman Old Style" w:cs="Bookman Old Style"/>
          <w:color w:val="auto"/>
          <w:sz w:val="28"/>
          <w:szCs w:val="28"/>
        </w:rPr>
        <w:t xml:space="preserve">oportunidad procesal de la petición y de la admisión u ordenación o decreto y práctica, </w:t>
      </w:r>
      <w:r>
        <w:rPr>
          <w:rFonts w:ascii="Bookman Old Style" w:hAnsi="Bookman Old Style" w:cs="Bookman Old Style"/>
          <w:i/>
          <w:iCs/>
          <w:color w:val="auto"/>
          <w:sz w:val="28"/>
          <w:szCs w:val="28"/>
        </w:rPr>
        <w:t>(</w:t>
      </w:r>
      <w:proofErr w:type="spellStart"/>
      <w:r>
        <w:rPr>
          <w:rFonts w:ascii="Bookman Old Style" w:hAnsi="Bookman Old Style" w:cs="Bookman Old Style"/>
          <w:i/>
          <w:iCs/>
          <w:color w:val="auto"/>
          <w:sz w:val="28"/>
          <w:szCs w:val="28"/>
        </w:rPr>
        <w:t>ii</w:t>
      </w:r>
      <w:proofErr w:type="spellEnd"/>
      <w:r>
        <w:rPr>
          <w:rFonts w:ascii="Bookman Old Style" w:hAnsi="Bookman Old Style" w:cs="Bookman Old Style"/>
          <w:i/>
          <w:iCs/>
          <w:color w:val="auto"/>
          <w:sz w:val="28"/>
          <w:szCs w:val="28"/>
        </w:rPr>
        <w:t xml:space="preserve">) </w:t>
      </w:r>
      <w:r>
        <w:rPr>
          <w:rFonts w:ascii="Bookman Old Style" w:hAnsi="Bookman Old Style" w:cs="Bookman Old Style"/>
          <w:color w:val="auto"/>
          <w:sz w:val="28"/>
          <w:szCs w:val="28"/>
        </w:rPr>
        <w:t xml:space="preserve">formalidades procesales para su petición, admisión o decreto y práctica; </w:t>
      </w:r>
      <w:r>
        <w:rPr>
          <w:rFonts w:ascii="Bookman Old Style" w:hAnsi="Bookman Old Style" w:cs="Bookman Old Style"/>
          <w:i/>
          <w:iCs/>
          <w:color w:val="auto"/>
          <w:sz w:val="28"/>
          <w:szCs w:val="28"/>
        </w:rPr>
        <w:t>(</w:t>
      </w:r>
      <w:proofErr w:type="spellStart"/>
      <w:r>
        <w:rPr>
          <w:rFonts w:ascii="Bookman Old Style" w:hAnsi="Bookman Old Style" w:cs="Bookman Old Style"/>
          <w:i/>
          <w:iCs/>
          <w:color w:val="auto"/>
          <w:sz w:val="28"/>
          <w:szCs w:val="28"/>
        </w:rPr>
        <w:t>iii</w:t>
      </w:r>
      <w:proofErr w:type="spellEnd"/>
      <w:r>
        <w:rPr>
          <w:rFonts w:ascii="Bookman Old Style" w:hAnsi="Bookman Old Style" w:cs="Bookman Old Style"/>
          <w:i/>
          <w:iCs/>
          <w:color w:val="auto"/>
          <w:sz w:val="28"/>
          <w:szCs w:val="28"/>
        </w:rPr>
        <w:t xml:space="preserve">) </w:t>
      </w:r>
      <w:r>
        <w:rPr>
          <w:rFonts w:ascii="Bookman Old Style" w:hAnsi="Bookman Old Style" w:cs="Bookman Old Style"/>
          <w:color w:val="auto"/>
          <w:sz w:val="28"/>
          <w:szCs w:val="28"/>
        </w:rPr>
        <w:t xml:space="preserve">competencia y capacidad del juez para recibirla o practicarla; y </w:t>
      </w:r>
      <w:r>
        <w:rPr>
          <w:rFonts w:ascii="Bookman Old Style" w:hAnsi="Bookman Old Style" w:cs="Bookman Old Style"/>
          <w:i/>
          <w:iCs/>
          <w:color w:val="auto"/>
          <w:sz w:val="28"/>
          <w:szCs w:val="28"/>
        </w:rPr>
        <w:t>(</w:t>
      </w:r>
      <w:proofErr w:type="spellStart"/>
      <w:r>
        <w:rPr>
          <w:rFonts w:ascii="Bookman Old Style" w:hAnsi="Bookman Old Style" w:cs="Bookman Old Style"/>
          <w:i/>
          <w:iCs/>
          <w:color w:val="auto"/>
          <w:sz w:val="28"/>
          <w:szCs w:val="28"/>
        </w:rPr>
        <w:t>iv</w:t>
      </w:r>
      <w:proofErr w:type="spellEnd"/>
      <w:r>
        <w:rPr>
          <w:rFonts w:ascii="Bookman Old Style" w:hAnsi="Bookman Old Style" w:cs="Bookman Old Style"/>
          <w:i/>
          <w:iCs/>
          <w:color w:val="auto"/>
          <w:sz w:val="28"/>
          <w:szCs w:val="28"/>
        </w:rPr>
        <w:t xml:space="preserve">) </w:t>
      </w:r>
      <w:r>
        <w:rPr>
          <w:rFonts w:ascii="Bookman Old Style" w:hAnsi="Bookman Old Style" w:cs="Bookman Old Style"/>
          <w:color w:val="auto"/>
          <w:sz w:val="28"/>
          <w:szCs w:val="28"/>
        </w:rPr>
        <w:t xml:space="preserve">legitimación de quien la pide y decreta. </w:t>
      </w:r>
    </w:p>
    <w:p w14:paraId="3C8BA929" w14:textId="77777777" w:rsidR="00351087" w:rsidRDefault="00351087" w:rsidP="00412418">
      <w:pPr>
        <w:pStyle w:val="Default"/>
        <w:jc w:val="both"/>
        <w:rPr>
          <w:rFonts w:ascii="Bookman Old Style" w:hAnsi="Bookman Old Style" w:cs="Bookman Old Style"/>
          <w:color w:val="auto"/>
          <w:sz w:val="28"/>
          <w:szCs w:val="28"/>
        </w:rPr>
      </w:pPr>
    </w:p>
    <w:p w14:paraId="7345613A" w14:textId="0890F820" w:rsidR="00F54371" w:rsidRDefault="00F54371" w:rsidP="00412418">
      <w:pPr>
        <w:pStyle w:val="Default"/>
        <w:jc w:val="both"/>
        <w:rPr>
          <w:color w:val="auto"/>
          <w:sz w:val="28"/>
          <w:szCs w:val="28"/>
        </w:rPr>
      </w:pPr>
      <w:r>
        <w:rPr>
          <w:rFonts w:ascii="Bookman Old Style" w:hAnsi="Bookman Old Style" w:cs="Bookman Old Style"/>
          <w:color w:val="auto"/>
          <w:sz w:val="28"/>
          <w:szCs w:val="28"/>
        </w:rPr>
        <w:t>2.1. De no cumplirse con los presupuestos señalados, el juez tiene la facultad de rechazar de plano la práctica de la prueba según el mandato del artículo 168 de la Obra Adjetiva Civil a cuyo tenor: “</w:t>
      </w:r>
      <w:r>
        <w:rPr>
          <w:rFonts w:ascii="Bookman Old Style" w:hAnsi="Bookman Old Style" w:cs="Bookman Old Style"/>
          <w:i/>
          <w:iCs/>
          <w:color w:val="auto"/>
          <w:sz w:val="28"/>
          <w:szCs w:val="28"/>
        </w:rPr>
        <w:t xml:space="preserve">El juez rechazará, mediante providencia motivada, las pruebas ilícitas, </w:t>
      </w:r>
      <w:r>
        <w:rPr>
          <w:rFonts w:ascii="Bookman Old Style" w:hAnsi="Bookman Old Style" w:cs="Bookman Old Style"/>
          <w:b/>
          <w:bCs/>
          <w:i/>
          <w:iCs/>
          <w:color w:val="auto"/>
          <w:sz w:val="28"/>
          <w:szCs w:val="28"/>
        </w:rPr>
        <w:t>las notoriamente impertinentes, las inconducentes y las manifiestamente superfluas o inútiles</w:t>
      </w:r>
      <w:r>
        <w:rPr>
          <w:rFonts w:ascii="Bookman Old Style" w:hAnsi="Bookman Old Style" w:cs="Bookman Old Style"/>
          <w:color w:val="auto"/>
          <w:sz w:val="28"/>
          <w:szCs w:val="28"/>
        </w:rPr>
        <w:t xml:space="preserve">”, por ello se impone al juzgador el estudio previo de la solicitud de pruebas de cara al objeto del debate, antes de proceder a su ordenación para incorporación o práctica en el proceso, y en esa gestión debe verificar que la petición reúna los requisitos mínimos que exige la ley, que la probanza solicitada esté permitida por el ordenamiento jurídico, que tenga relevancia con el tema controvertido y que el hecho que se busque demostrar no esté suficientemente demostrado en el proceso con otros medios probatorios. </w:t>
      </w:r>
    </w:p>
    <w:p w14:paraId="7CAC11EF" w14:textId="77777777" w:rsidR="00351087" w:rsidRDefault="00351087" w:rsidP="00412418">
      <w:pPr>
        <w:pStyle w:val="Default"/>
        <w:jc w:val="both"/>
        <w:rPr>
          <w:rFonts w:ascii="Bookman Old Style" w:hAnsi="Bookman Old Style" w:cs="Bookman Old Style"/>
          <w:color w:val="auto"/>
          <w:sz w:val="28"/>
          <w:szCs w:val="28"/>
        </w:rPr>
      </w:pPr>
    </w:p>
    <w:p w14:paraId="47AFF564" w14:textId="54E552F3" w:rsidR="00F54371" w:rsidRDefault="00F54371" w:rsidP="00412418">
      <w:pPr>
        <w:pStyle w:val="Default"/>
        <w:jc w:val="both"/>
        <w:rPr>
          <w:color w:val="auto"/>
          <w:sz w:val="28"/>
          <w:szCs w:val="28"/>
        </w:rPr>
      </w:pPr>
      <w:r>
        <w:rPr>
          <w:rFonts w:ascii="Bookman Old Style" w:hAnsi="Bookman Old Style" w:cs="Bookman Old Style"/>
          <w:color w:val="auto"/>
          <w:sz w:val="28"/>
          <w:szCs w:val="28"/>
        </w:rPr>
        <w:t xml:space="preserve">El objeto de la prueba son los hechos como tales, supuestos en los cuales se fundamenta el efecto jurídico que se busca, y el fin de la prueba es llevar certeza al funcionario judicial, en cuanto a la ocurrencia de los hechos determinantes y no sobre cualquier hecho. </w:t>
      </w:r>
    </w:p>
    <w:p w14:paraId="55C0E0ED" w14:textId="77777777" w:rsidR="00351087" w:rsidRDefault="00351087" w:rsidP="00412418">
      <w:pPr>
        <w:pStyle w:val="Default"/>
        <w:jc w:val="both"/>
        <w:rPr>
          <w:rFonts w:ascii="Bookman Old Style" w:hAnsi="Bookman Old Style" w:cs="Bookman Old Style"/>
          <w:color w:val="auto"/>
          <w:sz w:val="28"/>
          <w:szCs w:val="28"/>
        </w:rPr>
      </w:pPr>
    </w:p>
    <w:p w14:paraId="67DC8C4E" w14:textId="37591D1A" w:rsidR="00F54371" w:rsidRDefault="00F54371" w:rsidP="00351087">
      <w:pPr>
        <w:pStyle w:val="Default"/>
        <w:jc w:val="both"/>
        <w:rPr>
          <w:color w:val="auto"/>
          <w:sz w:val="28"/>
          <w:szCs w:val="28"/>
        </w:rPr>
      </w:pPr>
      <w:r>
        <w:rPr>
          <w:rFonts w:ascii="Bookman Old Style" w:hAnsi="Bookman Old Style" w:cs="Bookman Old Style"/>
          <w:color w:val="auto"/>
          <w:sz w:val="28"/>
          <w:szCs w:val="28"/>
        </w:rPr>
        <w:t xml:space="preserve">3. En materia de regulación probatoria, la exhibición de documentos no escapa a los requisitos que le dan viabilidad a su decreto, como lo advierte el artículo 266 de la obra procesal civil, </w:t>
      </w:r>
      <w:r>
        <w:rPr>
          <w:rFonts w:ascii="Bookman Old Style" w:hAnsi="Bookman Old Style" w:cs="Bookman Old Style"/>
          <w:color w:val="auto"/>
          <w:sz w:val="28"/>
          <w:szCs w:val="28"/>
        </w:rPr>
        <w:lastRenderedPageBreak/>
        <w:t xml:space="preserve">el peticionario debe: </w:t>
      </w:r>
      <w:r>
        <w:rPr>
          <w:rFonts w:ascii="Bookman Old Style" w:hAnsi="Bookman Old Style" w:cs="Bookman Old Style"/>
          <w:i/>
          <w:iCs/>
          <w:color w:val="auto"/>
          <w:sz w:val="28"/>
          <w:szCs w:val="28"/>
        </w:rPr>
        <w:t xml:space="preserve">(i) </w:t>
      </w:r>
      <w:r>
        <w:rPr>
          <w:rFonts w:ascii="Bookman Old Style" w:hAnsi="Bookman Old Style" w:cs="Bookman Old Style"/>
          <w:color w:val="auto"/>
          <w:sz w:val="28"/>
          <w:szCs w:val="28"/>
        </w:rPr>
        <w:t xml:space="preserve">expresar los hechos que se pretende demostrar con la exhibición, lo que tiene que ver con la pertinencia de la prueba, lo que además resulta importante para saber cuáles supuestos fácticos se tendrían por demostrados, de presentarse una oposición injustificada o la renuencia a exhibir lo que se pide; </w:t>
      </w:r>
      <w:r>
        <w:rPr>
          <w:rFonts w:ascii="Bookman Old Style" w:hAnsi="Bookman Old Style" w:cs="Bookman Old Style"/>
          <w:i/>
          <w:iCs/>
          <w:color w:val="auto"/>
          <w:sz w:val="28"/>
          <w:szCs w:val="28"/>
        </w:rPr>
        <w:t>(</w:t>
      </w:r>
      <w:proofErr w:type="spellStart"/>
      <w:r>
        <w:rPr>
          <w:rFonts w:ascii="Bookman Old Style" w:hAnsi="Bookman Old Style" w:cs="Bookman Old Style"/>
          <w:i/>
          <w:iCs/>
          <w:color w:val="auto"/>
          <w:sz w:val="28"/>
          <w:szCs w:val="28"/>
        </w:rPr>
        <w:t>ii</w:t>
      </w:r>
      <w:proofErr w:type="spellEnd"/>
      <w:r>
        <w:rPr>
          <w:rFonts w:ascii="Bookman Old Style" w:hAnsi="Bookman Old Style" w:cs="Bookman Old Style"/>
          <w:i/>
          <w:iCs/>
          <w:color w:val="auto"/>
          <w:sz w:val="28"/>
          <w:szCs w:val="28"/>
        </w:rPr>
        <w:t xml:space="preserve">) </w:t>
      </w:r>
      <w:r>
        <w:rPr>
          <w:rFonts w:ascii="Bookman Old Style" w:hAnsi="Bookman Old Style" w:cs="Bookman Old Style"/>
          <w:color w:val="auto"/>
          <w:sz w:val="28"/>
          <w:szCs w:val="28"/>
        </w:rPr>
        <w:t xml:space="preserve">afirmar que el documento se encuentre en poder de la persona llamada a exhibirlo, </w:t>
      </w:r>
      <w:r>
        <w:rPr>
          <w:rFonts w:ascii="Bookman Old Style" w:hAnsi="Bookman Old Style" w:cs="Bookman Old Style"/>
          <w:i/>
          <w:iCs/>
          <w:color w:val="auto"/>
          <w:sz w:val="28"/>
          <w:szCs w:val="28"/>
        </w:rPr>
        <w:t>“su clase y la relación que tenga con aquellos hechos”</w:t>
      </w:r>
      <w:r>
        <w:rPr>
          <w:rFonts w:ascii="Bookman Old Style" w:hAnsi="Bookman Old Style" w:cs="Bookman Old Style"/>
          <w:color w:val="auto"/>
          <w:sz w:val="28"/>
          <w:szCs w:val="28"/>
        </w:rPr>
        <w:t>, a fin de determinarlo</w:t>
      </w:r>
      <w:r>
        <w:rPr>
          <w:rFonts w:ascii="Bookman Old Style" w:hAnsi="Bookman Old Style" w:cs="Bookman Old Style"/>
          <w:color w:val="auto"/>
          <w:sz w:val="18"/>
          <w:szCs w:val="18"/>
        </w:rPr>
        <w:t>6</w:t>
      </w:r>
      <w:r>
        <w:rPr>
          <w:rFonts w:ascii="Bookman Old Style" w:hAnsi="Bookman Old Style" w:cs="Bookman Old Style"/>
          <w:color w:val="auto"/>
          <w:sz w:val="28"/>
          <w:szCs w:val="28"/>
        </w:rPr>
        <w:t xml:space="preserve">, exigencias de las que se predica no son opcionales sino de obligatorio acatamiento. </w:t>
      </w:r>
    </w:p>
    <w:p w14:paraId="446C596C" w14:textId="77777777" w:rsidR="00357025" w:rsidRDefault="00357025" w:rsidP="00412418">
      <w:pPr>
        <w:pStyle w:val="Default"/>
        <w:jc w:val="both"/>
        <w:rPr>
          <w:rFonts w:ascii="Bookman Old Style" w:hAnsi="Bookman Old Style" w:cs="Bookman Old Style"/>
          <w:color w:val="auto"/>
          <w:sz w:val="28"/>
          <w:szCs w:val="28"/>
        </w:rPr>
      </w:pPr>
    </w:p>
    <w:p w14:paraId="2FE0FF27" w14:textId="491AB98B" w:rsidR="00F54371" w:rsidRDefault="00357025" w:rsidP="00412418">
      <w:pPr>
        <w:pStyle w:val="Default"/>
        <w:jc w:val="both"/>
        <w:rPr>
          <w:rFonts w:ascii="Bookman Old Style" w:hAnsi="Bookman Old Style" w:cs="Bookman Old Style"/>
          <w:color w:val="auto"/>
          <w:sz w:val="18"/>
          <w:szCs w:val="18"/>
        </w:rPr>
      </w:pPr>
      <w:r>
        <w:rPr>
          <w:rFonts w:ascii="Bookman Old Style" w:hAnsi="Bookman Old Style" w:cs="Bookman Old Style"/>
          <w:color w:val="auto"/>
          <w:sz w:val="28"/>
          <w:szCs w:val="28"/>
        </w:rPr>
        <w:t xml:space="preserve">4. Por otro lado, </w:t>
      </w:r>
      <w:r w:rsidR="00F54371">
        <w:rPr>
          <w:rFonts w:ascii="Bookman Old Style" w:hAnsi="Bookman Old Style" w:cs="Bookman Old Style"/>
          <w:color w:val="auto"/>
          <w:sz w:val="28"/>
          <w:szCs w:val="28"/>
        </w:rPr>
        <w:t xml:space="preserve">oportuno es recordar que la carga de la prueba </w:t>
      </w:r>
      <w:r w:rsidR="00F54371">
        <w:rPr>
          <w:rFonts w:ascii="Bookman Old Style" w:hAnsi="Bookman Old Style" w:cs="Bookman Old Style"/>
          <w:i/>
          <w:iCs/>
          <w:color w:val="auto"/>
          <w:sz w:val="28"/>
          <w:szCs w:val="28"/>
        </w:rPr>
        <w:t>“</w:t>
      </w:r>
      <w:proofErr w:type="spellStart"/>
      <w:r w:rsidR="00F54371">
        <w:rPr>
          <w:rFonts w:ascii="Bookman Old Style" w:hAnsi="Bookman Old Style" w:cs="Bookman Old Style"/>
          <w:i/>
          <w:iCs/>
          <w:color w:val="auto"/>
          <w:sz w:val="28"/>
          <w:szCs w:val="28"/>
        </w:rPr>
        <w:t>onus</w:t>
      </w:r>
      <w:proofErr w:type="spellEnd"/>
      <w:r w:rsidR="00F54371">
        <w:rPr>
          <w:rFonts w:ascii="Bookman Old Style" w:hAnsi="Bookman Old Style" w:cs="Bookman Old Style"/>
          <w:i/>
          <w:iCs/>
          <w:color w:val="auto"/>
          <w:sz w:val="28"/>
          <w:szCs w:val="28"/>
        </w:rPr>
        <w:t xml:space="preserve"> probandi” </w:t>
      </w:r>
      <w:r w:rsidR="00F54371">
        <w:rPr>
          <w:rFonts w:ascii="Bookman Old Style" w:hAnsi="Bookman Old Style" w:cs="Bookman Old Style"/>
          <w:color w:val="auto"/>
          <w:sz w:val="28"/>
          <w:szCs w:val="28"/>
        </w:rPr>
        <w:t xml:space="preserve">es una herramienta procesal que permite a las partes aportar los elementos de convicción para acreditar los hechos que alega, de ahí que, en el caso de la prescripción adquisitiva de dominio, </w:t>
      </w:r>
      <w:r w:rsidR="00F54371">
        <w:rPr>
          <w:rFonts w:ascii="Bookman Old Style" w:hAnsi="Bookman Old Style" w:cs="Bookman Old Style"/>
          <w:i/>
          <w:iCs/>
          <w:color w:val="auto"/>
          <w:sz w:val="28"/>
          <w:szCs w:val="28"/>
        </w:rPr>
        <w:t xml:space="preserve">“para su éxito, el </w:t>
      </w:r>
      <w:proofErr w:type="spellStart"/>
      <w:r w:rsidR="00F54371">
        <w:rPr>
          <w:rFonts w:ascii="Bookman Old Style" w:hAnsi="Bookman Old Style" w:cs="Bookman Old Style"/>
          <w:i/>
          <w:iCs/>
          <w:color w:val="auto"/>
          <w:sz w:val="28"/>
          <w:szCs w:val="28"/>
        </w:rPr>
        <w:t>usucapiente</w:t>
      </w:r>
      <w:proofErr w:type="spellEnd"/>
      <w:r w:rsidR="00F54371">
        <w:rPr>
          <w:rFonts w:ascii="Bookman Old Style" w:hAnsi="Bookman Old Style" w:cs="Bookman Old Style"/>
          <w:i/>
          <w:iCs/>
          <w:color w:val="auto"/>
          <w:sz w:val="28"/>
          <w:szCs w:val="28"/>
        </w:rPr>
        <w:t xml:space="preserve"> tiene la carga de probar la posesión (corpus y ánimas) sobre un bien susceptible de apropiación privada, el tiempo durante el cual lo ha poseído (dependiendo de si se trata de la prescripción adquisitiva ordinaria o de la extraordinaria), y la plena identificación del objeto. Además, se exige probar otras particularidades (justo título, buena fe, etc.), dependiendo del tipo de prescripción que se demande.”</w:t>
      </w:r>
      <w:r w:rsidR="00F54371">
        <w:rPr>
          <w:rFonts w:ascii="Bookman Old Style" w:hAnsi="Bookman Old Style" w:cs="Bookman Old Style"/>
          <w:color w:val="auto"/>
          <w:sz w:val="18"/>
          <w:szCs w:val="18"/>
        </w:rPr>
        <w:t xml:space="preserve"> </w:t>
      </w:r>
    </w:p>
    <w:p w14:paraId="6A11A2DB" w14:textId="77777777" w:rsidR="005C2002" w:rsidRDefault="005C2002" w:rsidP="00412418">
      <w:pPr>
        <w:pStyle w:val="Default"/>
        <w:jc w:val="both"/>
        <w:rPr>
          <w:rFonts w:ascii="Bookman Old Style" w:hAnsi="Bookman Old Style" w:cs="Bookman Old Style"/>
          <w:color w:val="auto"/>
          <w:sz w:val="28"/>
          <w:szCs w:val="28"/>
        </w:rPr>
      </w:pPr>
    </w:p>
    <w:p w14:paraId="65A94F29" w14:textId="1B857621" w:rsidR="00F54371" w:rsidRDefault="00F54371" w:rsidP="00412418">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 xml:space="preserve">5. Es así que, bajo los anteriores prolegómenos, la providencia vilipendiada habrá de respaldarse en la medida que el requerimiento de las probanzas contenidas en los numerales 5 y 6 del acápite </w:t>
      </w:r>
      <w:r>
        <w:rPr>
          <w:rFonts w:ascii="Bookman Old Style" w:hAnsi="Bookman Old Style" w:cs="Bookman Old Style"/>
          <w:i/>
          <w:iCs/>
          <w:color w:val="auto"/>
          <w:sz w:val="28"/>
          <w:szCs w:val="28"/>
        </w:rPr>
        <w:t xml:space="preserve">“6.2 Solicitud de Pruebas” </w:t>
      </w:r>
      <w:r>
        <w:rPr>
          <w:rFonts w:ascii="Bookman Old Style" w:hAnsi="Bookman Old Style" w:cs="Bookman Old Style"/>
          <w:color w:val="auto"/>
          <w:sz w:val="28"/>
          <w:szCs w:val="28"/>
        </w:rPr>
        <w:t xml:space="preserve">de la contestación a la reforma de la demanda por parte de la curadora </w:t>
      </w:r>
      <w:r>
        <w:rPr>
          <w:rFonts w:ascii="Bookman Old Style" w:hAnsi="Bookman Old Style" w:cs="Bookman Old Style"/>
          <w:i/>
          <w:iCs/>
          <w:color w:val="auto"/>
          <w:sz w:val="28"/>
          <w:szCs w:val="28"/>
        </w:rPr>
        <w:t xml:space="preserve">ad </w:t>
      </w:r>
      <w:proofErr w:type="spellStart"/>
      <w:r>
        <w:rPr>
          <w:rFonts w:ascii="Bookman Old Style" w:hAnsi="Bookman Old Style" w:cs="Bookman Old Style"/>
          <w:i/>
          <w:iCs/>
          <w:color w:val="auto"/>
          <w:sz w:val="28"/>
          <w:szCs w:val="28"/>
        </w:rPr>
        <w:t>litem</w:t>
      </w:r>
      <w:proofErr w:type="spellEnd"/>
      <w:r>
        <w:rPr>
          <w:rFonts w:ascii="Bookman Old Style" w:hAnsi="Bookman Old Style" w:cs="Bookman Old Style"/>
          <w:i/>
          <w:iCs/>
          <w:color w:val="auto"/>
          <w:sz w:val="28"/>
          <w:szCs w:val="28"/>
        </w:rPr>
        <w:t xml:space="preserve">, </w:t>
      </w:r>
      <w:r>
        <w:rPr>
          <w:rFonts w:ascii="Bookman Old Style" w:hAnsi="Bookman Old Style" w:cs="Bookman Old Style"/>
          <w:color w:val="auto"/>
          <w:sz w:val="28"/>
          <w:szCs w:val="28"/>
        </w:rPr>
        <w:t xml:space="preserve">más allá de no reunir las condiciones formales, como lo indicó el estrado primigenio, no acredita la pertinencia, utilidad y conducencia para su decreto. </w:t>
      </w:r>
    </w:p>
    <w:p w14:paraId="31D9FBD1" w14:textId="77777777" w:rsidR="00872942" w:rsidRDefault="00872942" w:rsidP="00412418">
      <w:pPr>
        <w:pStyle w:val="Default"/>
        <w:jc w:val="both"/>
        <w:rPr>
          <w:rFonts w:ascii="Bookman Old Style" w:hAnsi="Bookman Old Style" w:cs="Bookman Old Style"/>
          <w:color w:val="auto"/>
          <w:sz w:val="28"/>
          <w:szCs w:val="28"/>
        </w:rPr>
      </w:pPr>
    </w:p>
    <w:p w14:paraId="2B4EC97D" w14:textId="7105FD4D" w:rsidR="00F54371" w:rsidRDefault="00F54371" w:rsidP="00412418">
      <w:pPr>
        <w:pStyle w:val="Default"/>
        <w:jc w:val="both"/>
        <w:rPr>
          <w:rFonts w:ascii="Bookman Old Style" w:hAnsi="Bookman Old Style" w:cs="Bookman Old Style"/>
          <w:color w:val="auto"/>
          <w:sz w:val="20"/>
          <w:szCs w:val="20"/>
        </w:rPr>
      </w:pPr>
      <w:r>
        <w:rPr>
          <w:rFonts w:ascii="Bookman Old Style" w:hAnsi="Bookman Old Style" w:cs="Bookman Old Style"/>
          <w:color w:val="auto"/>
          <w:sz w:val="28"/>
          <w:szCs w:val="28"/>
        </w:rPr>
        <w:t xml:space="preserve">5.1. Nótese que la petición de exhibición se hizo en los siguientes términos: </w:t>
      </w:r>
      <w:r>
        <w:rPr>
          <w:rFonts w:ascii="Bookman Old Style" w:hAnsi="Bookman Old Style" w:cs="Bookman Old Style"/>
          <w:color w:val="auto"/>
          <w:sz w:val="20"/>
          <w:szCs w:val="20"/>
        </w:rPr>
        <w:t xml:space="preserve"> </w:t>
      </w:r>
    </w:p>
    <w:p w14:paraId="5F606AA2" w14:textId="214CF07C" w:rsidR="00872942" w:rsidRDefault="00425494" w:rsidP="00CD008B">
      <w:pPr>
        <w:pStyle w:val="Default"/>
        <w:pageBreakBefore/>
        <w:jc w:val="both"/>
        <w:rPr>
          <w:rFonts w:ascii="Bookman Old Style" w:hAnsi="Bookman Old Style" w:cs="Bookman Old Style"/>
          <w:color w:val="auto"/>
          <w:sz w:val="28"/>
          <w:szCs w:val="28"/>
        </w:rPr>
      </w:pPr>
      <w:r w:rsidRPr="00425494">
        <w:rPr>
          <w:rFonts w:ascii="Bookman Old Style" w:hAnsi="Bookman Old Style" w:cs="Bookman Old Style"/>
          <w:noProof/>
          <w:color w:val="auto"/>
          <w:sz w:val="28"/>
          <w:szCs w:val="28"/>
        </w:rPr>
        <w:lastRenderedPageBreak/>
        <w:drawing>
          <wp:inline distT="0" distB="0" distL="0" distR="0" wp14:anchorId="6A0E9888" wp14:editId="0633B551">
            <wp:extent cx="2733675" cy="2524125"/>
            <wp:effectExtent l="0" t="0" r="9525" b="9525"/>
            <wp:docPr id="14880210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2524125"/>
                    </a:xfrm>
                    <a:prstGeom prst="rect">
                      <a:avLst/>
                    </a:prstGeom>
                    <a:noFill/>
                    <a:ln>
                      <a:noFill/>
                    </a:ln>
                  </pic:spPr>
                </pic:pic>
              </a:graphicData>
            </a:graphic>
          </wp:inline>
        </w:drawing>
      </w:r>
    </w:p>
    <w:p w14:paraId="7F6AEAB4" w14:textId="77777777" w:rsidR="00324297" w:rsidRDefault="00324297" w:rsidP="00412418">
      <w:pPr>
        <w:pStyle w:val="Default"/>
        <w:pageBreakBefore/>
        <w:jc w:val="both"/>
        <w:rPr>
          <w:rFonts w:ascii="Bookman Old Style" w:hAnsi="Bookman Old Style" w:cs="Bookman Old Style"/>
          <w:color w:val="auto"/>
          <w:sz w:val="28"/>
          <w:szCs w:val="28"/>
        </w:rPr>
      </w:pPr>
    </w:p>
    <w:p w14:paraId="285E128B" w14:textId="68617FA6" w:rsidR="00446E62" w:rsidRDefault="00446E62" w:rsidP="00412418">
      <w:pPr>
        <w:pStyle w:val="Default"/>
        <w:pageBreakBefore/>
        <w:jc w:val="both"/>
        <w:rPr>
          <w:rFonts w:ascii="Bookman Old Style" w:hAnsi="Bookman Old Style" w:cs="Bookman Old Style"/>
          <w:color w:val="auto"/>
          <w:sz w:val="28"/>
          <w:szCs w:val="28"/>
        </w:rPr>
      </w:pPr>
      <w:r w:rsidRPr="006876DE">
        <w:rPr>
          <w:rFonts w:ascii="Bookman Old Style" w:hAnsi="Bookman Old Style" w:cs="Bookman Old Style"/>
          <w:noProof/>
          <w:color w:val="auto"/>
          <w:sz w:val="28"/>
          <w:szCs w:val="28"/>
        </w:rPr>
        <w:lastRenderedPageBreak/>
        <w:drawing>
          <wp:inline distT="0" distB="0" distL="0" distR="0" wp14:anchorId="06EBC877" wp14:editId="1E762BB0">
            <wp:extent cx="2581275" cy="3028950"/>
            <wp:effectExtent l="0" t="0" r="9525" b="0"/>
            <wp:docPr id="51750945" name="Imagen 5175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3028950"/>
                    </a:xfrm>
                    <a:prstGeom prst="rect">
                      <a:avLst/>
                    </a:prstGeom>
                    <a:noFill/>
                    <a:ln>
                      <a:noFill/>
                    </a:ln>
                  </pic:spPr>
                </pic:pic>
              </a:graphicData>
            </a:graphic>
          </wp:inline>
        </w:drawing>
      </w:r>
    </w:p>
    <w:p w14:paraId="0D04E48D" w14:textId="10E7B354" w:rsidR="00F54371" w:rsidRDefault="00F54371" w:rsidP="00412418">
      <w:pPr>
        <w:pStyle w:val="Default"/>
        <w:pageBreakBefore/>
        <w:jc w:val="both"/>
        <w:rPr>
          <w:color w:val="auto"/>
          <w:sz w:val="28"/>
          <w:szCs w:val="28"/>
        </w:rPr>
      </w:pPr>
      <w:r>
        <w:rPr>
          <w:rFonts w:ascii="Bookman Old Style" w:hAnsi="Bookman Old Style" w:cs="Bookman Old Style"/>
          <w:color w:val="auto"/>
          <w:sz w:val="28"/>
          <w:szCs w:val="28"/>
        </w:rPr>
        <w:lastRenderedPageBreak/>
        <w:t xml:space="preserve">Evidentemente, no se manifiesta que esos documentos estén en poder del demandante Polanía, ni especifica de manera concreta cuáles documentos requiere sean exhibidos, ni menos aún la relación que puedan tener cada uno con los hechos que en el debate sean </w:t>
      </w:r>
      <w:proofErr w:type="spellStart"/>
      <w:r>
        <w:rPr>
          <w:rFonts w:ascii="Bookman Old Style" w:hAnsi="Bookman Old Style" w:cs="Bookman Old Style"/>
          <w:color w:val="auto"/>
          <w:sz w:val="28"/>
          <w:szCs w:val="28"/>
        </w:rPr>
        <w:t>thema</w:t>
      </w:r>
      <w:proofErr w:type="spellEnd"/>
      <w:r>
        <w:rPr>
          <w:rFonts w:ascii="Bookman Old Style" w:hAnsi="Bookman Old Style" w:cs="Bookman Old Style"/>
          <w:color w:val="auto"/>
          <w:sz w:val="28"/>
          <w:szCs w:val="28"/>
        </w:rPr>
        <w:t xml:space="preserve"> de prueba. Simplemente la solicitante pide todo un archivo, incluso contable, que de manera indiscriminada cree tiene el demandante. </w:t>
      </w:r>
    </w:p>
    <w:p w14:paraId="75645E35" w14:textId="77777777" w:rsidR="00324297" w:rsidRDefault="00324297" w:rsidP="00412418">
      <w:pPr>
        <w:pStyle w:val="Default"/>
        <w:jc w:val="both"/>
        <w:rPr>
          <w:rFonts w:ascii="Bookman Old Style" w:hAnsi="Bookman Old Style" w:cs="Bookman Old Style"/>
          <w:color w:val="auto"/>
          <w:sz w:val="28"/>
          <w:szCs w:val="28"/>
        </w:rPr>
      </w:pPr>
    </w:p>
    <w:p w14:paraId="0FC0BD28" w14:textId="43BAEEB5" w:rsidR="00F54371" w:rsidRDefault="00F54371" w:rsidP="00412418">
      <w:pPr>
        <w:pStyle w:val="Default"/>
        <w:jc w:val="both"/>
        <w:rPr>
          <w:color w:val="auto"/>
          <w:sz w:val="28"/>
          <w:szCs w:val="28"/>
        </w:rPr>
      </w:pPr>
      <w:r>
        <w:rPr>
          <w:rFonts w:ascii="Bookman Old Style" w:hAnsi="Bookman Old Style" w:cs="Bookman Old Style"/>
          <w:color w:val="auto"/>
          <w:sz w:val="28"/>
          <w:szCs w:val="28"/>
        </w:rPr>
        <w:t>En esas condiciones, inviable es evaluar la pertinencia, utilidad y conducencia de la “</w:t>
      </w:r>
      <w:r>
        <w:rPr>
          <w:rFonts w:ascii="Bookman Old Style" w:hAnsi="Bookman Old Style" w:cs="Bookman Old Style"/>
          <w:i/>
          <w:iCs/>
          <w:color w:val="auto"/>
          <w:sz w:val="28"/>
          <w:szCs w:val="28"/>
        </w:rPr>
        <w:t>Copia íntegra y auténtica</w:t>
      </w:r>
      <w:r>
        <w:rPr>
          <w:rFonts w:ascii="Bookman Old Style" w:hAnsi="Bookman Old Style" w:cs="Bookman Old Style"/>
          <w:color w:val="auto"/>
          <w:sz w:val="28"/>
          <w:szCs w:val="28"/>
        </w:rPr>
        <w:t xml:space="preserve">” de archivos ciertamente indeterminados. </w:t>
      </w:r>
    </w:p>
    <w:p w14:paraId="72AB6CBB" w14:textId="77777777" w:rsidR="00324297" w:rsidRDefault="00324297" w:rsidP="00412418">
      <w:pPr>
        <w:pStyle w:val="Default"/>
        <w:jc w:val="both"/>
        <w:rPr>
          <w:rFonts w:ascii="Bookman Old Style" w:hAnsi="Bookman Old Style" w:cs="Bookman Old Style"/>
          <w:color w:val="auto"/>
          <w:sz w:val="28"/>
          <w:szCs w:val="28"/>
        </w:rPr>
      </w:pPr>
    </w:p>
    <w:p w14:paraId="66491491" w14:textId="288CA294" w:rsidR="00F54371" w:rsidRDefault="00F54371" w:rsidP="00324297">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 xml:space="preserve">5.2. Misma suerte ha de correr la exhibición deprecada de la Inmobiliaria Hermanos Morales S.A.S., pedida así: </w:t>
      </w:r>
    </w:p>
    <w:p w14:paraId="0108FD84" w14:textId="77777777" w:rsidR="006F1FAD" w:rsidRDefault="006F1FAD" w:rsidP="00324297">
      <w:pPr>
        <w:pStyle w:val="Default"/>
        <w:jc w:val="both"/>
        <w:rPr>
          <w:rFonts w:ascii="Bookman Old Style" w:hAnsi="Bookman Old Style" w:cs="Bookman Old Style"/>
          <w:color w:val="auto"/>
          <w:sz w:val="28"/>
          <w:szCs w:val="28"/>
        </w:rPr>
      </w:pPr>
    </w:p>
    <w:p w14:paraId="7BC4BB7F" w14:textId="6E3A0DA3" w:rsidR="006F1FAD" w:rsidRDefault="006F1FAD" w:rsidP="00324297">
      <w:pPr>
        <w:pStyle w:val="Default"/>
        <w:jc w:val="both"/>
        <w:rPr>
          <w:color w:val="auto"/>
          <w:sz w:val="20"/>
          <w:szCs w:val="20"/>
        </w:rPr>
      </w:pPr>
      <w:r w:rsidRPr="006F1FAD">
        <w:rPr>
          <w:noProof/>
          <w:color w:val="auto"/>
          <w:sz w:val="20"/>
          <w:szCs w:val="20"/>
        </w:rPr>
        <w:drawing>
          <wp:inline distT="0" distB="0" distL="0" distR="0" wp14:anchorId="0BD355B8" wp14:editId="1024C8DA">
            <wp:extent cx="2809875" cy="1047750"/>
            <wp:effectExtent l="0" t="0" r="9525" b="0"/>
            <wp:docPr id="7784572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1047750"/>
                    </a:xfrm>
                    <a:prstGeom prst="rect">
                      <a:avLst/>
                    </a:prstGeom>
                    <a:noFill/>
                    <a:ln>
                      <a:noFill/>
                    </a:ln>
                  </pic:spPr>
                </pic:pic>
              </a:graphicData>
            </a:graphic>
          </wp:inline>
        </w:drawing>
      </w:r>
    </w:p>
    <w:p w14:paraId="1E393DD4" w14:textId="613EE132" w:rsidR="006F1FAD" w:rsidRDefault="006F3BD9" w:rsidP="00324297">
      <w:pPr>
        <w:pStyle w:val="Default"/>
        <w:jc w:val="both"/>
        <w:rPr>
          <w:color w:val="auto"/>
          <w:sz w:val="20"/>
          <w:szCs w:val="20"/>
        </w:rPr>
      </w:pPr>
      <w:r w:rsidRPr="006F3BD9">
        <w:rPr>
          <w:noProof/>
          <w:color w:val="auto"/>
          <w:sz w:val="20"/>
          <w:szCs w:val="20"/>
        </w:rPr>
        <w:drawing>
          <wp:inline distT="0" distB="0" distL="0" distR="0" wp14:anchorId="66E986C0" wp14:editId="73676948">
            <wp:extent cx="2657475" cy="2181225"/>
            <wp:effectExtent l="0" t="0" r="9525" b="9525"/>
            <wp:docPr id="15849748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2181225"/>
                    </a:xfrm>
                    <a:prstGeom prst="rect">
                      <a:avLst/>
                    </a:prstGeom>
                    <a:noFill/>
                    <a:ln>
                      <a:noFill/>
                    </a:ln>
                  </pic:spPr>
                </pic:pic>
              </a:graphicData>
            </a:graphic>
          </wp:inline>
        </w:drawing>
      </w:r>
    </w:p>
    <w:p w14:paraId="49E97950" w14:textId="77777777" w:rsidR="00F54371" w:rsidRDefault="00F54371" w:rsidP="00412418">
      <w:pPr>
        <w:pStyle w:val="Default"/>
        <w:pageBreakBefore/>
        <w:jc w:val="both"/>
        <w:rPr>
          <w:color w:val="auto"/>
          <w:sz w:val="28"/>
          <w:szCs w:val="28"/>
        </w:rPr>
      </w:pPr>
      <w:r>
        <w:rPr>
          <w:rFonts w:ascii="Bookman Old Style" w:hAnsi="Bookman Old Style" w:cs="Bookman Old Style"/>
          <w:color w:val="auto"/>
          <w:sz w:val="28"/>
          <w:szCs w:val="28"/>
        </w:rPr>
        <w:lastRenderedPageBreak/>
        <w:t xml:space="preserve">6. Luego entonces, más allá de la consideración del juez de instancia, en punto de advertir las falencias formales de los requerimientos previamente descritos, lo que se advierte es que no pueden catalogarse de útiles, conducentes y pertinentes, simplemente con la manifestación de quien las pide, pues tal calificación la hace el juez de cara a cada clase de documento específico correlacionado con el supuesto de hecho que se pretende probar o contradecir. </w:t>
      </w:r>
    </w:p>
    <w:p w14:paraId="1EA2FA84" w14:textId="77777777" w:rsidR="006F3BD9" w:rsidRDefault="006F3BD9" w:rsidP="00412418">
      <w:pPr>
        <w:pStyle w:val="Default"/>
        <w:jc w:val="both"/>
        <w:rPr>
          <w:rFonts w:ascii="Bookman Old Style" w:hAnsi="Bookman Old Style" w:cs="Bookman Old Style"/>
          <w:color w:val="auto"/>
          <w:sz w:val="28"/>
          <w:szCs w:val="28"/>
        </w:rPr>
      </w:pPr>
    </w:p>
    <w:p w14:paraId="1CDFC3F6" w14:textId="445226B0" w:rsidR="00F54371" w:rsidRDefault="00F54371" w:rsidP="00412418">
      <w:pPr>
        <w:pStyle w:val="Default"/>
        <w:jc w:val="both"/>
        <w:rPr>
          <w:color w:val="auto"/>
          <w:sz w:val="28"/>
          <w:szCs w:val="28"/>
        </w:rPr>
      </w:pPr>
      <w:r>
        <w:rPr>
          <w:rFonts w:ascii="Bookman Old Style" w:hAnsi="Bookman Old Style" w:cs="Bookman Old Style"/>
          <w:color w:val="auto"/>
          <w:sz w:val="28"/>
          <w:szCs w:val="28"/>
        </w:rPr>
        <w:t xml:space="preserve">7. Corolario de lo anterior, como se anunció, habrá de confirmarse la decisión cuestionada. </w:t>
      </w:r>
    </w:p>
    <w:p w14:paraId="325D5C79" w14:textId="77777777" w:rsidR="006F3BD9" w:rsidRDefault="006F3BD9" w:rsidP="00412418">
      <w:pPr>
        <w:pStyle w:val="Default"/>
        <w:jc w:val="both"/>
        <w:rPr>
          <w:rFonts w:ascii="Bookman Old Style" w:hAnsi="Bookman Old Style" w:cs="Bookman Old Style"/>
          <w:b/>
          <w:bCs/>
          <w:color w:val="auto"/>
          <w:sz w:val="28"/>
          <w:szCs w:val="28"/>
        </w:rPr>
      </w:pPr>
    </w:p>
    <w:p w14:paraId="4F6D7C4C" w14:textId="6D7165DA" w:rsidR="00F54371" w:rsidRDefault="00F54371" w:rsidP="00412418">
      <w:pPr>
        <w:pStyle w:val="Default"/>
        <w:jc w:val="both"/>
        <w:rPr>
          <w:color w:val="auto"/>
          <w:sz w:val="28"/>
          <w:szCs w:val="28"/>
        </w:rPr>
      </w:pPr>
      <w:r>
        <w:rPr>
          <w:rFonts w:ascii="Bookman Old Style" w:hAnsi="Bookman Old Style" w:cs="Bookman Old Style"/>
          <w:b/>
          <w:bCs/>
          <w:color w:val="auto"/>
          <w:sz w:val="28"/>
          <w:szCs w:val="28"/>
        </w:rPr>
        <w:t xml:space="preserve">Decisión </w:t>
      </w:r>
    </w:p>
    <w:p w14:paraId="2AB9D0DA" w14:textId="77777777" w:rsidR="006F3BD9" w:rsidRDefault="006F3BD9" w:rsidP="00412418">
      <w:pPr>
        <w:pStyle w:val="Default"/>
        <w:jc w:val="both"/>
        <w:rPr>
          <w:rFonts w:ascii="Bookman Old Style" w:hAnsi="Bookman Old Style" w:cs="Bookman Old Style"/>
          <w:color w:val="auto"/>
          <w:sz w:val="28"/>
          <w:szCs w:val="28"/>
        </w:rPr>
      </w:pPr>
    </w:p>
    <w:p w14:paraId="364657D6" w14:textId="42B16699" w:rsidR="00F54371" w:rsidRDefault="00F54371" w:rsidP="00412418">
      <w:pPr>
        <w:pStyle w:val="Default"/>
        <w:jc w:val="both"/>
        <w:rPr>
          <w:color w:val="auto"/>
          <w:sz w:val="28"/>
          <w:szCs w:val="28"/>
        </w:rPr>
      </w:pPr>
      <w:r>
        <w:rPr>
          <w:rFonts w:ascii="Bookman Old Style" w:hAnsi="Bookman Old Style" w:cs="Bookman Old Style"/>
          <w:color w:val="auto"/>
          <w:sz w:val="28"/>
          <w:szCs w:val="28"/>
        </w:rPr>
        <w:t xml:space="preserve">En armonía con lo expuesto, la Sala Civil del Tribunal Superior del Distrito Judicial de Bogotá, D. C., </w:t>
      </w:r>
      <w:r>
        <w:rPr>
          <w:rFonts w:ascii="Bookman Old Style" w:hAnsi="Bookman Old Style" w:cs="Bookman Old Style"/>
          <w:b/>
          <w:bCs/>
          <w:color w:val="auto"/>
          <w:sz w:val="28"/>
          <w:szCs w:val="28"/>
        </w:rPr>
        <w:t xml:space="preserve">RESUELVE: </w:t>
      </w:r>
    </w:p>
    <w:p w14:paraId="251A9F58" w14:textId="77777777" w:rsidR="006F3BD9" w:rsidRDefault="006F3BD9" w:rsidP="00412418">
      <w:pPr>
        <w:pStyle w:val="Default"/>
        <w:jc w:val="both"/>
        <w:rPr>
          <w:rFonts w:ascii="Bookman Old Style" w:hAnsi="Bookman Old Style" w:cs="Bookman Old Style"/>
          <w:b/>
          <w:bCs/>
          <w:color w:val="auto"/>
          <w:sz w:val="28"/>
          <w:szCs w:val="28"/>
        </w:rPr>
      </w:pPr>
    </w:p>
    <w:p w14:paraId="43A4799E" w14:textId="358E09CC" w:rsidR="00F54371" w:rsidRDefault="00F54371" w:rsidP="00412418">
      <w:pPr>
        <w:pStyle w:val="Default"/>
        <w:jc w:val="both"/>
        <w:rPr>
          <w:color w:val="auto"/>
          <w:sz w:val="28"/>
          <w:szCs w:val="28"/>
        </w:rPr>
      </w:pPr>
      <w:r>
        <w:rPr>
          <w:rFonts w:ascii="Bookman Old Style" w:hAnsi="Bookman Old Style" w:cs="Bookman Old Style"/>
          <w:b/>
          <w:bCs/>
          <w:color w:val="auto"/>
          <w:sz w:val="28"/>
          <w:szCs w:val="28"/>
        </w:rPr>
        <w:t xml:space="preserve">1. CONFIRMAR </w:t>
      </w:r>
      <w:r>
        <w:rPr>
          <w:rFonts w:ascii="Bookman Old Style" w:hAnsi="Bookman Old Style" w:cs="Bookman Old Style"/>
          <w:color w:val="auto"/>
          <w:sz w:val="28"/>
          <w:szCs w:val="28"/>
        </w:rPr>
        <w:t xml:space="preserve">los numerales 4° y 5° del acápite de </w:t>
      </w:r>
      <w:r>
        <w:rPr>
          <w:rFonts w:ascii="Bookman Old Style" w:hAnsi="Bookman Old Style" w:cs="Bookman Old Style"/>
          <w:color w:val="auto"/>
          <w:sz w:val="23"/>
          <w:szCs w:val="23"/>
        </w:rPr>
        <w:t>“</w:t>
      </w:r>
      <w:r>
        <w:rPr>
          <w:rFonts w:ascii="Bookman Old Style" w:hAnsi="Bookman Old Style" w:cs="Bookman Old Style"/>
          <w:i/>
          <w:iCs/>
          <w:color w:val="auto"/>
          <w:sz w:val="23"/>
          <w:szCs w:val="23"/>
        </w:rPr>
        <w:t xml:space="preserve">PRUEBAS DECRETADAS PARA LA CURADORA AD LITEM DE LAS PERSONAS INDETERMINADAS” </w:t>
      </w:r>
      <w:r>
        <w:rPr>
          <w:rFonts w:ascii="Bookman Old Style" w:hAnsi="Bookman Old Style" w:cs="Bookman Old Style"/>
          <w:color w:val="auto"/>
          <w:sz w:val="28"/>
          <w:szCs w:val="28"/>
        </w:rPr>
        <w:t xml:space="preserve">en el auto que profirió el Juzgado 33 Civil del Circuito de Bogotá el 13 de abril de 2023. </w:t>
      </w:r>
    </w:p>
    <w:p w14:paraId="3616AE5D" w14:textId="77777777" w:rsidR="006F3BD9" w:rsidRDefault="006F3BD9" w:rsidP="00412418">
      <w:pPr>
        <w:pStyle w:val="Default"/>
        <w:jc w:val="both"/>
        <w:rPr>
          <w:rFonts w:ascii="Bookman Old Style" w:hAnsi="Bookman Old Style" w:cs="Bookman Old Style"/>
          <w:b/>
          <w:bCs/>
          <w:color w:val="auto"/>
          <w:sz w:val="28"/>
          <w:szCs w:val="28"/>
        </w:rPr>
      </w:pPr>
    </w:p>
    <w:p w14:paraId="17DA8A2D" w14:textId="095FAA58" w:rsidR="00F54371" w:rsidRDefault="00F54371" w:rsidP="00412418">
      <w:pPr>
        <w:pStyle w:val="Default"/>
        <w:jc w:val="both"/>
        <w:rPr>
          <w:rFonts w:ascii="Bookman Old Style" w:hAnsi="Bookman Old Style" w:cs="Bookman Old Style"/>
          <w:color w:val="auto"/>
          <w:sz w:val="28"/>
          <w:szCs w:val="28"/>
        </w:rPr>
      </w:pPr>
      <w:r>
        <w:rPr>
          <w:rFonts w:ascii="Bookman Old Style" w:hAnsi="Bookman Old Style" w:cs="Bookman Old Style"/>
          <w:b/>
          <w:bCs/>
          <w:color w:val="auto"/>
          <w:sz w:val="28"/>
          <w:szCs w:val="28"/>
        </w:rPr>
        <w:t xml:space="preserve">2. Sin condena en costas por no aparecer causadas. </w:t>
      </w:r>
    </w:p>
    <w:p w14:paraId="728AD65E" w14:textId="77777777" w:rsidR="006F3BD9" w:rsidRDefault="006F3BD9" w:rsidP="00412418">
      <w:pPr>
        <w:pStyle w:val="Default"/>
        <w:jc w:val="both"/>
        <w:rPr>
          <w:rFonts w:ascii="Bookman Old Style" w:hAnsi="Bookman Old Style" w:cs="Bookman Old Style"/>
          <w:color w:val="auto"/>
          <w:sz w:val="28"/>
          <w:szCs w:val="28"/>
        </w:rPr>
      </w:pPr>
    </w:p>
    <w:p w14:paraId="35F3A9C7" w14:textId="1F2BE8B3" w:rsidR="00F54371" w:rsidRDefault="00F54371" w:rsidP="00412418">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 xml:space="preserve">Notifíquese, </w:t>
      </w:r>
    </w:p>
    <w:p w14:paraId="11665BC2" w14:textId="77777777" w:rsidR="006F3BD9" w:rsidRDefault="006F3BD9" w:rsidP="00412418">
      <w:pPr>
        <w:pStyle w:val="Default"/>
        <w:jc w:val="both"/>
        <w:rPr>
          <w:rFonts w:ascii="Bookman Old Style" w:hAnsi="Bookman Old Style" w:cs="Bookman Old Style"/>
          <w:b/>
          <w:bCs/>
          <w:color w:val="auto"/>
          <w:sz w:val="28"/>
          <w:szCs w:val="28"/>
        </w:rPr>
      </w:pPr>
    </w:p>
    <w:p w14:paraId="5FC5116E" w14:textId="534ECEF4" w:rsidR="00F54371" w:rsidRDefault="00F54371" w:rsidP="00412418">
      <w:pPr>
        <w:pStyle w:val="Default"/>
        <w:jc w:val="both"/>
        <w:rPr>
          <w:rFonts w:ascii="Bookman Old Style" w:hAnsi="Bookman Old Style" w:cs="Bookman Old Style"/>
          <w:color w:val="auto"/>
          <w:sz w:val="28"/>
          <w:szCs w:val="28"/>
        </w:rPr>
      </w:pPr>
      <w:r>
        <w:rPr>
          <w:rFonts w:ascii="Bookman Old Style" w:hAnsi="Bookman Old Style" w:cs="Bookman Old Style"/>
          <w:b/>
          <w:bCs/>
          <w:color w:val="auto"/>
          <w:sz w:val="28"/>
          <w:szCs w:val="28"/>
        </w:rPr>
        <w:t xml:space="preserve">RUTH ELENA GALVIS VERGARA </w:t>
      </w:r>
    </w:p>
    <w:p w14:paraId="263A9682" w14:textId="77777777" w:rsidR="00F54371" w:rsidRDefault="00F54371" w:rsidP="00412418">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 xml:space="preserve">Magistrada </w:t>
      </w:r>
    </w:p>
    <w:p w14:paraId="4B9B8CA6" w14:textId="77777777" w:rsidR="006F3BD9" w:rsidRDefault="006F3BD9" w:rsidP="00412418">
      <w:pPr>
        <w:pStyle w:val="Default"/>
        <w:jc w:val="both"/>
        <w:rPr>
          <w:rFonts w:ascii="Bookman Old Style" w:hAnsi="Bookman Old Style" w:cs="Bookman Old Style"/>
          <w:color w:val="auto"/>
          <w:sz w:val="18"/>
          <w:szCs w:val="18"/>
        </w:rPr>
      </w:pPr>
    </w:p>
    <w:p w14:paraId="30ACC222" w14:textId="1EDAD148" w:rsidR="00F54371" w:rsidRDefault="00F54371" w:rsidP="00412418">
      <w:pPr>
        <w:pStyle w:val="Default"/>
        <w:jc w:val="both"/>
        <w:rPr>
          <w:rFonts w:ascii="Arial" w:hAnsi="Arial" w:cs="Arial"/>
          <w:color w:val="auto"/>
          <w:sz w:val="16"/>
          <w:szCs w:val="16"/>
        </w:rPr>
      </w:pPr>
      <w:r>
        <w:rPr>
          <w:rFonts w:ascii="Bookman Old Style" w:hAnsi="Bookman Old Style" w:cs="Bookman Old Style"/>
          <w:color w:val="auto"/>
          <w:sz w:val="18"/>
          <w:szCs w:val="18"/>
        </w:rPr>
        <w:t xml:space="preserve">110013103033201900419 01 </w:t>
      </w:r>
      <w:r>
        <w:rPr>
          <w:rFonts w:ascii="Arial" w:hAnsi="Arial" w:cs="Arial"/>
          <w:color w:val="auto"/>
          <w:sz w:val="16"/>
          <w:szCs w:val="16"/>
        </w:rPr>
        <w:t xml:space="preserve">Firmado Por: </w:t>
      </w:r>
    </w:p>
    <w:p w14:paraId="6EA06213" w14:textId="53E1A14B" w:rsidR="00F54371" w:rsidRDefault="00F54371" w:rsidP="00412418">
      <w:pPr>
        <w:pStyle w:val="Default"/>
        <w:tabs>
          <w:tab w:val="left" w:pos="6990"/>
        </w:tabs>
        <w:jc w:val="both"/>
        <w:rPr>
          <w:rFonts w:ascii="Arial" w:hAnsi="Arial" w:cs="Arial"/>
          <w:color w:val="auto"/>
          <w:sz w:val="16"/>
          <w:szCs w:val="16"/>
        </w:rPr>
      </w:pPr>
      <w:r>
        <w:rPr>
          <w:rFonts w:ascii="Arial" w:hAnsi="Arial" w:cs="Arial"/>
          <w:color w:val="auto"/>
          <w:sz w:val="16"/>
          <w:szCs w:val="16"/>
        </w:rPr>
        <w:t xml:space="preserve">Ruth Elena Galvis Vergara </w:t>
      </w:r>
      <w:r w:rsidR="00412418">
        <w:rPr>
          <w:rFonts w:ascii="Arial" w:hAnsi="Arial" w:cs="Arial"/>
          <w:color w:val="auto"/>
          <w:sz w:val="16"/>
          <w:szCs w:val="16"/>
        </w:rPr>
        <w:tab/>
      </w:r>
    </w:p>
    <w:p w14:paraId="19DF56EF" w14:textId="77777777" w:rsidR="00F54371" w:rsidRDefault="00F54371" w:rsidP="00412418">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2816D52F" w14:textId="77777777" w:rsidR="00F54371" w:rsidRDefault="00F54371" w:rsidP="00412418">
      <w:pPr>
        <w:pStyle w:val="Default"/>
        <w:jc w:val="both"/>
        <w:rPr>
          <w:rFonts w:ascii="Arial" w:hAnsi="Arial" w:cs="Arial"/>
          <w:color w:val="auto"/>
          <w:sz w:val="16"/>
          <w:szCs w:val="16"/>
        </w:rPr>
      </w:pPr>
      <w:r>
        <w:rPr>
          <w:rFonts w:ascii="Arial" w:hAnsi="Arial" w:cs="Arial"/>
          <w:color w:val="auto"/>
          <w:sz w:val="16"/>
          <w:szCs w:val="16"/>
        </w:rPr>
        <w:t xml:space="preserve">Sala Civil </w:t>
      </w:r>
    </w:p>
    <w:p w14:paraId="0EFD350F" w14:textId="77777777" w:rsidR="00F54371" w:rsidRDefault="00F54371" w:rsidP="00412418">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22E930C8" w14:textId="77777777" w:rsidR="00F54371" w:rsidRDefault="00F54371" w:rsidP="00412418">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67012233" w14:textId="77777777" w:rsidR="00F54371" w:rsidRDefault="00F54371" w:rsidP="00412418">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3189EB8D" w14:textId="77777777" w:rsidR="00F54371" w:rsidRDefault="00F54371" w:rsidP="00412418">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131E3EB7" w14:textId="77777777" w:rsidR="00F54371" w:rsidRDefault="00F54371" w:rsidP="00412418">
      <w:pPr>
        <w:pStyle w:val="Default"/>
        <w:jc w:val="both"/>
        <w:rPr>
          <w:rFonts w:ascii="Arial" w:hAnsi="Arial" w:cs="Arial"/>
          <w:color w:val="auto"/>
          <w:sz w:val="16"/>
          <w:szCs w:val="16"/>
        </w:rPr>
      </w:pPr>
      <w:r>
        <w:rPr>
          <w:rFonts w:ascii="Arial" w:hAnsi="Arial" w:cs="Arial"/>
          <w:color w:val="auto"/>
          <w:sz w:val="16"/>
          <w:szCs w:val="16"/>
        </w:rPr>
        <w:t xml:space="preserve">c532576f76c4a0d221153297a7966f916c719c661445dd76dff1e2578d7fe0b2 </w:t>
      </w:r>
    </w:p>
    <w:p w14:paraId="0A58B8B1" w14:textId="77777777" w:rsidR="00F54371" w:rsidRDefault="00F54371" w:rsidP="00412418">
      <w:pPr>
        <w:pStyle w:val="Default"/>
        <w:jc w:val="both"/>
        <w:rPr>
          <w:rFonts w:ascii="Arial" w:hAnsi="Arial" w:cs="Arial"/>
          <w:color w:val="auto"/>
          <w:sz w:val="16"/>
          <w:szCs w:val="16"/>
        </w:rPr>
      </w:pPr>
      <w:r>
        <w:rPr>
          <w:rFonts w:ascii="Arial" w:hAnsi="Arial" w:cs="Arial"/>
          <w:color w:val="auto"/>
          <w:sz w:val="16"/>
          <w:szCs w:val="16"/>
        </w:rPr>
        <w:t xml:space="preserve">Documento generado en 16/11/2023 12:59:07 PM </w:t>
      </w:r>
    </w:p>
    <w:p w14:paraId="08B21959" w14:textId="77777777" w:rsidR="00F54371" w:rsidRDefault="00F54371" w:rsidP="00412418">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45B6F0CF" w14:textId="338323E7" w:rsidR="00B9243D" w:rsidRDefault="00F54371" w:rsidP="00412418">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altName w:val="Kunstler Script"/>
    <w:charset w:val="00"/>
    <w:family w:val="script"/>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71"/>
    <w:rsid w:val="00153961"/>
    <w:rsid w:val="00324297"/>
    <w:rsid w:val="00351087"/>
    <w:rsid w:val="00357025"/>
    <w:rsid w:val="0039578D"/>
    <w:rsid w:val="003B63B6"/>
    <w:rsid w:val="00412418"/>
    <w:rsid w:val="00425494"/>
    <w:rsid w:val="00446E62"/>
    <w:rsid w:val="00456A28"/>
    <w:rsid w:val="004610E3"/>
    <w:rsid w:val="005C2002"/>
    <w:rsid w:val="00676D29"/>
    <w:rsid w:val="006876DE"/>
    <w:rsid w:val="006F1FAD"/>
    <w:rsid w:val="006F3BD9"/>
    <w:rsid w:val="00737460"/>
    <w:rsid w:val="00872942"/>
    <w:rsid w:val="00932D1D"/>
    <w:rsid w:val="00AC4BD1"/>
    <w:rsid w:val="00B446B9"/>
    <w:rsid w:val="00B9243D"/>
    <w:rsid w:val="00BC0A15"/>
    <w:rsid w:val="00C575B4"/>
    <w:rsid w:val="00CD008B"/>
    <w:rsid w:val="00DA03DC"/>
    <w:rsid w:val="00F5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AA70"/>
  <w15:chartTrackingRefBased/>
  <w15:docId w15:val="{2935659B-52C1-4702-8A8B-DF662E06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54371"/>
    <w:pPr>
      <w:autoSpaceDE w:val="0"/>
      <w:autoSpaceDN w:val="0"/>
      <w:adjustRightInd w:val="0"/>
      <w:spacing w:after="0" w:line="240" w:lineRule="auto"/>
    </w:pPr>
    <w:rPr>
      <w:rFonts w:ascii="Kunstler Script" w:hAnsi="Kunstler Script" w:cs="Kunstler Script"/>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1843</Words>
  <Characters>10139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24</cp:revision>
  <dcterms:created xsi:type="dcterms:W3CDTF">2023-11-17T21:14:00Z</dcterms:created>
  <dcterms:modified xsi:type="dcterms:W3CDTF">2023-11-17T21:41:00Z</dcterms:modified>
</cp:coreProperties>
</file>