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EA2C" w14:textId="77777777" w:rsidR="002705BF" w:rsidRDefault="002705BF" w:rsidP="002705BF">
      <w:pPr>
        <w:rPr>
          <w:rFonts w:ascii="Edwardian Script ITC" w:hAnsi="Edwardian Script ITC" w:cs="Edwardian Script ITC"/>
        </w:rPr>
      </w:pPr>
      <w:r>
        <w:rPr>
          <w:rFonts w:ascii="Edwardian Script ITC" w:hAnsi="Edwardian Script ITC" w:cs="Edwardian Script ITC"/>
        </w:rPr>
        <w:t xml:space="preserve">República de Colombia </w:t>
      </w:r>
    </w:p>
    <w:p w14:paraId="43C43FAC" w14:textId="77777777" w:rsidR="002705BF" w:rsidRDefault="002705BF" w:rsidP="002705BF">
      <w:pPr>
        <w:rPr>
          <w:rFonts w:ascii="Edwardian Script ITC" w:hAnsi="Edwardian Script ITC" w:cs="Edwardian Script ITC"/>
        </w:rPr>
      </w:pPr>
      <w:r>
        <w:rPr>
          <w:rFonts w:ascii="Edwardian Script ITC" w:hAnsi="Edwardian Script ITC" w:cs="Edwardian Script ITC"/>
        </w:rPr>
        <w:t xml:space="preserve">Tribunal Superior de Bogotá, D.C. </w:t>
      </w:r>
    </w:p>
    <w:p w14:paraId="5ACB9156" w14:textId="77777777" w:rsidR="002705BF" w:rsidRDefault="002705BF" w:rsidP="002705BF">
      <w:pPr>
        <w:rPr>
          <w:rFonts w:ascii="Edwardian Script ITC" w:hAnsi="Edwardian Script ITC" w:cs="Edwardian Script ITC"/>
        </w:rPr>
      </w:pPr>
      <w:r>
        <w:rPr>
          <w:rFonts w:ascii="Edwardian Script ITC" w:hAnsi="Edwardian Script ITC" w:cs="Edwardian Script ITC"/>
        </w:rPr>
        <w:t>Sala Civil</w:t>
      </w:r>
    </w:p>
    <w:p w14:paraId="4E9377A5" w14:textId="77777777" w:rsidR="002705BF" w:rsidRDefault="002705BF" w:rsidP="002705BF">
      <w:pPr>
        <w:rPr>
          <w:rFonts w:ascii="Edwardian Script ITC" w:hAnsi="Edwardian Script ITC" w:cs="Edwardian Script ITC"/>
        </w:rPr>
      </w:pPr>
    </w:p>
    <w:p w14:paraId="0A61C1E5" w14:textId="77777777" w:rsidR="002705BF" w:rsidRDefault="002705BF" w:rsidP="002705BF">
      <w:pPr>
        <w:pStyle w:val="Default"/>
        <w:jc w:val="center"/>
        <w:rPr>
          <w:sz w:val="28"/>
          <w:szCs w:val="28"/>
        </w:rPr>
      </w:pPr>
      <w:r>
        <w:rPr>
          <w:sz w:val="28"/>
          <w:szCs w:val="28"/>
        </w:rPr>
        <w:t>REPÚBLICA DE COLOMBIA</w:t>
      </w:r>
    </w:p>
    <w:p w14:paraId="63583692" w14:textId="77777777" w:rsidR="002705BF" w:rsidRDefault="002705BF" w:rsidP="002705BF">
      <w:pPr>
        <w:pStyle w:val="Default"/>
        <w:jc w:val="center"/>
        <w:rPr>
          <w:sz w:val="28"/>
          <w:szCs w:val="28"/>
        </w:rPr>
      </w:pPr>
      <w:r>
        <w:rPr>
          <w:sz w:val="28"/>
          <w:szCs w:val="28"/>
        </w:rPr>
        <w:t>TRIBUNAL SUPERIOR DEL DISTRITO JUDICIAL DE</w:t>
      </w:r>
    </w:p>
    <w:p w14:paraId="4A326AB6" w14:textId="77777777" w:rsidR="002705BF" w:rsidRDefault="002705BF" w:rsidP="002705BF">
      <w:pPr>
        <w:pStyle w:val="Default"/>
        <w:jc w:val="center"/>
        <w:rPr>
          <w:sz w:val="28"/>
          <w:szCs w:val="28"/>
        </w:rPr>
      </w:pPr>
      <w:r>
        <w:rPr>
          <w:sz w:val="28"/>
          <w:szCs w:val="28"/>
        </w:rPr>
        <w:t>BOGOTÁ, D.C.</w:t>
      </w:r>
    </w:p>
    <w:p w14:paraId="0B34A2A2" w14:textId="77777777" w:rsidR="002705BF" w:rsidRDefault="002705BF" w:rsidP="002705BF">
      <w:pPr>
        <w:pStyle w:val="Default"/>
        <w:jc w:val="center"/>
        <w:rPr>
          <w:sz w:val="28"/>
          <w:szCs w:val="28"/>
        </w:rPr>
      </w:pPr>
      <w:r>
        <w:rPr>
          <w:sz w:val="28"/>
          <w:szCs w:val="28"/>
        </w:rPr>
        <w:t>SALA CIVIL</w:t>
      </w:r>
    </w:p>
    <w:p w14:paraId="7D4FE482" w14:textId="77777777" w:rsidR="002705BF" w:rsidRDefault="002705BF" w:rsidP="002705BF">
      <w:pPr>
        <w:pStyle w:val="Default"/>
        <w:jc w:val="center"/>
        <w:rPr>
          <w:sz w:val="28"/>
          <w:szCs w:val="28"/>
        </w:rPr>
      </w:pPr>
      <w:r>
        <w:rPr>
          <w:sz w:val="28"/>
          <w:szCs w:val="28"/>
        </w:rPr>
        <w:t>Bogotá, D.C., diecinueve de abril de dos mil veinticuatro.</w:t>
      </w:r>
    </w:p>
    <w:p w14:paraId="7CFE5040" w14:textId="77777777" w:rsidR="002705BF" w:rsidRDefault="002705BF" w:rsidP="002705BF">
      <w:pPr>
        <w:pStyle w:val="Default"/>
        <w:rPr>
          <w:sz w:val="22"/>
          <w:szCs w:val="22"/>
        </w:rPr>
      </w:pPr>
    </w:p>
    <w:p w14:paraId="43599F5C" w14:textId="77777777" w:rsidR="002705BF" w:rsidRDefault="002705BF" w:rsidP="002705BF">
      <w:pPr>
        <w:pStyle w:val="Default"/>
        <w:rPr>
          <w:sz w:val="22"/>
          <w:szCs w:val="22"/>
        </w:rPr>
      </w:pPr>
    </w:p>
    <w:p w14:paraId="60436CDA" w14:textId="77777777" w:rsidR="002705BF" w:rsidRDefault="002705BF" w:rsidP="002705BF">
      <w:pPr>
        <w:pStyle w:val="Default"/>
        <w:rPr>
          <w:sz w:val="22"/>
          <w:szCs w:val="22"/>
        </w:rPr>
      </w:pPr>
      <w:r>
        <w:rPr>
          <w:sz w:val="22"/>
          <w:szCs w:val="22"/>
        </w:rPr>
        <w:t xml:space="preserve">Proceso: </w:t>
      </w:r>
      <w:r>
        <w:rPr>
          <w:sz w:val="22"/>
          <w:szCs w:val="22"/>
        </w:rPr>
        <w:tab/>
      </w:r>
      <w:r>
        <w:rPr>
          <w:sz w:val="22"/>
          <w:szCs w:val="22"/>
        </w:rPr>
        <w:tab/>
        <w:t xml:space="preserve">Verbal </w:t>
      </w:r>
    </w:p>
    <w:p w14:paraId="15B3DEA2" w14:textId="77777777" w:rsidR="002705BF" w:rsidRDefault="002705BF" w:rsidP="002705BF">
      <w:pPr>
        <w:pStyle w:val="Default"/>
        <w:rPr>
          <w:sz w:val="22"/>
          <w:szCs w:val="22"/>
        </w:rPr>
      </w:pPr>
      <w:r>
        <w:rPr>
          <w:sz w:val="22"/>
          <w:szCs w:val="22"/>
        </w:rPr>
        <w:t xml:space="preserve">Demandante: </w:t>
      </w:r>
      <w:r>
        <w:rPr>
          <w:sz w:val="22"/>
          <w:szCs w:val="22"/>
        </w:rPr>
        <w:tab/>
        <w:t xml:space="preserve">Industrias La Coruña S.A.S. </w:t>
      </w:r>
    </w:p>
    <w:p w14:paraId="3070B4DC" w14:textId="77777777" w:rsidR="002705BF" w:rsidRDefault="002705BF" w:rsidP="002705BF">
      <w:pPr>
        <w:pStyle w:val="Default"/>
        <w:rPr>
          <w:sz w:val="22"/>
          <w:szCs w:val="22"/>
        </w:rPr>
      </w:pPr>
      <w:r>
        <w:rPr>
          <w:sz w:val="22"/>
          <w:szCs w:val="22"/>
        </w:rPr>
        <w:t xml:space="preserve">Demandado: </w:t>
      </w:r>
      <w:r>
        <w:rPr>
          <w:sz w:val="22"/>
          <w:szCs w:val="22"/>
        </w:rPr>
        <w:tab/>
      </w:r>
      <w:r>
        <w:rPr>
          <w:sz w:val="22"/>
          <w:szCs w:val="22"/>
        </w:rPr>
        <w:tab/>
      </w:r>
      <w:proofErr w:type="spellStart"/>
      <w:r>
        <w:rPr>
          <w:sz w:val="22"/>
          <w:szCs w:val="22"/>
        </w:rPr>
        <w:t>Tecnopack</w:t>
      </w:r>
      <w:proofErr w:type="spellEnd"/>
      <w:r>
        <w:rPr>
          <w:sz w:val="22"/>
          <w:szCs w:val="22"/>
        </w:rPr>
        <w:t xml:space="preserve"> S.A.S. </w:t>
      </w:r>
    </w:p>
    <w:p w14:paraId="6ED724C0" w14:textId="77777777" w:rsidR="002705BF" w:rsidRDefault="002705BF" w:rsidP="002705BF">
      <w:pPr>
        <w:pStyle w:val="Default"/>
        <w:rPr>
          <w:sz w:val="22"/>
          <w:szCs w:val="22"/>
        </w:rPr>
      </w:pPr>
      <w:r>
        <w:rPr>
          <w:sz w:val="22"/>
          <w:szCs w:val="22"/>
        </w:rPr>
        <w:t xml:space="preserve">Radicación: </w:t>
      </w:r>
      <w:r>
        <w:rPr>
          <w:sz w:val="22"/>
          <w:szCs w:val="22"/>
        </w:rPr>
        <w:tab/>
      </w:r>
      <w:r>
        <w:rPr>
          <w:sz w:val="22"/>
          <w:szCs w:val="22"/>
        </w:rPr>
        <w:tab/>
        <w:t xml:space="preserve">110013103037202100306 02 </w:t>
      </w:r>
    </w:p>
    <w:p w14:paraId="4EA9C8DE" w14:textId="77777777" w:rsidR="002705BF" w:rsidRDefault="002705BF" w:rsidP="002705BF">
      <w:pPr>
        <w:pStyle w:val="Default"/>
        <w:rPr>
          <w:sz w:val="22"/>
          <w:szCs w:val="22"/>
        </w:rPr>
      </w:pPr>
      <w:r>
        <w:rPr>
          <w:sz w:val="22"/>
          <w:szCs w:val="22"/>
        </w:rPr>
        <w:t xml:space="preserve">Procedencia: </w:t>
      </w:r>
      <w:r>
        <w:rPr>
          <w:sz w:val="22"/>
          <w:szCs w:val="22"/>
        </w:rPr>
        <w:tab/>
        <w:t xml:space="preserve">Juzgado 37 Civil del Circuito de Bogotá </w:t>
      </w:r>
    </w:p>
    <w:p w14:paraId="628BD4DF" w14:textId="77777777" w:rsidR="002705BF" w:rsidRDefault="002705BF" w:rsidP="002705BF">
      <w:pPr>
        <w:pStyle w:val="Default"/>
        <w:rPr>
          <w:sz w:val="22"/>
          <w:szCs w:val="22"/>
        </w:rPr>
      </w:pPr>
      <w:r>
        <w:rPr>
          <w:sz w:val="22"/>
          <w:szCs w:val="22"/>
        </w:rPr>
        <w:t xml:space="preserve">Asunto: </w:t>
      </w:r>
      <w:r>
        <w:rPr>
          <w:sz w:val="22"/>
          <w:szCs w:val="22"/>
        </w:rPr>
        <w:tab/>
      </w:r>
      <w:r>
        <w:rPr>
          <w:sz w:val="22"/>
          <w:szCs w:val="22"/>
        </w:rPr>
        <w:tab/>
        <w:t xml:space="preserve">Apelación sentencia </w:t>
      </w:r>
    </w:p>
    <w:p w14:paraId="5659F067" w14:textId="77777777" w:rsidR="00B9243D" w:rsidRDefault="00B9243D"/>
    <w:p w14:paraId="6930D2FD" w14:textId="77777777" w:rsidR="003F20E9" w:rsidRDefault="003F20E9" w:rsidP="00737B2B">
      <w:pPr>
        <w:jc w:val="both"/>
      </w:pPr>
    </w:p>
    <w:p w14:paraId="3122D503" w14:textId="177D69D8" w:rsidR="00D450D1" w:rsidRDefault="00737B2B" w:rsidP="00737B2B">
      <w:pPr>
        <w:pStyle w:val="Default"/>
        <w:jc w:val="both"/>
        <w:rPr>
          <w:sz w:val="28"/>
          <w:szCs w:val="28"/>
        </w:rPr>
      </w:pPr>
      <w:r>
        <w:rPr>
          <w:sz w:val="28"/>
          <w:szCs w:val="28"/>
        </w:rPr>
        <w:t xml:space="preserve">1.- </w:t>
      </w:r>
      <w:r w:rsidR="00D450D1">
        <w:rPr>
          <w:sz w:val="28"/>
          <w:szCs w:val="28"/>
        </w:rPr>
        <w:t xml:space="preserve">Mediante auto proferido el 20 de marzo de 2024 se admitió el recurso de apelación propiciado por la parte demandante contra la sentencia expedida en primera instancia. </w:t>
      </w:r>
    </w:p>
    <w:p w14:paraId="36230608" w14:textId="77777777" w:rsidR="00737B2B" w:rsidRDefault="00737B2B" w:rsidP="00737B2B">
      <w:pPr>
        <w:pStyle w:val="Default"/>
        <w:ind w:left="360"/>
        <w:jc w:val="both"/>
        <w:rPr>
          <w:sz w:val="28"/>
          <w:szCs w:val="28"/>
        </w:rPr>
      </w:pPr>
    </w:p>
    <w:p w14:paraId="2052AFF4" w14:textId="77777777" w:rsidR="00D450D1" w:rsidRDefault="00D450D1" w:rsidP="00737B2B">
      <w:pPr>
        <w:pStyle w:val="Default"/>
        <w:jc w:val="both"/>
        <w:rPr>
          <w:sz w:val="28"/>
          <w:szCs w:val="28"/>
        </w:rPr>
      </w:pPr>
      <w:r>
        <w:rPr>
          <w:sz w:val="28"/>
          <w:szCs w:val="28"/>
        </w:rPr>
        <w:t xml:space="preserve">En esa misma providencia se confirió oportunidad al apelante para que sustentara su recurso, todo ello conforme el artículo 12 de la Ley 2213 de 2022; decisión notificada en estado electrónico E-050 de 21 de marzo de 2024. </w:t>
      </w:r>
    </w:p>
    <w:p w14:paraId="1FD6ACC6" w14:textId="77777777" w:rsidR="0057158C" w:rsidRDefault="0057158C" w:rsidP="00737B2B">
      <w:pPr>
        <w:pStyle w:val="Default"/>
        <w:jc w:val="both"/>
        <w:rPr>
          <w:sz w:val="28"/>
          <w:szCs w:val="28"/>
        </w:rPr>
      </w:pPr>
    </w:p>
    <w:p w14:paraId="1F34F1A5" w14:textId="22AFDE1F" w:rsidR="00D450D1" w:rsidRDefault="00D450D1" w:rsidP="00737B2B">
      <w:pPr>
        <w:pStyle w:val="Default"/>
        <w:jc w:val="both"/>
        <w:rPr>
          <w:sz w:val="28"/>
          <w:szCs w:val="28"/>
        </w:rPr>
      </w:pPr>
      <w:r>
        <w:rPr>
          <w:sz w:val="28"/>
          <w:szCs w:val="28"/>
        </w:rPr>
        <w:t xml:space="preserve">2. Así, en aplicación de los artículos 118 y 302 de la ley 1564 de 2012 el término legal concedido transcurrió del 2 al 8 de abril de 2024, atendiendo los términos de vacancia judicial que suspendieron el respectivo conteo; sin embargo, el perentorio plazo otorgado con el propósito indicado se consumó sin que el apelante se hubiese pronunciado, así lo informó secretaría. </w:t>
      </w:r>
    </w:p>
    <w:p w14:paraId="4D26FDCA" w14:textId="2F9A10A2" w:rsidR="00D450D1" w:rsidRDefault="00D450D1" w:rsidP="00737B2B">
      <w:pPr>
        <w:pStyle w:val="Default"/>
        <w:jc w:val="both"/>
        <w:rPr>
          <w:sz w:val="28"/>
          <w:szCs w:val="28"/>
        </w:rPr>
      </w:pPr>
    </w:p>
    <w:p w14:paraId="6BE306B9" w14:textId="09AEEF91" w:rsidR="00D450D1" w:rsidRDefault="00D450D1" w:rsidP="00737B2B">
      <w:pPr>
        <w:pStyle w:val="Default"/>
        <w:jc w:val="both"/>
        <w:rPr>
          <w:sz w:val="28"/>
          <w:szCs w:val="28"/>
        </w:rPr>
      </w:pPr>
      <w:r>
        <w:rPr>
          <w:sz w:val="28"/>
          <w:szCs w:val="28"/>
        </w:rPr>
        <w:t xml:space="preserve">3. Esta circunstancia tendría como consecuencia, así como se advirtió en el auto admisorio, que se declare desierto el recurso de quien no lo sustentó. </w:t>
      </w:r>
    </w:p>
    <w:p w14:paraId="609BD481" w14:textId="555DF500" w:rsidR="00D450D1" w:rsidRDefault="00D450D1" w:rsidP="0057158C">
      <w:pPr>
        <w:pStyle w:val="Default"/>
        <w:jc w:val="both"/>
        <w:rPr>
          <w:rFonts w:cstheme="minorBidi"/>
          <w:color w:val="auto"/>
          <w:sz w:val="28"/>
          <w:szCs w:val="28"/>
        </w:rPr>
      </w:pPr>
      <w:r>
        <w:rPr>
          <w:sz w:val="28"/>
          <w:szCs w:val="28"/>
        </w:rPr>
        <w:lastRenderedPageBreak/>
        <w:t>Conforme a las reglas diseñadas por la Ley 1564 de 2012, cuando de apelación de sentencias se trata, preciso es que el inconforme formule el recurso ante el juez de primer grado y ante él exponga brevemente los reparos concretos, requisitos ellos para la concesión y admisión del recurso (artículos 322 y 325 ídem); pero adicionalmente es necesario</w:t>
      </w:r>
      <w:r w:rsidR="0057158C">
        <w:rPr>
          <w:sz w:val="28"/>
          <w:szCs w:val="28"/>
        </w:rPr>
        <w:t xml:space="preserve"> </w:t>
      </w:r>
      <w:r>
        <w:rPr>
          <w:rFonts w:cstheme="minorBidi"/>
          <w:color w:val="auto"/>
          <w:sz w:val="28"/>
          <w:szCs w:val="28"/>
        </w:rPr>
        <w:t xml:space="preserve">que ante el Superior se sustente el recurso de apelación (artículo 327); y cuando de tal forma no procede el recurrente, se impone declarar desierto el recurso tal como lo prevé el artículo 322 de la Ley en cita y lo enfatizó el artículo 12 de la Ley 2213 de 2022, antes artículo 14 del Decreto 806 de 2020. </w:t>
      </w:r>
    </w:p>
    <w:p w14:paraId="061BE2A3" w14:textId="77777777" w:rsidR="0057158C" w:rsidRDefault="0057158C" w:rsidP="0057158C">
      <w:pPr>
        <w:pStyle w:val="Default"/>
        <w:jc w:val="both"/>
        <w:rPr>
          <w:rFonts w:cstheme="minorBidi"/>
          <w:color w:val="auto"/>
          <w:sz w:val="28"/>
          <w:szCs w:val="28"/>
        </w:rPr>
      </w:pPr>
    </w:p>
    <w:p w14:paraId="55343DF1" w14:textId="77777777" w:rsidR="00D450D1" w:rsidRDefault="00D450D1" w:rsidP="00737B2B">
      <w:pPr>
        <w:pStyle w:val="Default"/>
        <w:jc w:val="both"/>
        <w:rPr>
          <w:color w:val="auto"/>
          <w:sz w:val="28"/>
          <w:szCs w:val="28"/>
        </w:rPr>
      </w:pPr>
      <w:r>
        <w:rPr>
          <w:rFonts w:cstheme="minorBidi"/>
          <w:color w:val="auto"/>
          <w:sz w:val="28"/>
          <w:szCs w:val="28"/>
        </w:rPr>
        <w:t>En ese sentido se ha pronunciado la Corte Suprema de Justicia en su Sala de Casación Civil mediante providencia STC12927-2022 proferida el 26 de septiembre de 2022, cuando señaló que si bien el legislador privilegió lo escrito sobre lo oral en la segunda instancia, est</w:t>
      </w:r>
      <w:r>
        <w:rPr>
          <w:color w:val="auto"/>
          <w:sz w:val="28"/>
          <w:szCs w:val="28"/>
        </w:rPr>
        <w:t xml:space="preserve">o no “exoneró del deber de «sustentar» dentro del término allí previsto, esto es, a más tardar dentro de los cinco (5) días siguientes a la ejecutoria del auto que admite la alzada, que de no atenderlo acarrea la declaratoria de deserción y, por ende, por su propia omisión, la imposibilidad de acceder a la segunda instancia lo que aleja </w:t>
      </w:r>
      <w:proofErr w:type="spellStart"/>
      <w:r>
        <w:rPr>
          <w:color w:val="auto"/>
          <w:sz w:val="28"/>
          <w:szCs w:val="28"/>
        </w:rPr>
        <w:t>irreflexividad</w:t>
      </w:r>
      <w:proofErr w:type="spellEnd"/>
      <w:r>
        <w:rPr>
          <w:color w:val="auto"/>
          <w:sz w:val="28"/>
          <w:szCs w:val="28"/>
        </w:rPr>
        <w:t xml:space="preserve"> en la interpretación, o exceso manifiesto en el rito, o desproporcionalidad en la decisión” (negrilla fuera de texto). </w:t>
      </w:r>
    </w:p>
    <w:p w14:paraId="784DDF0D" w14:textId="77777777" w:rsidR="0057158C" w:rsidRDefault="0057158C" w:rsidP="00737B2B">
      <w:pPr>
        <w:pStyle w:val="Default"/>
        <w:jc w:val="both"/>
        <w:rPr>
          <w:color w:val="auto"/>
          <w:sz w:val="28"/>
          <w:szCs w:val="28"/>
        </w:rPr>
      </w:pPr>
    </w:p>
    <w:p w14:paraId="50392D20" w14:textId="76D22E79" w:rsidR="00D450D1" w:rsidRDefault="00D450D1" w:rsidP="00737B2B">
      <w:pPr>
        <w:pStyle w:val="Default"/>
        <w:jc w:val="both"/>
        <w:rPr>
          <w:color w:val="auto"/>
          <w:sz w:val="28"/>
          <w:szCs w:val="28"/>
        </w:rPr>
      </w:pPr>
      <w:r>
        <w:rPr>
          <w:color w:val="auto"/>
          <w:sz w:val="28"/>
          <w:szCs w:val="28"/>
        </w:rPr>
        <w:t xml:space="preserve">4. Y es que, desde la Ley 1564 de 2012, al modificar el trámite de la apelación ante el juez de segunda instancia, se delinearon varios escenarios claramente diferenciados: la admisión, la sustentación y la decisión, sin perjuicio del decreto y práctica de pruebas cuando ello sea procedente. </w:t>
      </w:r>
    </w:p>
    <w:p w14:paraId="787177F3" w14:textId="77777777" w:rsidR="0057158C" w:rsidRDefault="0057158C" w:rsidP="00737B2B">
      <w:pPr>
        <w:pStyle w:val="Default"/>
        <w:jc w:val="both"/>
        <w:rPr>
          <w:color w:val="auto"/>
          <w:sz w:val="28"/>
          <w:szCs w:val="28"/>
        </w:rPr>
      </w:pPr>
    </w:p>
    <w:p w14:paraId="3C851804" w14:textId="5E72E2BE" w:rsidR="00D450D1" w:rsidRDefault="00D450D1" w:rsidP="00737B2B">
      <w:pPr>
        <w:pStyle w:val="Default"/>
        <w:jc w:val="both"/>
        <w:rPr>
          <w:color w:val="auto"/>
          <w:sz w:val="28"/>
          <w:szCs w:val="28"/>
        </w:rPr>
      </w:pPr>
      <w:r>
        <w:rPr>
          <w:color w:val="auto"/>
          <w:sz w:val="28"/>
          <w:szCs w:val="28"/>
        </w:rPr>
        <w:t xml:space="preserve">En primer lugar, al ad </w:t>
      </w:r>
      <w:proofErr w:type="spellStart"/>
      <w:r>
        <w:rPr>
          <w:color w:val="auto"/>
          <w:sz w:val="28"/>
          <w:szCs w:val="28"/>
        </w:rPr>
        <w:t>quem</w:t>
      </w:r>
      <w:proofErr w:type="spellEnd"/>
      <w:r>
        <w:rPr>
          <w:color w:val="auto"/>
          <w:sz w:val="28"/>
          <w:szCs w:val="28"/>
        </w:rPr>
        <w:t xml:space="preserve"> corresponde realizar el examen preliminar (artículo 325) para constatar el cumplimiento de todas las exigencias de la ley: oportunidad, legitimación, planteamiento de los reparos concretos ante el a quo (artículo 322, numeral 3), la procedencia de la apelación (artículo 321); y satisfechos estos se admite el recurso en el efecto correspondiente. </w:t>
      </w:r>
    </w:p>
    <w:p w14:paraId="6EDA675C" w14:textId="77777777" w:rsidR="0057158C" w:rsidRDefault="0057158C" w:rsidP="00737B2B">
      <w:pPr>
        <w:pStyle w:val="Default"/>
        <w:jc w:val="both"/>
        <w:rPr>
          <w:color w:val="auto"/>
          <w:sz w:val="28"/>
          <w:szCs w:val="28"/>
        </w:rPr>
      </w:pPr>
    </w:p>
    <w:p w14:paraId="58F720CD" w14:textId="341398D1" w:rsidR="00D450D1" w:rsidRDefault="00D450D1" w:rsidP="00737B2B">
      <w:pPr>
        <w:pStyle w:val="Default"/>
        <w:jc w:val="both"/>
        <w:rPr>
          <w:color w:val="auto"/>
          <w:sz w:val="28"/>
          <w:szCs w:val="28"/>
        </w:rPr>
      </w:pPr>
      <w:r>
        <w:rPr>
          <w:color w:val="auto"/>
          <w:sz w:val="28"/>
          <w:szCs w:val="28"/>
        </w:rPr>
        <w:t xml:space="preserve">La segunda fase, es carga del apelante, quien a partir de los reparos concretos que anunció ante el a quo, le incumbe exponer </w:t>
      </w:r>
      <w:r>
        <w:rPr>
          <w:color w:val="auto"/>
          <w:sz w:val="28"/>
          <w:szCs w:val="28"/>
        </w:rPr>
        <w:lastRenderedPageBreak/>
        <w:t xml:space="preserve">las razones de su inconformidad con la providencia apelada, esto es, ante el Superior debe sustentar el recurso. </w:t>
      </w:r>
    </w:p>
    <w:p w14:paraId="0B6470AB" w14:textId="77777777" w:rsidR="0057158C" w:rsidRDefault="0057158C" w:rsidP="00737B2B">
      <w:pPr>
        <w:pStyle w:val="Default"/>
        <w:jc w:val="both"/>
        <w:rPr>
          <w:color w:val="auto"/>
          <w:sz w:val="28"/>
          <w:szCs w:val="28"/>
        </w:rPr>
      </w:pPr>
    </w:p>
    <w:p w14:paraId="10FEF74C" w14:textId="77777777" w:rsidR="0057158C" w:rsidRDefault="00D450D1" w:rsidP="0057158C">
      <w:pPr>
        <w:pStyle w:val="Default"/>
        <w:jc w:val="both"/>
        <w:rPr>
          <w:rFonts w:cstheme="minorBidi"/>
          <w:color w:val="auto"/>
          <w:sz w:val="28"/>
          <w:szCs w:val="28"/>
        </w:rPr>
      </w:pPr>
      <w:r>
        <w:rPr>
          <w:color w:val="auto"/>
          <w:sz w:val="28"/>
          <w:szCs w:val="28"/>
        </w:rPr>
        <w:t xml:space="preserve">Es verdad que el artículo 327 ídem estableció que tal carga debía satisfacerse en la audiencia de sustentación y fallo, por supuesto de manera oral, en la que “El apelante deberá sujetar su alegación a desarrollar los argumentos expuestos ante el juez de primera instancia”; en la actualidad es norma </w:t>
      </w:r>
      <w:r>
        <w:rPr>
          <w:rFonts w:cstheme="minorBidi"/>
          <w:color w:val="auto"/>
          <w:sz w:val="28"/>
          <w:szCs w:val="28"/>
        </w:rPr>
        <w:t xml:space="preserve">que debe aplicarse en concordancia con el artículo 12 de la Ley 2213 de 2022, que indica: </w:t>
      </w:r>
    </w:p>
    <w:p w14:paraId="3941302B" w14:textId="77777777" w:rsidR="0057158C" w:rsidRDefault="0057158C" w:rsidP="00737B2B">
      <w:pPr>
        <w:pStyle w:val="Default"/>
        <w:jc w:val="both"/>
        <w:rPr>
          <w:rFonts w:cstheme="minorBidi"/>
          <w:color w:val="auto"/>
          <w:sz w:val="28"/>
          <w:szCs w:val="28"/>
        </w:rPr>
      </w:pPr>
    </w:p>
    <w:p w14:paraId="21C11CF3" w14:textId="30E76CAF" w:rsidR="00D450D1" w:rsidRPr="00FE1E47" w:rsidRDefault="00D450D1" w:rsidP="00737B2B">
      <w:pPr>
        <w:pStyle w:val="Default"/>
        <w:jc w:val="both"/>
        <w:rPr>
          <w:rFonts w:cstheme="minorBidi"/>
          <w:i/>
          <w:iCs/>
          <w:color w:val="auto"/>
          <w:sz w:val="28"/>
          <w:szCs w:val="28"/>
        </w:rPr>
      </w:pPr>
      <w:r w:rsidRPr="00FE1E47">
        <w:rPr>
          <w:rFonts w:cstheme="minorBidi"/>
          <w:i/>
          <w:iCs/>
          <w:color w:val="auto"/>
          <w:sz w:val="28"/>
          <w:szCs w:val="28"/>
        </w:rPr>
        <w:t xml:space="preserve">«ARTÍCULO 12. APELACIÓN DE SENTENCIAS EN MATERIA CIVIL Y FAMILIA. El recurso de apelación contra sentencia en los procesos civiles y de familia, se tramitará así: </w:t>
      </w:r>
    </w:p>
    <w:p w14:paraId="7B788A89" w14:textId="77777777" w:rsidR="00FE1E47" w:rsidRPr="00FE1E47" w:rsidRDefault="00FE1E47" w:rsidP="00737B2B">
      <w:pPr>
        <w:pStyle w:val="Default"/>
        <w:jc w:val="both"/>
        <w:rPr>
          <w:rFonts w:cstheme="minorBidi"/>
          <w:i/>
          <w:iCs/>
          <w:color w:val="auto"/>
          <w:sz w:val="28"/>
          <w:szCs w:val="28"/>
        </w:rPr>
      </w:pPr>
    </w:p>
    <w:p w14:paraId="08804E54" w14:textId="010A1948" w:rsidR="00D450D1" w:rsidRPr="00FE1E47" w:rsidRDefault="00D450D1" w:rsidP="00737B2B">
      <w:pPr>
        <w:pStyle w:val="Default"/>
        <w:jc w:val="both"/>
        <w:rPr>
          <w:rFonts w:cstheme="minorBidi"/>
          <w:i/>
          <w:iCs/>
          <w:color w:val="auto"/>
          <w:sz w:val="28"/>
          <w:szCs w:val="28"/>
        </w:rPr>
      </w:pPr>
      <w:r w:rsidRPr="00FE1E47">
        <w:rPr>
          <w:rFonts w:cstheme="minorBidi"/>
          <w:i/>
          <w:iCs/>
          <w:color w:val="auto"/>
          <w:sz w:val="28"/>
          <w:szCs w:val="28"/>
        </w:rPr>
        <w:t xml:space="preserve">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 </w:t>
      </w:r>
    </w:p>
    <w:p w14:paraId="56EAA76A" w14:textId="77777777" w:rsidR="00FE1E47" w:rsidRPr="00FE1E47" w:rsidRDefault="00FE1E47" w:rsidP="00737B2B">
      <w:pPr>
        <w:pStyle w:val="Default"/>
        <w:jc w:val="both"/>
        <w:rPr>
          <w:rFonts w:cstheme="minorBidi"/>
          <w:i/>
          <w:iCs/>
          <w:color w:val="auto"/>
          <w:sz w:val="28"/>
          <w:szCs w:val="28"/>
        </w:rPr>
      </w:pPr>
    </w:p>
    <w:p w14:paraId="3D499AE6" w14:textId="5A67B07E" w:rsidR="00D450D1" w:rsidRPr="00FE1E47" w:rsidRDefault="00D450D1" w:rsidP="00737B2B">
      <w:pPr>
        <w:pStyle w:val="Default"/>
        <w:jc w:val="both"/>
        <w:rPr>
          <w:rFonts w:cstheme="minorBidi"/>
          <w:i/>
          <w:iCs/>
          <w:color w:val="auto"/>
          <w:sz w:val="28"/>
          <w:szCs w:val="28"/>
        </w:rPr>
      </w:pPr>
      <w:r w:rsidRPr="00FE1E47">
        <w:rPr>
          <w:rFonts w:cstheme="minorBidi"/>
          <w:i/>
          <w:iCs/>
          <w:color w:val="auto"/>
          <w:sz w:val="28"/>
          <w:szCs w:val="28"/>
        </w:rPr>
        <w:t xml:space="preserve">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 Si se decretan pruebas, el juez fijará fecha y hora para la realización de la audiencia en la que se practicarán, se escucharán alegatos y se dictará sentencia. La sentencia se dictará en los términos establecidos en el Código General del Proceso» (destacado a propósito). </w:t>
      </w:r>
    </w:p>
    <w:p w14:paraId="50840A44" w14:textId="77777777" w:rsidR="00FE1E47" w:rsidRDefault="00FE1E47" w:rsidP="00737B2B">
      <w:pPr>
        <w:pStyle w:val="Default"/>
        <w:jc w:val="both"/>
        <w:rPr>
          <w:rFonts w:cstheme="minorBidi"/>
          <w:color w:val="auto"/>
          <w:sz w:val="28"/>
          <w:szCs w:val="28"/>
        </w:rPr>
      </w:pPr>
    </w:p>
    <w:p w14:paraId="4BC82DBD" w14:textId="03257EF4" w:rsidR="00D450D1" w:rsidRDefault="00D450D1" w:rsidP="00737B2B">
      <w:pPr>
        <w:pStyle w:val="Default"/>
        <w:jc w:val="both"/>
        <w:rPr>
          <w:color w:val="auto"/>
          <w:sz w:val="28"/>
          <w:szCs w:val="28"/>
        </w:rPr>
      </w:pPr>
      <w:r>
        <w:rPr>
          <w:rFonts w:cstheme="minorBidi"/>
          <w:color w:val="auto"/>
          <w:sz w:val="28"/>
          <w:szCs w:val="28"/>
        </w:rPr>
        <w:t xml:space="preserve">Es nítida la intención del legislador de mantener en cabeza del apelante la carga de sustentar el recurso ante el Superior, desarrollando los argumentos en que edifica su disenso -los reparos concretos-, lo cual podrá hacer una vez </w:t>
      </w:r>
      <w:r>
        <w:rPr>
          <w:color w:val="auto"/>
          <w:sz w:val="28"/>
          <w:szCs w:val="28"/>
        </w:rPr>
        <w:t xml:space="preserve">“ejecutoriado el auto que admite el recurso”, admisión que sin duda corresponde </w:t>
      </w:r>
      <w:r>
        <w:rPr>
          <w:color w:val="auto"/>
          <w:sz w:val="28"/>
          <w:szCs w:val="28"/>
        </w:rPr>
        <w:lastRenderedPageBreak/>
        <w:t xml:space="preserve">definir al superior como ya se anotó, y hasta dentro de los 5 días siguientes; reiterando que la desatención de dicha carga acarrea la declaratoria de desierto del recurso. </w:t>
      </w:r>
    </w:p>
    <w:p w14:paraId="07E78F37" w14:textId="77777777" w:rsidR="00FE1E47" w:rsidRDefault="00FE1E47" w:rsidP="00737B2B">
      <w:pPr>
        <w:pStyle w:val="Default"/>
        <w:jc w:val="both"/>
        <w:rPr>
          <w:color w:val="auto"/>
          <w:sz w:val="28"/>
          <w:szCs w:val="28"/>
        </w:rPr>
      </w:pPr>
    </w:p>
    <w:p w14:paraId="2D7DD597" w14:textId="1698A7BE" w:rsidR="00D450D1" w:rsidRDefault="00D450D1" w:rsidP="00FE1E47">
      <w:pPr>
        <w:pStyle w:val="Default"/>
        <w:jc w:val="both"/>
        <w:rPr>
          <w:rFonts w:cstheme="minorBidi"/>
          <w:color w:val="auto"/>
          <w:sz w:val="28"/>
          <w:szCs w:val="28"/>
        </w:rPr>
      </w:pPr>
      <w:r>
        <w:rPr>
          <w:color w:val="auto"/>
          <w:sz w:val="28"/>
          <w:szCs w:val="28"/>
        </w:rPr>
        <w:t xml:space="preserve">5. En el sub lite, evidente es que el recurrente no satisfizo la carga de sustentar la apelación formulada, pese a la advertencia expresa que se le hiciera en ese sentido, la que no podría tenerse por cumplida únicamente con los reproches que presentó en primera instancia, como ut supra </w:t>
      </w:r>
      <w:r>
        <w:rPr>
          <w:rFonts w:cstheme="minorBidi"/>
          <w:color w:val="auto"/>
          <w:sz w:val="28"/>
          <w:szCs w:val="28"/>
        </w:rPr>
        <w:t xml:space="preserve">se indicó, de allí que habría de soportar la consecuencia legal de su remisa conducta. </w:t>
      </w:r>
    </w:p>
    <w:p w14:paraId="2013978E" w14:textId="77777777" w:rsidR="00FE1E47" w:rsidRDefault="00FE1E47" w:rsidP="00737B2B">
      <w:pPr>
        <w:pStyle w:val="Default"/>
        <w:jc w:val="both"/>
        <w:rPr>
          <w:rFonts w:cstheme="minorBidi"/>
          <w:color w:val="auto"/>
          <w:sz w:val="28"/>
          <w:szCs w:val="28"/>
        </w:rPr>
      </w:pPr>
    </w:p>
    <w:p w14:paraId="4F77DD6B" w14:textId="7967D998" w:rsidR="00D450D1" w:rsidRDefault="00D450D1" w:rsidP="00737B2B">
      <w:pPr>
        <w:pStyle w:val="Default"/>
        <w:jc w:val="both"/>
        <w:rPr>
          <w:rFonts w:cstheme="minorBidi"/>
          <w:color w:val="auto"/>
          <w:sz w:val="28"/>
          <w:szCs w:val="28"/>
        </w:rPr>
      </w:pPr>
      <w:r>
        <w:rPr>
          <w:rFonts w:cstheme="minorBidi"/>
          <w:color w:val="auto"/>
          <w:sz w:val="28"/>
          <w:szCs w:val="28"/>
        </w:rPr>
        <w:t xml:space="preserve">6. Empero, en reciente pronunciamiento de la Corte Constitucional, una sala de esa Corporación en sentencia T310 de 2023 dijo que pese a existir una regla de sustentación del recurso de alzada ante el Superior conforme al artículo 14 del Decreto 806 de 2020 (hoy canon 12 de la Ley 2213 de 2022), se debe examinar si en primera instancia se aportó escrito con manifestaciones aptas, fundadas para replicar la decisión emitida por el a quo: </w:t>
      </w:r>
    </w:p>
    <w:p w14:paraId="506EF685" w14:textId="77777777" w:rsidR="00FE1E47" w:rsidRDefault="00FE1E47" w:rsidP="00737B2B">
      <w:pPr>
        <w:pStyle w:val="Default"/>
        <w:jc w:val="both"/>
        <w:rPr>
          <w:rFonts w:cstheme="minorBidi"/>
          <w:color w:val="auto"/>
          <w:sz w:val="28"/>
          <w:szCs w:val="28"/>
        </w:rPr>
      </w:pPr>
    </w:p>
    <w:p w14:paraId="6F88684A" w14:textId="77777777" w:rsidR="00FE1E47" w:rsidRDefault="00D450D1" w:rsidP="00737B2B">
      <w:pPr>
        <w:pStyle w:val="Default"/>
        <w:jc w:val="both"/>
        <w:rPr>
          <w:rFonts w:cstheme="minorBidi"/>
          <w:color w:val="auto"/>
          <w:sz w:val="28"/>
          <w:szCs w:val="28"/>
        </w:rPr>
      </w:pPr>
      <w:r>
        <w:rPr>
          <w:rFonts w:cstheme="minorBidi"/>
          <w:color w:val="auto"/>
          <w:sz w:val="28"/>
          <w:szCs w:val="28"/>
        </w:rPr>
        <w:t xml:space="preserve">«149. Sin embargo, el tribunal aplicó la regla de sustentación del recurso ante el superior de manera excesivamente formal, pues exigió una nueva sustentación por escrito del recurso que, efectivamente, ya estaba sustentado y que hacía parte del expediente que se le remitió. Para la Sala las razones contenidas en el escrito de apelación son claras y suficientes de cara a satisfacer una sustentación del recurso, de acuerdo con la exigencia del artículo 14 del Decreto 806 de 2020. En efecto, no se trata simplemente de los reparos contra la sentencia, sino de verdaderas y suficientes razones que tienen el propósito de discutir los fundamentos de la sentencia de primera instancia. </w:t>
      </w:r>
    </w:p>
    <w:p w14:paraId="6178CAA4" w14:textId="77777777" w:rsidR="00FE1E47" w:rsidRDefault="00FE1E47" w:rsidP="00737B2B">
      <w:pPr>
        <w:pStyle w:val="Default"/>
        <w:jc w:val="both"/>
        <w:rPr>
          <w:rFonts w:cstheme="minorBidi"/>
          <w:color w:val="auto"/>
          <w:sz w:val="28"/>
          <w:szCs w:val="28"/>
        </w:rPr>
      </w:pPr>
    </w:p>
    <w:p w14:paraId="44762A5D" w14:textId="5F15C6CF" w:rsidR="00D450D1" w:rsidRDefault="00D450D1" w:rsidP="00737B2B">
      <w:pPr>
        <w:pStyle w:val="Default"/>
        <w:jc w:val="both"/>
        <w:rPr>
          <w:rFonts w:cstheme="minorBidi"/>
          <w:color w:val="auto"/>
          <w:sz w:val="28"/>
          <w:szCs w:val="28"/>
        </w:rPr>
      </w:pPr>
      <w:r>
        <w:rPr>
          <w:rFonts w:cstheme="minorBidi"/>
          <w:color w:val="auto"/>
          <w:sz w:val="28"/>
          <w:szCs w:val="28"/>
        </w:rPr>
        <w:t xml:space="preserve">Así, la Sala Civil del Tribunal Superior de Bogotá tenía a su alcance las razones concretas, claras y suficientes de cara a admitir el recurso». </w:t>
      </w:r>
    </w:p>
    <w:p w14:paraId="70B6AF39" w14:textId="77777777" w:rsidR="00FE1E47" w:rsidRDefault="00FE1E47" w:rsidP="00737B2B">
      <w:pPr>
        <w:pStyle w:val="Default"/>
        <w:jc w:val="both"/>
        <w:rPr>
          <w:rFonts w:cstheme="minorBidi"/>
          <w:color w:val="auto"/>
          <w:sz w:val="28"/>
          <w:szCs w:val="28"/>
        </w:rPr>
      </w:pPr>
    </w:p>
    <w:p w14:paraId="69758AF5" w14:textId="77777777" w:rsidR="00FE1E47" w:rsidRDefault="00D450D1" w:rsidP="00FE1E47">
      <w:pPr>
        <w:pStyle w:val="Default"/>
        <w:jc w:val="both"/>
        <w:rPr>
          <w:rFonts w:cstheme="minorBidi"/>
          <w:color w:val="auto"/>
          <w:sz w:val="28"/>
          <w:szCs w:val="28"/>
        </w:rPr>
      </w:pPr>
      <w:r>
        <w:rPr>
          <w:rFonts w:cstheme="minorBidi"/>
          <w:color w:val="auto"/>
          <w:sz w:val="28"/>
          <w:szCs w:val="28"/>
        </w:rPr>
        <w:t xml:space="preserve">7. En este caso, durante el término de ejecutoria de la sentencia de primera instancia, Industrias La Coruña S.A.S., a través de su apoderada, presentó recurso de apelación en el que expuso los reparos respecto de esa decisión y a su vez, desarrolló, in extenso, los argumentos en los que funda su desacuerdo, los que </w:t>
      </w:r>
      <w:r>
        <w:rPr>
          <w:rFonts w:cstheme="minorBidi"/>
          <w:color w:val="auto"/>
          <w:sz w:val="28"/>
          <w:szCs w:val="28"/>
        </w:rPr>
        <w:lastRenderedPageBreak/>
        <w:t>en síntesis, se resumen en que: (i) hubo una indebida valoración probatoria tanto de los testimonios como de los documentos con los que se demostraba el incumplimiento contractual y la responsabilidad de la aseguradora; (</w:t>
      </w:r>
      <w:proofErr w:type="spellStart"/>
      <w:r>
        <w:rPr>
          <w:rFonts w:cstheme="minorBidi"/>
          <w:color w:val="auto"/>
          <w:sz w:val="28"/>
          <w:szCs w:val="28"/>
        </w:rPr>
        <w:t>ii</w:t>
      </w:r>
      <w:proofErr w:type="spellEnd"/>
      <w:r>
        <w:rPr>
          <w:rFonts w:cstheme="minorBidi"/>
          <w:color w:val="auto"/>
          <w:sz w:val="28"/>
          <w:szCs w:val="28"/>
        </w:rPr>
        <w:t xml:space="preserve">) no se aplicó la consecuencia procesal que consagra el artículo 97 de la Ley 1564 de 2012, ante la falta de contestación o pronunciamiento expreso sobre los hechos por parte de </w:t>
      </w:r>
      <w:proofErr w:type="spellStart"/>
      <w:r>
        <w:rPr>
          <w:rFonts w:cstheme="minorBidi"/>
          <w:color w:val="auto"/>
          <w:sz w:val="28"/>
          <w:szCs w:val="28"/>
        </w:rPr>
        <w:t>Tecnopack</w:t>
      </w:r>
      <w:proofErr w:type="spellEnd"/>
      <w:r>
        <w:rPr>
          <w:rFonts w:cstheme="minorBidi"/>
          <w:color w:val="auto"/>
          <w:sz w:val="28"/>
          <w:szCs w:val="28"/>
        </w:rPr>
        <w:t xml:space="preserve"> S.A.S y (</w:t>
      </w:r>
      <w:proofErr w:type="spellStart"/>
      <w:r>
        <w:rPr>
          <w:rFonts w:cstheme="minorBidi"/>
          <w:color w:val="auto"/>
          <w:sz w:val="28"/>
          <w:szCs w:val="28"/>
        </w:rPr>
        <w:t>iii</w:t>
      </w:r>
      <w:proofErr w:type="spellEnd"/>
      <w:r>
        <w:rPr>
          <w:rFonts w:cstheme="minorBidi"/>
          <w:color w:val="auto"/>
          <w:sz w:val="28"/>
          <w:szCs w:val="28"/>
        </w:rPr>
        <w:t>) se acreditaron los presupuestos procesales para la prosperidad de la acción ejercida.</w:t>
      </w:r>
      <w:r w:rsidR="00FE1E47">
        <w:rPr>
          <w:rFonts w:cstheme="minorBidi"/>
          <w:color w:val="auto"/>
          <w:sz w:val="28"/>
          <w:szCs w:val="28"/>
        </w:rPr>
        <w:t xml:space="preserve"> </w:t>
      </w:r>
    </w:p>
    <w:p w14:paraId="65CA8253" w14:textId="77777777" w:rsidR="00FE1E47" w:rsidRDefault="00FE1E47" w:rsidP="00FE1E47">
      <w:pPr>
        <w:pStyle w:val="Default"/>
        <w:jc w:val="both"/>
        <w:rPr>
          <w:rFonts w:cstheme="minorBidi"/>
          <w:color w:val="auto"/>
          <w:sz w:val="28"/>
          <w:szCs w:val="28"/>
        </w:rPr>
      </w:pPr>
    </w:p>
    <w:p w14:paraId="5B5F602E" w14:textId="5D60CDF8" w:rsidR="00D450D1" w:rsidRDefault="00D450D1" w:rsidP="00FE1E47">
      <w:pPr>
        <w:pStyle w:val="Default"/>
        <w:jc w:val="both"/>
        <w:rPr>
          <w:rFonts w:cstheme="minorBidi"/>
          <w:color w:val="auto"/>
          <w:sz w:val="28"/>
          <w:szCs w:val="28"/>
        </w:rPr>
      </w:pPr>
      <w:r>
        <w:rPr>
          <w:rFonts w:cstheme="minorBidi"/>
          <w:color w:val="auto"/>
          <w:sz w:val="28"/>
          <w:szCs w:val="28"/>
        </w:rPr>
        <w:t xml:space="preserve">7.1. De lo anterior, emerge que se indicó el reproche frente a la determinación cuestionada y a continuación el fundamento legal que se invoca como motivo del recurso. </w:t>
      </w:r>
    </w:p>
    <w:p w14:paraId="252BDFA8" w14:textId="77777777" w:rsidR="00FE1E47" w:rsidRDefault="00FE1E47" w:rsidP="00737B2B">
      <w:pPr>
        <w:pStyle w:val="Default"/>
        <w:jc w:val="both"/>
        <w:rPr>
          <w:rFonts w:cstheme="minorBidi"/>
          <w:color w:val="auto"/>
          <w:sz w:val="28"/>
          <w:szCs w:val="28"/>
        </w:rPr>
      </w:pPr>
    </w:p>
    <w:p w14:paraId="74F9AA3C" w14:textId="24F6A530" w:rsidR="00D450D1" w:rsidRDefault="00D450D1" w:rsidP="00737B2B">
      <w:pPr>
        <w:pStyle w:val="Default"/>
        <w:jc w:val="both"/>
        <w:rPr>
          <w:rFonts w:cstheme="minorBidi"/>
          <w:color w:val="auto"/>
          <w:sz w:val="28"/>
          <w:szCs w:val="28"/>
        </w:rPr>
      </w:pPr>
      <w:r>
        <w:rPr>
          <w:rFonts w:cstheme="minorBidi"/>
          <w:color w:val="auto"/>
          <w:sz w:val="28"/>
          <w:szCs w:val="28"/>
        </w:rPr>
        <w:t xml:space="preserve">Dentro de ese contexto, pese a la desidia mostrada en esta instancia por la sociedad apelante, siguiendo los derroteros de la Corte Constitucional, ha de considerarse sustentado el recurso de apelación, exclusivamente en lo manifestado ante el juez de primera instancia. Por lo cual se dispondrá que por Secretaría se surta el traslado a la parte no recurrente. </w:t>
      </w:r>
    </w:p>
    <w:p w14:paraId="1C1C76B5" w14:textId="77777777" w:rsidR="00FE1E47" w:rsidRDefault="00FE1E47" w:rsidP="00737B2B">
      <w:pPr>
        <w:pStyle w:val="Default"/>
        <w:jc w:val="both"/>
        <w:rPr>
          <w:rFonts w:cstheme="minorBidi"/>
          <w:color w:val="auto"/>
          <w:sz w:val="28"/>
          <w:szCs w:val="28"/>
        </w:rPr>
      </w:pPr>
    </w:p>
    <w:p w14:paraId="2904C4B9" w14:textId="43C5F388" w:rsidR="00D450D1" w:rsidRDefault="00D450D1" w:rsidP="00737B2B">
      <w:pPr>
        <w:pStyle w:val="Default"/>
        <w:jc w:val="both"/>
        <w:rPr>
          <w:rFonts w:cstheme="minorBidi"/>
          <w:color w:val="auto"/>
          <w:sz w:val="28"/>
          <w:szCs w:val="28"/>
        </w:rPr>
      </w:pPr>
      <w:r>
        <w:rPr>
          <w:rFonts w:cstheme="minorBidi"/>
          <w:color w:val="auto"/>
          <w:sz w:val="28"/>
          <w:szCs w:val="28"/>
        </w:rPr>
        <w:t xml:space="preserve">Decisión </w:t>
      </w:r>
    </w:p>
    <w:p w14:paraId="0D850964" w14:textId="77777777" w:rsidR="00FE1E47" w:rsidRDefault="00FE1E47" w:rsidP="00737B2B">
      <w:pPr>
        <w:pStyle w:val="Default"/>
        <w:jc w:val="both"/>
        <w:rPr>
          <w:rFonts w:cstheme="minorBidi"/>
          <w:color w:val="auto"/>
          <w:sz w:val="28"/>
          <w:szCs w:val="28"/>
        </w:rPr>
      </w:pPr>
    </w:p>
    <w:p w14:paraId="36FBA9AD" w14:textId="1F2FF2DF" w:rsidR="00D450D1" w:rsidRDefault="00D450D1" w:rsidP="00737B2B">
      <w:pPr>
        <w:pStyle w:val="Default"/>
        <w:jc w:val="both"/>
        <w:rPr>
          <w:rFonts w:cstheme="minorBidi"/>
          <w:color w:val="auto"/>
          <w:sz w:val="28"/>
          <w:szCs w:val="28"/>
        </w:rPr>
      </w:pPr>
      <w:r>
        <w:rPr>
          <w:rFonts w:cstheme="minorBidi"/>
          <w:color w:val="auto"/>
          <w:sz w:val="28"/>
          <w:szCs w:val="28"/>
        </w:rPr>
        <w:t xml:space="preserve">Por lo expuesto en precedencia, el Tribunal Superior del Distrito Judicial de Bogotá, D.C., Sala Civil de Decisión RESUELVE: </w:t>
      </w:r>
    </w:p>
    <w:p w14:paraId="0604A02E" w14:textId="77777777" w:rsidR="00FE1E47" w:rsidRDefault="00FE1E47" w:rsidP="00737B2B">
      <w:pPr>
        <w:pStyle w:val="Default"/>
        <w:jc w:val="both"/>
        <w:rPr>
          <w:rFonts w:cstheme="minorBidi"/>
          <w:color w:val="auto"/>
          <w:sz w:val="28"/>
          <w:szCs w:val="28"/>
        </w:rPr>
      </w:pPr>
    </w:p>
    <w:p w14:paraId="6FA91BB9" w14:textId="0B02D07A" w:rsidR="00D450D1" w:rsidRDefault="00D450D1" w:rsidP="00737B2B">
      <w:pPr>
        <w:pStyle w:val="Default"/>
        <w:jc w:val="both"/>
        <w:rPr>
          <w:rFonts w:cstheme="minorBidi"/>
          <w:color w:val="auto"/>
          <w:sz w:val="28"/>
          <w:szCs w:val="28"/>
        </w:rPr>
      </w:pPr>
      <w:r>
        <w:rPr>
          <w:rFonts w:cstheme="minorBidi"/>
          <w:color w:val="auto"/>
          <w:sz w:val="28"/>
          <w:szCs w:val="28"/>
        </w:rPr>
        <w:t xml:space="preserve">1. TENER por sustentado el recurso de apelación propiciado por la parte demandante contra la sentencia emitida el 5 de septiembre de 2023 por el Juzgado 37 Civil del Circuito de Bogotá. </w:t>
      </w:r>
    </w:p>
    <w:p w14:paraId="5EA06E4E" w14:textId="77777777" w:rsidR="00FE1E47" w:rsidRDefault="00FE1E47" w:rsidP="00737B2B">
      <w:pPr>
        <w:pStyle w:val="Default"/>
        <w:jc w:val="both"/>
        <w:rPr>
          <w:rFonts w:cstheme="minorBidi"/>
          <w:color w:val="auto"/>
          <w:sz w:val="28"/>
          <w:szCs w:val="28"/>
        </w:rPr>
      </w:pPr>
    </w:p>
    <w:p w14:paraId="45998C28" w14:textId="7A81BF9A" w:rsidR="00D450D1" w:rsidRDefault="00D450D1" w:rsidP="00737B2B">
      <w:pPr>
        <w:pStyle w:val="Default"/>
        <w:jc w:val="both"/>
        <w:rPr>
          <w:rFonts w:cstheme="minorBidi"/>
          <w:color w:val="auto"/>
          <w:sz w:val="28"/>
          <w:szCs w:val="28"/>
        </w:rPr>
      </w:pPr>
      <w:r>
        <w:rPr>
          <w:rFonts w:cstheme="minorBidi"/>
          <w:color w:val="auto"/>
          <w:sz w:val="28"/>
          <w:szCs w:val="28"/>
        </w:rPr>
        <w:t xml:space="preserve">2. Por Secretaría, confiérase traslado a la parte ejecutante por el término de 5 días (artículo 12 Ley 2213 de 2022); a quien se le permitirá el acceso al archivo en el que reposa la sustentación del recurso de alzada. </w:t>
      </w:r>
    </w:p>
    <w:p w14:paraId="68B1387B" w14:textId="77777777" w:rsidR="00FE1E47" w:rsidRDefault="00FE1E47" w:rsidP="00737B2B">
      <w:pPr>
        <w:pStyle w:val="Default"/>
        <w:jc w:val="both"/>
        <w:rPr>
          <w:rFonts w:cstheme="minorBidi"/>
          <w:color w:val="auto"/>
          <w:sz w:val="28"/>
          <w:szCs w:val="28"/>
        </w:rPr>
      </w:pPr>
    </w:p>
    <w:p w14:paraId="2EA2AF6D" w14:textId="4BB48DD0" w:rsidR="00D450D1" w:rsidRDefault="00D450D1" w:rsidP="00737B2B">
      <w:pPr>
        <w:pStyle w:val="Default"/>
        <w:jc w:val="both"/>
        <w:rPr>
          <w:rFonts w:cstheme="minorBidi"/>
          <w:color w:val="auto"/>
          <w:sz w:val="28"/>
          <w:szCs w:val="28"/>
        </w:rPr>
      </w:pPr>
      <w:r>
        <w:rPr>
          <w:rFonts w:cstheme="minorBidi"/>
          <w:color w:val="auto"/>
          <w:sz w:val="28"/>
          <w:szCs w:val="28"/>
        </w:rPr>
        <w:t xml:space="preserve">Notifíquese, </w:t>
      </w:r>
    </w:p>
    <w:p w14:paraId="6E2EE961" w14:textId="77777777" w:rsidR="00FE1E47" w:rsidRDefault="00FE1E47" w:rsidP="00737B2B">
      <w:pPr>
        <w:pStyle w:val="Default"/>
        <w:jc w:val="both"/>
        <w:rPr>
          <w:rFonts w:cstheme="minorBidi"/>
          <w:color w:val="auto"/>
          <w:sz w:val="28"/>
          <w:szCs w:val="28"/>
        </w:rPr>
      </w:pPr>
    </w:p>
    <w:p w14:paraId="3230BAB8" w14:textId="71D0B14E" w:rsidR="00D450D1" w:rsidRDefault="00D450D1" w:rsidP="00737B2B">
      <w:pPr>
        <w:pStyle w:val="Default"/>
        <w:jc w:val="both"/>
        <w:rPr>
          <w:rFonts w:cstheme="minorBidi"/>
          <w:color w:val="auto"/>
          <w:sz w:val="28"/>
          <w:szCs w:val="28"/>
        </w:rPr>
      </w:pPr>
      <w:r>
        <w:rPr>
          <w:rFonts w:cstheme="minorBidi"/>
          <w:color w:val="auto"/>
          <w:sz w:val="28"/>
          <w:szCs w:val="28"/>
        </w:rPr>
        <w:t xml:space="preserve">RUTH ELENA GALVIS VERGARA </w:t>
      </w:r>
    </w:p>
    <w:p w14:paraId="127801AF" w14:textId="77777777" w:rsidR="00D450D1" w:rsidRDefault="00D450D1" w:rsidP="00737B2B">
      <w:pPr>
        <w:pStyle w:val="Default"/>
        <w:jc w:val="both"/>
        <w:rPr>
          <w:rFonts w:cstheme="minorBidi"/>
          <w:color w:val="auto"/>
          <w:sz w:val="28"/>
          <w:szCs w:val="28"/>
        </w:rPr>
      </w:pPr>
      <w:r>
        <w:rPr>
          <w:rFonts w:cstheme="minorBidi"/>
          <w:color w:val="auto"/>
          <w:sz w:val="28"/>
          <w:szCs w:val="28"/>
        </w:rPr>
        <w:t xml:space="preserve">Magistrada </w:t>
      </w:r>
    </w:p>
    <w:p w14:paraId="20E54C13" w14:textId="77777777" w:rsidR="00D450D1" w:rsidRDefault="00D450D1" w:rsidP="00737B2B">
      <w:pPr>
        <w:pStyle w:val="Default"/>
        <w:jc w:val="both"/>
        <w:rPr>
          <w:rFonts w:cstheme="minorBidi"/>
          <w:color w:val="auto"/>
          <w:sz w:val="28"/>
          <w:szCs w:val="28"/>
        </w:rPr>
      </w:pPr>
      <w:r>
        <w:rPr>
          <w:rFonts w:cstheme="minorBidi"/>
          <w:color w:val="auto"/>
          <w:sz w:val="28"/>
          <w:szCs w:val="28"/>
        </w:rPr>
        <w:t xml:space="preserve">-2- </w:t>
      </w:r>
    </w:p>
    <w:p w14:paraId="17A442E8"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lastRenderedPageBreak/>
        <w:t xml:space="preserve">Firmado Por: </w:t>
      </w:r>
    </w:p>
    <w:p w14:paraId="13A77522"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Ruth Elena Galvis Vergara </w:t>
      </w:r>
    </w:p>
    <w:p w14:paraId="1A454B55"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6F67B545"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Sala Civil Tribunal Superior De Bogotá, D.C. - Bogotá D.C., </w:t>
      </w:r>
    </w:p>
    <w:p w14:paraId="78A21D83"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7E5317C2"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54C36057"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6653D4FA"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b3cb41fe847b3b003128edad217582bd408b00d9595d28fb122a6fd8523432e2 </w:t>
      </w:r>
    </w:p>
    <w:p w14:paraId="391E5FD3" w14:textId="77777777" w:rsidR="00D450D1" w:rsidRDefault="00D450D1" w:rsidP="00737B2B">
      <w:pPr>
        <w:pStyle w:val="Default"/>
        <w:jc w:val="both"/>
        <w:rPr>
          <w:rFonts w:ascii="Arial" w:hAnsi="Arial" w:cs="Arial"/>
          <w:color w:val="auto"/>
          <w:sz w:val="16"/>
          <w:szCs w:val="16"/>
        </w:rPr>
      </w:pPr>
      <w:r>
        <w:rPr>
          <w:rFonts w:ascii="Arial" w:hAnsi="Arial" w:cs="Arial"/>
          <w:color w:val="auto"/>
          <w:sz w:val="16"/>
          <w:szCs w:val="16"/>
        </w:rPr>
        <w:t xml:space="preserve">Documento generado en 19/04/2024 02:34:08 PM </w:t>
      </w:r>
    </w:p>
    <w:p w14:paraId="5D4EF5CC" w14:textId="77777777" w:rsidR="00D450D1" w:rsidRDefault="00D450D1" w:rsidP="00737B2B">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5818F755" w14:textId="39386C46" w:rsidR="003F20E9" w:rsidRDefault="00D450D1" w:rsidP="00737B2B">
      <w:pPr>
        <w:jc w:val="both"/>
      </w:pPr>
      <w:r>
        <w:rPr>
          <w:rFonts w:ascii="Arial" w:hAnsi="Arial" w:cs="Arial"/>
          <w:sz w:val="20"/>
          <w:szCs w:val="20"/>
        </w:rPr>
        <w:t>https://procesojudicial.ramajudicial.gov.co/FirmaElectronica</w:t>
      </w:r>
    </w:p>
    <w:sectPr w:rsidR="003F2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Edwardian Script ITC">
    <w:altName w:val="Edwardian Script"/>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63E1"/>
    <w:multiLevelType w:val="hybridMultilevel"/>
    <w:tmpl w:val="077A4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716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BF"/>
    <w:rsid w:val="002705BF"/>
    <w:rsid w:val="003F20E9"/>
    <w:rsid w:val="0057158C"/>
    <w:rsid w:val="00737460"/>
    <w:rsid w:val="00737B2B"/>
    <w:rsid w:val="00B9243D"/>
    <w:rsid w:val="00D450D1"/>
    <w:rsid w:val="00DA03DC"/>
    <w:rsid w:val="00FE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3BA1"/>
  <w15:chartTrackingRefBased/>
  <w15:docId w15:val="{5D712BFE-CB07-4A2C-BF4F-A4B1B660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05BF"/>
    <w:pPr>
      <w:autoSpaceDE w:val="0"/>
      <w:autoSpaceDN w:val="0"/>
      <w:adjustRightInd w:val="0"/>
      <w:spacing w:after="0" w:line="240" w:lineRule="auto"/>
    </w:pPr>
    <w:rPr>
      <w:rFonts w:ascii="Arial Rounded MT Bold" w:hAnsi="Arial Rounded MT Bold" w:cs="Arial Rounded MT Bold"/>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1532</Words>
  <Characters>8432</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2024-04-22T22:06:00Z</dcterms:created>
  <dcterms:modified xsi:type="dcterms:W3CDTF">2024-04-22T22:12:00Z</dcterms:modified>
</cp:coreProperties>
</file>