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67F5" w14:textId="77777777" w:rsidR="006F1F58" w:rsidRDefault="006F1F58">
      <w:pPr>
        <w:rPr>
          <w:rFonts w:ascii="Edwardian Script ITC" w:hAnsi="Edwardian Script ITC" w:cs="Edwardian Script ITC"/>
        </w:rPr>
      </w:pPr>
      <w:r>
        <w:rPr>
          <w:rFonts w:ascii="Edwardian Script ITC" w:hAnsi="Edwardian Script ITC" w:cs="Edwardian Script ITC"/>
        </w:rPr>
        <w:t xml:space="preserve">República de Colombia </w:t>
      </w:r>
    </w:p>
    <w:p w14:paraId="5FFC9616" w14:textId="77777777" w:rsidR="006F1F58" w:rsidRDefault="006F1F58">
      <w:pPr>
        <w:rPr>
          <w:rFonts w:ascii="Edwardian Script ITC" w:hAnsi="Edwardian Script ITC" w:cs="Edwardian Script ITC"/>
        </w:rPr>
      </w:pPr>
      <w:r>
        <w:rPr>
          <w:rFonts w:ascii="Edwardian Script ITC" w:hAnsi="Edwardian Script ITC" w:cs="Edwardian Script ITC"/>
        </w:rPr>
        <w:t xml:space="preserve">Tribunal Superior de Bogotá, D.C. </w:t>
      </w:r>
    </w:p>
    <w:p w14:paraId="5E715FEF" w14:textId="3F7E0117" w:rsidR="00B9243D" w:rsidRDefault="006F1F58">
      <w:pPr>
        <w:rPr>
          <w:rFonts w:ascii="Edwardian Script ITC" w:hAnsi="Edwardian Script ITC" w:cs="Edwardian Script ITC"/>
        </w:rPr>
      </w:pPr>
      <w:r>
        <w:rPr>
          <w:rFonts w:ascii="Edwardian Script ITC" w:hAnsi="Edwardian Script ITC" w:cs="Edwardian Script ITC"/>
        </w:rPr>
        <w:t>Sala Civil</w:t>
      </w:r>
    </w:p>
    <w:p w14:paraId="1587CBBA" w14:textId="77777777" w:rsidR="00BB3731" w:rsidRDefault="00BB3731">
      <w:pPr>
        <w:rPr>
          <w:rFonts w:ascii="Edwardian Script ITC" w:hAnsi="Edwardian Script ITC" w:cs="Edwardian Script ITC"/>
        </w:rPr>
      </w:pPr>
    </w:p>
    <w:p w14:paraId="55B4FAC3" w14:textId="486B3F25" w:rsidR="00FC76F1" w:rsidRDefault="00FC76F1" w:rsidP="00B719DD">
      <w:pPr>
        <w:pStyle w:val="Default"/>
        <w:jc w:val="center"/>
        <w:rPr>
          <w:sz w:val="28"/>
          <w:szCs w:val="28"/>
        </w:rPr>
      </w:pPr>
      <w:r>
        <w:rPr>
          <w:sz w:val="28"/>
          <w:szCs w:val="28"/>
        </w:rPr>
        <w:t>REPÚBLICA DE COLOMBIA</w:t>
      </w:r>
    </w:p>
    <w:p w14:paraId="1B04F1B8" w14:textId="55624A14" w:rsidR="00FC76F1" w:rsidRDefault="00FC76F1" w:rsidP="00B719DD">
      <w:pPr>
        <w:pStyle w:val="Default"/>
        <w:jc w:val="center"/>
        <w:rPr>
          <w:sz w:val="28"/>
          <w:szCs w:val="28"/>
        </w:rPr>
      </w:pPr>
      <w:r>
        <w:rPr>
          <w:sz w:val="28"/>
          <w:szCs w:val="28"/>
        </w:rPr>
        <w:t>TRIBUNAL SUPERIOR DEL DISTRITO JUDICIAL DE</w:t>
      </w:r>
    </w:p>
    <w:p w14:paraId="27B9E262" w14:textId="36C0CC30" w:rsidR="00FC76F1" w:rsidRDefault="00FC76F1" w:rsidP="00B719DD">
      <w:pPr>
        <w:pStyle w:val="Default"/>
        <w:jc w:val="center"/>
        <w:rPr>
          <w:sz w:val="28"/>
          <w:szCs w:val="28"/>
        </w:rPr>
      </w:pPr>
      <w:r>
        <w:rPr>
          <w:sz w:val="28"/>
          <w:szCs w:val="28"/>
        </w:rPr>
        <w:t>BOGOTÁ, D.C.</w:t>
      </w:r>
    </w:p>
    <w:p w14:paraId="212E8878" w14:textId="1D662EFF" w:rsidR="00FC76F1" w:rsidRDefault="00FC76F1" w:rsidP="00B719DD">
      <w:pPr>
        <w:pStyle w:val="Default"/>
        <w:jc w:val="center"/>
        <w:rPr>
          <w:sz w:val="28"/>
          <w:szCs w:val="28"/>
        </w:rPr>
      </w:pPr>
      <w:r>
        <w:rPr>
          <w:sz w:val="28"/>
          <w:szCs w:val="28"/>
        </w:rPr>
        <w:t>SALA CIVIL</w:t>
      </w:r>
    </w:p>
    <w:p w14:paraId="11362648" w14:textId="7425B324" w:rsidR="00FC76F1" w:rsidRDefault="00FC76F1" w:rsidP="00B719DD">
      <w:pPr>
        <w:pStyle w:val="Default"/>
        <w:jc w:val="center"/>
        <w:rPr>
          <w:sz w:val="28"/>
          <w:szCs w:val="28"/>
        </w:rPr>
      </w:pPr>
      <w:r>
        <w:rPr>
          <w:sz w:val="28"/>
          <w:szCs w:val="28"/>
        </w:rPr>
        <w:t>Bogotá, D.C., diecinueve de abril de dos mil veinticuatro.</w:t>
      </w:r>
    </w:p>
    <w:p w14:paraId="012375CF" w14:textId="77777777" w:rsidR="00B719DD" w:rsidRDefault="00B719DD" w:rsidP="00FC76F1">
      <w:pPr>
        <w:pStyle w:val="Default"/>
        <w:rPr>
          <w:sz w:val="22"/>
          <w:szCs w:val="22"/>
        </w:rPr>
      </w:pPr>
    </w:p>
    <w:p w14:paraId="44C4A113" w14:textId="77777777" w:rsidR="00B719DD" w:rsidRDefault="00B719DD" w:rsidP="00FC76F1">
      <w:pPr>
        <w:pStyle w:val="Default"/>
        <w:rPr>
          <w:sz w:val="22"/>
          <w:szCs w:val="22"/>
        </w:rPr>
      </w:pPr>
    </w:p>
    <w:p w14:paraId="656764F5" w14:textId="39A8CBA0" w:rsidR="00FC76F1" w:rsidRDefault="00FC76F1" w:rsidP="00FC76F1">
      <w:pPr>
        <w:pStyle w:val="Default"/>
        <w:rPr>
          <w:sz w:val="22"/>
          <w:szCs w:val="22"/>
        </w:rPr>
      </w:pPr>
      <w:r>
        <w:rPr>
          <w:sz w:val="22"/>
          <w:szCs w:val="22"/>
        </w:rPr>
        <w:t xml:space="preserve">Proceso: </w:t>
      </w:r>
      <w:r w:rsidR="00B719DD">
        <w:rPr>
          <w:sz w:val="22"/>
          <w:szCs w:val="22"/>
        </w:rPr>
        <w:tab/>
      </w:r>
      <w:r w:rsidR="00B719DD">
        <w:rPr>
          <w:sz w:val="22"/>
          <w:szCs w:val="22"/>
        </w:rPr>
        <w:tab/>
      </w:r>
      <w:r>
        <w:rPr>
          <w:sz w:val="22"/>
          <w:szCs w:val="22"/>
        </w:rPr>
        <w:t xml:space="preserve">Verbal </w:t>
      </w:r>
    </w:p>
    <w:p w14:paraId="4A98EBD0" w14:textId="1B98790B" w:rsidR="00FC76F1" w:rsidRDefault="00FC76F1" w:rsidP="00FC76F1">
      <w:pPr>
        <w:pStyle w:val="Default"/>
        <w:rPr>
          <w:sz w:val="22"/>
          <w:szCs w:val="22"/>
        </w:rPr>
      </w:pPr>
      <w:r>
        <w:rPr>
          <w:sz w:val="22"/>
          <w:szCs w:val="22"/>
        </w:rPr>
        <w:t xml:space="preserve">Demandante: </w:t>
      </w:r>
      <w:r w:rsidR="00B719DD">
        <w:rPr>
          <w:sz w:val="22"/>
          <w:szCs w:val="22"/>
        </w:rPr>
        <w:tab/>
      </w:r>
      <w:r>
        <w:rPr>
          <w:sz w:val="22"/>
          <w:szCs w:val="22"/>
        </w:rPr>
        <w:t xml:space="preserve">Industrias La Coruña S.A.S. </w:t>
      </w:r>
    </w:p>
    <w:p w14:paraId="679B581C" w14:textId="133E2DA4" w:rsidR="00FC76F1" w:rsidRDefault="00FC76F1" w:rsidP="00FC76F1">
      <w:pPr>
        <w:pStyle w:val="Default"/>
        <w:rPr>
          <w:sz w:val="22"/>
          <w:szCs w:val="22"/>
        </w:rPr>
      </w:pPr>
      <w:r>
        <w:rPr>
          <w:sz w:val="22"/>
          <w:szCs w:val="22"/>
        </w:rPr>
        <w:t xml:space="preserve">Demandado: </w:t>
      </w:r>
      <w:r w:rsidR="00B719DD">
        <w:rPr>
          <w:sz w:val="22"/>
          <w:szCs w:val="22"/>
        </w:rPr>
        <w:tab/>
      </w:r>
      <w:r w:rsidR="00B719DD">
        <w:rPr>
          <w:sz w:val="22"/>
          <w:szCs w:val="22"/>
        </w:rPr>
        <w:tab/>
      </w:r>
      <w:proofErr w:type="spellStart"/>
      <w:r>
        <w:rPr>
          <w:sz w:val="22"/>
          <w:szCs w:val="22"/>
        </w:rPr>
        <w:t>Tecnopack</w:t>
      </w:r>
      <w:proofErr w:type="spellEnd"/>
      <w:r>
        <w:rPr>
          <w:sz w:val="22"/>
          <w:szCs w:val="22"/>
        </w:rPr>
        <w:t xml:space="preserve"> S.A.S. </w:t>
      </w:r>
    </w:p>
    <w:p w14:paraId="4D902A4C" w14:textId="5369AC44" w:rsidR="00FC76F1" w:rsidRDefault="00FC76F1" w:rsidP="00FC76F1">
      <w:pPr>
        <w:pStyle w:val="Default"/>
        <w:rPr>
          <w:sz w:val="22"/>
          <w:szCs w:val="22"/>
        </w:rPr>
      </w:pPr>
      <w:r>
        <w:rPr>
          <w:sz w:val="22"/>
          <w:szCs w:val="22"/>
        </w:rPr>
        <w:t xml:space="preserve">Radicación: </w:t>
      </w:r>
      <w:r w:rsidR="00B719DD">
        <w:rPr>
          <w:sz w:val="22"/>
          <w:szCs w:val="22"/>
        </w:rPr>
        <w:tab/>
      </w:r>
      <w:r w:rsidR="00B719DD">
        <w:rPr>
          <w:sz w:val="22"/>
          <w:szCs w:val="22"/>
        </w:rPr>
        <w:tab/>
      </w:r>
      <w:r>
        <w:rPr>
          <w:sz w:val="22"/>
          <w:szCs w:val="22"/>
        </w:rPr>
        <w:t xml:space="preserve">110013103037202100306 02 </w:t>
      </w:r>
    </w:p>
    <w:p w14:paraId="2EB396AD" w14:textId="180295AE" w:rsidR="00FC76F1" w:rsidRDefault="00FC76F1" w:rsidP="00FC76F1">
      <w:pPr>
        <w:pStyle w:val="Default"/>
        <w:rPr>
          <w:sz w:val="22"/>
          <w:szCs w:val="22"/>
        </w:rPr>
      </w:pPr>
      <w:r>
        <w:rPr>
          <w:sz w:val="22"/>
          <w:szCs w:val="22"/>
        </w:rPr>
        <w:t xml:space="preserve">Procedencia: </w:t>
      </w:r>
      <w:r w:rsidR="00B719DD">
        <w:rPr>
          <w:sz w:val="22"/>
          <w:szCs w:val="22"/>
        </w:rPr>
        <w:tab/>
      </w:r>
      <w:r>
        <w:rPr>
          <w:sz w:val="22"/>
          <w:szCs w:val="22"/>
        </w:rPr>
        <w:t xml:space="preserve">Juzgado 37 Civil del Circuito de Bogotá </w:t>
      </w:r>
    </w:p>
    <w:p w14:paraId="3AA8485C" w14:textId="29695CED" w:rsidR="00FC76F1" w:rsidRDefault="00FC76F1" w:rsidP="00FC76F1">
      <w:pPr>
        <w:pStyle w:val="Default"/>
        <w:rPr>
          <w:sz w:val="22"/>
          <w:szCs w:val="22"/>
        </w:rPr>
      </w:pPr>
      <w:r>
        <w:rPr>
          <w:sz w:val="22"/>
          <w:szCs w:val="22"/>
        </w:rPr>
        <w:t xml:space="preserve">Asunto: </w:t>
      </w:r>
      <w:r w:rsidR="00B719DD">
        <w:rPr>
          <w:sz w:val="22"/>
          <w:szCs w:val="22"/>
        </w:rPr>
        <w:tab/>
      </w:r>
      <w:r w:rsidR="00B719DD">
        <w:rPr>
          <w:sz w:val="22"/>
          <w:szCs w:val="22"/>
        </w:rPr>
        <w:tab/>
      </w:r>
      <w:r>
        <w:rPr>
          <w:sz w:val="22"/>
          <w:szCs w:val="22"/>
        </w:rPr>
        <w:t xml:space="preserve">Apelación sentencia </w:t>
      </w:r>
    </w:p>
    <w:p w14:paraId="3F14BCDF" w14:textId="77777777" w:rsidR="00B719DD" w:rsidRDefault="00B719DD" w:rsidP="00FC76F1">
      <w:pPr>
        <w:pStyle w:val="Default"/>
        <w:rPr>
          <w:sz w:val="28"/>
          <w:szCs w:val="28"/>
        </w:rPr>
      </w:pPr>
    </w:p>
    <w:p w14:paraId="185003B8" w14:textId="77777777" w:rsidR="00B719DD" w:rsidRDefault="00B719DD" w:rsidP="00FC76F1">
      <w:pPr>
        <w:pStyle w:val="Default"/>
        <w:rPr>
          <w:sz w:val="28"/>
          <w:szCs w:val="28"/>
        </w:rPr>
      </w:pPr>
    </w:p>
    <w:p w14:paraId="64ECBF45" w14:textId="6556695B" w:rsidR="00FC76F1" w:rsidRDefault="00FC76F1" w:rsidP="00B719DD">
      <w:pPr>
        <w:pStyle w:val="Default"/>
        <w:jc w:val="both"/>
        <w:rPr>
          <w:sz w:val="28"/>
          <w:szCs w:val="28"/>
        </w:rPr>
      </w:pPr>
      <w:r>
        <w:rPr>
          <w:sz w:val="28"/>
          <w:szCs w:val="28"/>
        </w:rPr>
        <w:t xml:space="preserve">Revisado el memorial que antecede, previo a resolver sobre la renuncia al poder presentada por la abogada Lucero López Gutiérrez, resulta necesario requerir a la profesional del derecho para que, en el término de la ejecutoria de este proveído, dé cumplimiento a lo dispuesto en el artículo 76 de la Ley 1564 de 2012. </w:t>
      </w:r>
    </w:p>
    <w:p w14:paraId="742D6118" w14:textId="77777777" w:rsidR="00B719DD" w:rsidRDefault="00B719DD" w:rsidP="00B719DD">
      <w:pPr>
        <w:pStyle w:val="Default"/>
        <w:jc w:val="both"/>
        <w:rPr>
          <w:sz w:val="28"/>
          <w:szCs w:val="28"/>
        </w:rPr>
      </w:pPr>
    </w:p>
    <w:p w14:paraId="6972AFB4" w14:textId="199E97AC" w:rsidR="00FC76F1" w:rsidRDefault="00FC76F1" w:rsidP="00B719DD">
      <w:pPr>
        <w:pStyle w:val="Default"/>
        <w:jc w:val="both"/>
        <w:rPr>
          <w:sz w:val="28"/>
          <w:szCs w:val="28"/>
        </w:rPr>
      </w:pPr>
      <w:r>
        <w:rPr>
          <w:sz w:val="28"/>
          <w:szCs w:val="28"/>
        </w:rPr>
        <w:t xml:space="preserve">Tenga en cuenta que, de conformidad con el precitado precepto normativo “La renuncia no pone término al poder sino cinco (5) días después de presentado el memorial de renuncia en el juzgado, acompañado de la comunicación enviada al poderdante en tal sentido” (subraya fuera de texto); no obstante, la referida misiva no fue adosada. </w:t>
      </w:r>
    </w:p>
    <w:p w14:paraId="34E69088" w14:textId="77777777" w:rsidR="00C655E4" w:rsidRDefault="00C655E4" w:rsidP="00B719DD">
      <w:pPr>
        <w:pStyle w:val="Default"/>
        <w:jc w:val="both"/>
        <w:rPr>
          <w:sz w:val="28"/>
          <w:szCs w:val="28"/>
        </w:rPr>
      </w:pPr>
    </w:p>
    <w:p w14:paraId="6FCB6CF8" w14:textId="496EA617" w:rsidR="00FC76F1" w:rsidRDefault="00FC76F1" w:rsidP="00B719DD">
      <w:pPr>
        <w:pStyle w:val="Default"/>
        <w:jc w:val="both"/>
        <w:rPr>
          <w:sz w:val="28"/>
          <w:szCs w:val="28"/>
        </w:rPr>
      </w:pPr>
      <w:r>
        <w:rPr>
          <w:sz w:val="28"/>
          <w:szCs w:val="28"/>
        </w:rPr>
        <w:t xml:space="preserve">Notifíquese, </w:t>
      </w:r>
    </w:p>
    <w:p w14:paraId="7F3EE24E" w14:textId="77777777" w:rsidR="00B719DD" w:rsidRDefault="00B719DD" w:rsidP="00B719DD">
      <w:pPr>
        <w:pStyle w:val="Default"/>
        <w:jc w:val="both"/>
        <w:rPr>
          <w:sz w:val="28"/>
          <w:szCs w:val="28"/>
        </w:rPr>
      </w:pPr>
    </w:p>
    <w:p w14:paraId="6A206B77" w14:textId="0BF2DE17" w:rsidR="00FC76F1" w:rsidRDefault="00FC76F1" w:rsidP="00B719DD">
      <w:pPr>
        <w:pStyle w:val="Default"/>
        <w:jc w:val="both"/>
        <w:rPr>
          <w:sz w:val="28"/>
          <w:szCs w:val="28"/>
        </w:rPr>
      </w:pPr>
      <w:r>
        <w:rPr>
          <w:sz w:val="28"/>
          <w:szCs w:val="28"/>
        </w:rPr>
        <w:t xml:space="preserve">RUTH ELENA GALVIS VERGARA </w:t>
      </w:r>
    </w:p>
    <w:p w14:paraId="78C79A5B" w14:textId="77777777" w:rsidR="00FC76F1" w:rsidRDefault="00FC76F1" w:rsidP="00B719DD">
      <w:pPr>
        <w:pStyle w:val="Default"/>
        <w:jc w:val="both"/>
        <w:rPr>
          <w:sz w:val="28"/>
          <w:szCs w:val="28"/>
        </w:rPr>
      </w:pPr>
      <w:r>
        <w:rPr>
          <w:sz w:val="28"/>
          <w:szCs w:val="28"/>
        </w:rPr>
        <w:t xml:space="preserve">Magistrada </w:t>
      </w:r>
    </w:p>
    <w:p w14:paraId="1C798501" w14:textId="77777777" w:rsidR="00FC76F1" w:rsidRDefault="00FC76F1" w:rsidP="00B719DD">
      <w:pPr>
        <w:pStyle w:val="Default"/>
        <w:jc w:val="both"/>
        <w:rPr>
          <w:sz w:val="28"/>
          <w:szCs w:val="28"/>
        </w:rPr>
      </w:pPr>
      <w:r>
        <w:rPr>
          <w:sz w:val="28"/>
          <w:szCs w:val="28"/>
        </w:rPr>
        <w:t xml:space="preserve">-2- </w:t>
      </w:r>
    </w:p>
    <w:p w14:paraId="120DEF77" w14:textId="77777777" w:rsidR="00B719DD" w:rsidRDefault="00B719DD" w:rsidP="00B719DD">
      <w:pPr>
        <w:pStyle w:val="Default"/>
        <w:jc w:val="both"/>
        <w:rPr>
          <w:rFonts w:ascii="Arial" w:hAnsi="Arial" w:cs="Arial"/>
          <w:color w:val="auto"/>
          <w:sz w:val="16"/>
          <w:szCs w:val="16"/>
        </w:rPr>
      </w:pPr>
    </w:p>
    <w:p w14:paraId="7CF03939" w14:textId="2A7CD541"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Firmado Por: Ruth Elena Galvis Vergara </w:t>
      </w:r>
    </w:p>
    <w:p w14:paraId="26D032F3"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1C3F55D8"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Sala Civil </w:t>
      </w:r>
    </w:p>
    <w:p w14:paraId="44CCF079"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lastRenderedPageBreak/>
        <w:t xml:space="preserve">Tribunal Superior De Bogotá, D.C. - Bogotá D.C., </w:t>
      </w:r>
    </w:p>
    <w:p w14:paraId="053223DC"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6F96507D"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749AB3A2"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6DEA412A"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7e24988f204ee3eeb4cbfa783567430f8170d91b7681769c1ff2504bf92517f8 </w:t>
      </w:r>
    </w:p>
    <w:p w14:paraId="4ED2D714" w14:textId="77777777" w:rsidR="00FC76F1" w:rsidRDefault="00FC76F1" w:rsidP="00B719DD">
      <w:pPr>
        <w:pStyle w:val="Default"/>
        <w:jc w:val="both"/>
        <w:rPr>
          <w:rFonts w:ascii="Arial" w:hAnsi="Arial" w:cs="Arial"/>
          <w:color w:val="auto"/>
          <w:sz w:val="16"/>
          <w:szCs w:val="16"/>
        </w:rPr>
      </w:pPr>
      <w:r>
        <w:rPr>
          <w:rFonts w:ascii="Arial" w:hAnsi="Arial" w:cs="Arial"/>
          <w:color w:val="auto"/>
          <w:sz w:val="16"/>
          <w:szCs w:val="16"/>
        </w:rPr>
        <w:t xml:space="preserve">Documento generado en 19/04/2024 02:34:08 PM </w:t>
      </w:r>
    </w:p>
    <w:p w14:paraId="0991E69F" w14:textId="77777777" w:rsidR="00FC76F1" w:rsidRDefault="00FC76F1" w:rsidP="00B719DD">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7D63AA64" w14:textId="3D4918C2" w:rsidR="00BB3731" w:rsidRDefault="00FC76F1" w:rsidP="00B719DD">
      <w:pPr>
        <w:jc w:val="both"/>
      </w:pPr>
      <w:r>
        <w:rPr>
          <w:rFonts w:ascii="Arial" w:hAnsi="Arial" w:cs="Arial"/>
          <w:sz w:val="20"/>
          <w:szCs w:val="20"/>
        </w:rPr>
        <w:t>https://procesojudicial.ramajudicial.gov.co/FirmaElectronica</w:t>
      </w:r>
    </w:p>
    <w:sectPr w:rsidR="00BB37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Edwardian Script ITC">
    <w:altName w:val="Edwardian Script"/>
    <w:charset w:val="00"/>
    <w:family w:val="script"/>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58"/>
    <w:rsid w:val="006F1F58"/>
    <w:rsid w:val="00737460"/>
    <w:rsid w:val="00B719DD"/>
    <w:rsid w:val="00B9243D"/>
    <w:rsid w:val="00BB3731"/>
    <w:rsid w:val="00C655E4"/>
    <w:rsid w:val="00DA03DC"/>
    <w:rsid w:val="00FC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A499"/>
  <w15:chartTrackingRefBased/>
  <w15:docId w15:val="{8622EF08-2799-4BB2-8F01-12B4555E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76F1"/>
    <w:pPr>
      <w:autoSpaceDE w:val="0"/>
      <w:autoSpaceDN w:val="0"/>
      <w:adjustRightInd w:val="0"/>
      <w:spacing w:after="0" w:line="240" w:lineRule="auto"/>
    </w:pPr>
    <w:rPr>
      <w:rFonts w:ascii="Arial Rounded MT Bold" w:hAnsi="Arial Rounded MT Bold" w:cs="Arial Rounded MT Bold"/>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2024-04-22T21:56:00Z</dcterms:created>
  <dcterms:modified xsi:type="dcterms:W3CDTF">2024-04-22T21:59:00Z</dcterms:modified>
</cp:coreProperties>
</file>