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29FB5" w14:textId="77777777" w:rsidR="0066100D" w:rsidRDefault="00D62FA9">
      <w:pPr>
        <w:jc w:val="center"/>
        <w:rPr>
          <w:b/>
          <w:color w:val="000000"/>
          <w:sz w:val="28"/>
          <w:szCs w:val="28"/>
        </w:rPr>
      </w:pPr>
      <w:r>
        <w:rPr>
          <w:b/>
          <w:color w:val="000000"/>
          <w:sz w:val="28"/>
          <w:szCs w:val="28"/>
        </w:rPr>
        <w:t>REPÚBLICA DE COLOMBIA</w:t>
      </w:r>
    </w:p>
    <w:p w14:paraId="6EF5C522" w14:textId="77777777" w:rsidR="0066100D" w:rsidRDefault="00D62FA9">
      <w:pPr>
        <w:jc w:val="center"/>
        <w:rPr>
          <w:b/>
          <w:color w:val="000000"/>
          <w:sz w:val="28"/>
          <w:szCs w:val="28"/>
        </w:rPr>
      </w:pPr>
      <w:r>
        <w:rPr>
          <w:b/>
          <w:noProof/>
          <w:color w:val="000000"/>
          <w:sz w:val="28"/>
          <w:szCs w:val="28"/>
          <w:lang w:val="es-CO" w:eastAsia="es-CO"/>
        </w:rPr>
        <w:drawing>
          <wp:inline distT="0" distB="0" distL="0" distR="0" wp14:anchorId="4F18BB73" wp14:editId="02DBF88F">
            <wp:extent cx="1012190" cy="101219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012190" cy="1012190"/>
                    </a:xfrm>
                    <a:prstGeom prst="rect">
                      <a:avLst/>
                    </a:prstGeom>
                    <a:ln/>
                  </pic:spPr>
                </pic:pic>
              </a:graphicData>
            </a:graphic>
          </wp:inline>
        </w:drawing>
      </w:r>
    </w:p>
    <w:p w14:paraId="65989625" w14:textId="77777777" w:rsidR="0066100D" w:rsidRDefault="00D62FA9">
      <w:pPr>
        <w:jc w:val="center"/>
        <w:rPr>
          <w:b/>
          <w:color w:val="000000"/>
          <w:sz w:val="28"/>
          <w:szCs w:val="28"/>
        </w:rPr>
      </w:pPr>
      <w:r>
        <w:rPr>
          <w:b/>
          <w:color w:val="000000"/>
          <w:sz w:val="28"/>
          <w:szCs w:val="28"/>
        </w:rPr>
        <w:t>CORTE CONSTITUCIONAL</w:t>
      </w:r>
    </w:p>
    <w:p w14:paraId="29C4FFC1" w14:textId="77777777" w:rsidR="0066100D" w:rsidRDefault="00D62FA9">
      <w:pPr>
        <w:jc w:val="center"/>
        <w:rPr>
          <w:b/>
          <w:color w:val="000000"/>
          <w:sz w:val="28"/>
          <w:szCs w:val="28"/>
        </w:rPr>
      </w:pPr>
      <w:r>
        <w:rPr>
          <w:b/>
          <w:color w:val="000000"/>
          <w:sz w:val="28"/>
          <w:szCs w:val="28"/>
        </w:rPr>
        <w:t>SALA PLENA</w:t>
      </w:r>
    </w:p>
    <w:p w14:paraId="059461B0" w14:textId="77777777" w:rsidR="0066100D" w:rsidRDefault="0066100D">
      <w:pPr>
        <w:jc w:val="center"/>
        <w:rPr>
          <w:b/>
          <w:color w:val="000000"/>
          <w:sz w:val="28"/>
          <w:szCs w:val="28"/>
        </w:rPr>
      </w:pPr>
    </w:p>
    <w:p w14:paraId="287456DC" w14:textId="286952E0" w:rsidR="0066100D" w:rsidRDefault="00D62FA9">
      <w:pPr>
        <w:jc w:val="center"/>
        <w:rPr>
          <w:b/>
          <w:color w:val="000000"/>
          <w:sz w:val="28"/>
          <w:szCs w:val="28"/>
        </w:rPr>
      </w:pPr>
      <w:r>
        <w:rPr>
          <w:b/>
          <w:color w:val="000000"/>
          <w:sz w:val="28"/>
          <w:szCs w:val="28"/>
        </w:rPr>
        <w:t xml:space="preserve">AUTO </w:t>
      </w:r>
      <w:r w:rsidR="00394E97">
        <w:rPr>
          <w:b/>
          <w:color w:val="000000"/>
          <w:sz w:val="28"/>
          <w:szCs w:val="28"/>
        </w:rPr>
        <w:t>2974</w:t>
      </w:r>
      <w:r>
        <w:rPr>
          <w:b/>
          <w:color w:val="000000"/>
          <w:sz w:val="28"/>
          <w:szCs w:val="28"/>
        </w:rPr>
        <w:t xml:space="preserve"> DE 2023</w:t>
      </w:r>
    </w:p>
    <w:p w14:paraId="1234F910" w14:textId="77777777" w:rsidR="0066100D" w:rsidRDefault="0066100D">
      <w:pPr>
        <w:jc w:val="both"/>
        <w:rPr>
          <w:color w:val="000000"/>
          <w:sz w:val="28"/>
          <w:szCs w:val="28"/>
        </w:rPr>
      </w:pPr>
    </w:p>
    <w:p w14:paraId="154384B3" w14:textId="77777777" w:rsidR="0066100D" w:rsidRDefault="00D62FA9">
      <w:pPr>
        <w:ind w:left="3686"/>
        <w:jc w:val="both"/>
        <w:rPr>
          <w:color w:val="000000"/>
          <w:sz w:val="28"/>
          <w:szCs w:val="28"/>
        </w:rPr>
      </w:pPr>
      <w:r>
        <w:rPr>
          <w:b/>
          <w:color w:val="000000"/>
          <w:sz w:val="28"/>
          <w:szCs w:val="28"/>
        </w:rPr>
        <w:t>Referencia</w:t>
      </w:r>
      <w:r>
        <w:rPr>
          <w:color w:val="000000"/>
          <w:sz w:val="28"/>
          <w:szCs w:val="28"/>
        </w:rPr>
        <w:t>: expediente CJU-4556</w:t>
      </w:r>
    </w:p>
    <w:p w14:paraId="5A468F1B" w14:textId="77777777" w:rsidR="0066100D" w:rsidRDefault="0066100D">
      <w:pPr>
        <w:jc w:val="both"/>
        <w:rPr>
          <w:color w:val="000000"/>
        </w:rPr>
      </w:pPr>
    </w:p>
    <w:p w14:paraId="5FECF4F8" w14:textId="24B1B34B" w:rsidR="0066100D" w:rsidRDefault="00D62FA9">
      <w:pPr>
        <w:ind w:left="3686"/>
        <w:jc w:val="both"/>
        <w:rPr>
          <w:color w:val="000000"/>
          <w:sz w:val="28"/>
          <w:szCs w:val="28"/>
        </w:rPr>
      </w:pPr>
      <w:bookmarkStart w:id="0" w:name="_heading=h.gjdgxs" w:colFirst="0" w:colLast="0"/>
      <w:bookmarkEnd w:id="0"/>
      <w:r>
        <w:rPr>
          <w:color w:val="000000"/>
          <w:sz w:val="28"/>
          <w:szCs w:val="28"/>
        </w:rPr>
        <w:t>Conflicto de jurisdicciones entre el Juzgado 18 Laboral del Circuito de Bogotá y el Juzgado 5 Administrativo Oral del Circuito de la misma ciudad.</w:t>
      </w:r>
    </w:p>
    <w:p w14:paraId="207EB918" w14:textId="77777777" w:rsidR="0066100D" w:rsidRDefault="00D62FA9">
      <w:pPr>
        <w:ind w:left="3686"/>
        <w:jc w:val="both"/>
        <w:rPr>
          <w:color w:val="000000"/>
        </w:rPr>
      </w:pPr>
      <w:r>
        <w:rPr>
          <w:color w:val="000000"/>
          <w:sz w:val="28"/>
          <w:szCs w:val="28"/>
        </w:rPr>
        <w:t xml:space="preserve"> </w:t>
      </w:r>
    </w:p>
    <w:p w14:paraId="388F8FE2" w14:textId="77777777" w:rsidR="0066100D" w:rsidRDefault="00D62FA9">
      <w:pPr>
        <w:ind w:left="3686"/>
        <w:jc w:val="both"/>
        <w:rPr>
          <w:b/>
          <w:color w:val="000000"/>
          <w:sz w:val="28"/>
          <w:szCs w:val="28"/>
        </w:rPr>
      </w:pPr>
      <w:r>
        <w:rPr>
          <w:b/>
          <w:color w:val="000000"/>
          <w:sz w:val="28"/>
          <w:szCs w:val="28"/>
        </w:rPr>
        <w:t xml:space="preserve">Magistrada ponente: </w:t>
      </w:r>
    </w:p>
    <w:p w14:paraId="768F937C" w14:textId="77777777" w:rsidR="0066100D" w:rsidRDefault="00D62FA9">
      <w:pPr>
        <w:ind w:left="3686"/>
        <w:jc w:val="both"/>
        <w:rPr>
          <w:color w:val="000000"/>
          <w:sz w:val="28"/>
          <w:szCs w:val="28"/>
        </w:rPr>
      </w:pPr>
      <w:r>
        <w:rPr>
          <w:color w:val="000000"/>
          <w:sz w:val="28"/>
          <w:szCs w:val="28"/>
        </w:rPr>
        <w:t>PAOLA ANDREA MENESES MOSQUERA</w:t>
      </w:r>
    </w:p>
    <w:p w14:paraId="7D19F9B3" w14:textId="77777777" w:rsidR="0066100D" w:rsidRDefault="0066100D">
      <w:pPr>
        <w:jc w:val="both"/>
        <w:rPr>
          <w:color w:val="000000"/>
        </w:rPr>
      </w:pPr>
    </w:p>
    <w:p w14:paraId="688D3964" w14:textId="77777777" w:rsidR="0066100D" w:rsidRDefault="0066100D">
      <w:pPr>
        <w:jc w:val="both"/>
        <w:rPr>
          <w:color w:val="000000"/>
        </w:rPr>
      </w:pPr>
    </w:p>
    <w:p w14:paraId="0CDFAACA" w14:textId="5E2569ED" w:rsidR="0066100D" w:rsidRDefault="00D62FA9">
      <w:pPr>
        <w:jc w:val="both"/>
        <w:rPr>
          <w:color w:val="000000"/>
          <w:sz w:val="28"/>
          <w:szCs w:val="28"/>
        </w:rPr>
      </w:pPr>
      <w:r>
        <w:rPr>
          <w:color w:val="000000"/>
          <w:sz w:val="28"/>
          <w:szCs w:val="28"/>
        </w:rPr>
        <w:t xml:space="preserve">Bogotá D. C., </w:t>
      </w:r>
      <w:r w:rsidR="00394E97">
        <w:rPr>
          <w:color w:val="000000"/>
          <w:sz w:val="28"/>
          <w:szCs w:val="28"/>
        </w:rPr>
        <w:t>veintiocho</w:t>
      </w:r>
      <w:r>
        <w:rPr>
          <w:color w:val="000000"/>
          <w:sz w:val="28"/>
          <w:szCs w:val="28"/>
        </w:rPr>
        <w:t xml:space="preserve"> (</w:t>
      </w:r>
      <w:r w:rsidR="00394E97">
        <w:rPr>
          <w:color w:val="000000"/>
          <w:sz w:val="28"/>
          <w:szCs w:val="28"/>
        </w:rPr>
        <w:t>28</w:t>
      </w:r>
      <w:r>
        <w:rPr>
          <w:color w:val="000000"/>
          <w:sz w:val="28"/>
          <w:szCs w:val="28"/>
        </w:rPr>
        <w:t xml:space="preserve">) de </w:t>
      </w:r>
      <w:r w:rsidR="00394E97">
        <w:rPr>
          <w:color w:val="000000"/>
          <w:sz w:val="28"/>
          <w:szCs w:val="28"/>
        </w:rPr>
        <w:t>noviembre</w:t>
      </w:r>
      <w:r>
        <w:rPr>
          <w:color w:val="000000"/>
          <w:sz w:val="28"/>
          <w:szCs w:val="28"/>
        </w:rPr>
        <w:t xml:space="preserve"> de dos mil veintitrés (2023)</w:t>
      </w:r>
    </w:p>
    <w:p w14:paraId="7BA7CBB7" w14:textId="77777777" w:rsidR="0066100D" w:rsidRDefault="0066100D">
      <w:pPr>
        <w:pBdr>
          <w:top w:val="nil"/>
          <w:left w:val="nil"/>
          <w:bottom w:val="nil"/>
          <w:right w:val="nil"/>
          <w:between w:val="nil"/>
        </w:pBdr>
        <w:jc w:val="both"/>
        <w:rPr>
          <w:color w:val="000000"/>
          <w:sz w:val="28"/>
          <w:szCs w:val="28"/>
        </w:rPr>
      </w:pPr>
    </w:p>
    <w:p w14:paraId="6F3F1E7E" w14:textId="77777777" w:rsidR="0066100D" w:rsidRDefault="00D62FA9">
      <w:pPr>
        <w:pBdr>
          <w:top w:val="nil"/>
          <w:left w:val="nil"/>
          <w:bottom w:val="nil"/>
          <w:right w:val="nil"/>
          <w:between w:val="nil"/>
        </w:pBdr>
        <w:jc w:val="both"/>
        <w:rPr>
          <w:color w:val="000000"/>
          <w:sz w:val="28"/>
          <w:szCs w:val="28"/>
        </w:rPr>
      </w:pPr>
      <w:r>
        <w:rPr>
          <w:color w:val="000000"/>
          <w:sz w:val="28"/>
          <w:szCs w:val="28"/>
        </w:rPr>
        <w:t>La Sala Plena de la Corte Constitucional, en cumplimiento de sus atribuciones constitucionales, en particular, la prevista por el numeral 11 del artículo 241 de la Constitución Política, profiere el siguiente</w:t>
      </w:r>
    </w:p>
    <w:p w14:paraId="6381C115" w14:textId="77777777" w:rsidR="0066100D" w:rsidRDefault="0066100D">
      <w:pPr>
        <w:pBdr>
          <w:top w:val="nil"/>
          <w:left w:val="nil"/>
          <w:bottom w:val="nil"/>
          <w:right w:val="nil"/>
          <w:between w:val="nil"/>
        </w:pBdr>
        <w:jc w:val="center"/>
        <w:rPr>
          <w:b/>
          <w:color w:val="000000"/>
          <w:sz w:val="28"/>
          <w:szCs w:val="28"/>
        </w:rPr>
      </w:pPr>
    </w:p>
    <w:p w14:paraId="03D91F78" w14:textId="77777777" w:rsidR="0066100D" w:rsidRDefault="00D62FA9">
      <w:pPr>
        <w:pBdr>
          <w:top w:val="nil"/>
          <w:left w:val="nil"/>
          <w:bottom w:val="nil"/>
          <w:right w:val="nil"/>
          <w:between w:val="nil"/>
        </w:pBdr>
        <w:jc w:val="center"/>
        <w:rPr>
          <w:b/>
          <w:color w:val="000000"/>
          <w:sz w:val="28"/>
          <w:szCs w:val="28"/>
        </w:rPr>
      </w:pPr>
      <w:r>
        <w:rPr>
          <w:b/>
          <w:color w:val="000000"/>
          <w:sz w:val="28"/>
          <w:szCs w:val="28"/>
        </w:rPr>
        <w:t>AUTO</w:t>
      </w:r>
    </w:p>
    <w:p w14:paraId="3B98F418" w14:textId="77777777" w:rsidR="0066100D" w:rsidRDefault="0066100D">
      <w:pPr>
        <w:rPr>
          <w:b/>
          <w:color w:val="000000"/>
          <w:sz w:val="26"/>
          <w:szCs w:val="26"/>
        </w:rPr>
      </w:pPr>
    </w:p>
    <w:p w14:paraId="75D90AB7" w14:textId="77777777" w:rsidR="0066100D" w:rsidRDefault="00D62FA9">
      <w:pPr>
        <w:widowControl w:val="0"/>
        <w:numPr>
          <w:ilvl w:val="0"/>
          <w:numId w:val="1"/>
        </w:numPr>
        <w:pBdr>
          <w:top w:val="nil"/>
          <w:left w:val="nil"/>
          <w:bottom w:val="nil"/>
          <w:right w:val="nil"/>
          <w:between w:val="nil"/>
        </w:pBdr>
        <w:rPr>
          <w:b/>
          <w:color w:val="000000"/>
          <w:sz w:val="28"/>
          <w:szCs w:val="28"/>
        </w:rPr>
      </w:pPr>
      <w:r>
        <w:rPr>
          <w:b/>
          <w:color w:val="000000"/>
          <w:sz w:val="28"/>
          <w:szCs w:val="28"/>
        </w:rPr>
        <w:t xml:space="preserve">ANTECEDENTES </w:t>
      </w:r>
    </w:p>
    <w:p w14:paraId="227D120F" w14:textId="77777777" w:rsidR="0066100D" w:rsidRDefault="0066100D">
      <w:pPr>
        <w:pBdr>
          <w:top w:val="nil"/>
          <w:left w:val="nil"/>
          <w:bottom w:val="nil"/>
          <w:right w:val="nil"/>
          <w:between w:val="nil"/>
        </w:pBdr>
        <w:ind w:right="-8"/>
        <w:jc w:val="both"/>
        <w:rPr>
          <w:color w:val="000000"/>
          <w:sz w:val="28"/>
          <w:szCs w:val="28"/>
        </w:rPr>
      </w:pPr>
    </w:p>
    <w:p w14:paraId="332A7B6D" w14:textId="72F6BF86" w:rsidR="0066100D" w:rsidRDefault="00D62FA9">
      <w:pPr>
        <w:numPr>
          <w:ilvl w:val="3"/>
          <w:numId w:val="2"/>
        </w:numPr>
        <w:pBdr>
          <w:top w:val="nil"/>
          <w:left w:val="nil"/>
          <w:bottom w:val="nil"/>
          <w:right w:val="nil"/>
          <w:between w:val="nil"/>
        </w:pBdr>
        <w:ind w:left="0" w:right="-8" w:firstLine="0"/>
        <w:jc w:val="both"/>
        <w:rPr>
          <w:i/>
          <w:color w:val="000000"/>
          <w:sz w:val="28"/>
          <w:szCs w:val="28"/>
        </w:rPr>
      </w:pPr>
      <w:r>
        <w:rPr>
          <w:color w:val="000000"/>
          <w:sz w:val="28"/>
          <w:szCs w:val="28"/>
        </w:rPr>
        <w:t xml:space="preserve">La entidad promotora de Salud Sanitas S.A. (en adelante, Sanitas EPS) y la Compañía de </w:t>
      </w:r>
      <w:r>
        <w:rPr>
          <w:color w:val="171717"/>
          <w:sz w:val="28"/>
          <w:szCs w:val="28"/>
        </w:rPr>
        <w:t>Medicina Prepagada Colsanitas S.A (en adelante</w:t>
      </w:r>
      <w:r>
        <w:rPr>
          <w:color w:val="000000"/>
          <w:sz w:val="28"/>
          <w:szCs w:val="28"/>
        </w:rPr>
        <w:t>, Colsanitas S.A.) presentaron demanda de reparación directa en contra de l</w:t>
      </w:r>
      <w:r>
        <w:rPr>
          <w:color w:val="000000"/>
          <w:sz w:val="28"/>
          <w:szCs w:val="28"/>
          <w:highlight w:val="white"/>
        </w:rPr>
        <w:t xml:space="preserve">a Nación - Ministerio de Salud y Protección Social. Esto, con el fin de que, entre otras cosas, </w:t>
      </w:r>
      <w:r>
        <w:rPr>
          <w:i/>
          <w:color w:val="000000"/>
          <w:sz w:val="28"/>
          <w:szCs w:val="28"/>
          <w:highlight w:val="white"/>
        </w:rPr>
        <w:t>(i)</w:t>
      </w:r>
      <w:r>
        <w:rPr>
          <w:color w:val="000000"/>
          <w:sz w:val="28"/>
          <w:szCs w:val="28"/>
          <w:highlight w:val="white"/>
        </w:rPr>
        <w:t xml:space="preserve"> se declare administrativa, extracontractual y solidariamente responsables a los demandados por los perjuicios materiales causados a Sanitas EPS y a Colsanitas S.A.</w:t>
      </w:r>
      <w:r>
        <w:rPr>
          <w:color w:val="000000"/>
          <w:sz w:val="28"/>
          <w:szCs w:val="28"/>
          <w:highlight w:val="white"/>
          <w:vertAlign w:val="superscript"/>
        </w:rPr>
        <w:footnoteReference w:id="1"/>
      </w:r>
      <w:r>
        <w:rPr>
          <w:color w:val="000000"/>
          <w:sz w:val="28"/>
          <w:szCs w:val="28"/>
          <w:highlight w:val="white"/>
        </w:rPr>
        <w:t xml:space="preserve">, y </w:t>
      </w:r>
      <w:r>
        <w:rPr>
          <w:i/>
          <w:color w:val="000000"/>
          <w:sz w:val="28"/>
          <w:szCs w:val="28"/>
          <w:highlight w:val="white"/>
        </w:rPr>
        <w:t>(</w:t>
      </w:r>
      <w:proofErr w:type="spellStart"/>
      <w:r>
        <w:rPr>
          <w:i/>
          <w:color w:val="000000"/>
          <w:sz w:val="28"/>
          <w:szCs w:val="28"/>
          <w:highlight w:val="white"/>
        </w:rPr>
        <w:t>ii</w:t>
      </w:r>
      <w:proofErr w:type="spellEnd"/>
      <w:r>
        <w:rPr>
          <w:i/>
          <w:color w:val="000000"/>
          <w:sz w:val="28"/>
          <w:szCs w:val="28"/>
          <w:highlight w:val="white"/>
        </w:rPr>
        <w:t>)</w:t>
      </w:r>
      <w:r>
        <w:rPr>
          <w:color w:val="000000"/>
          <w:sz w:val="28"/>
          <w:szCs w:val="28"/>
          <w:highlight w:val="white"/>
        </w:rPr>
        <w:t xml:space="preserve"> a título de daño emergente y lucro cesante, se ordene el pago de</w:t>
      </w:r>
      <w:r w:rsidR="00AB45B5">
        <w:rPr>
          <w:color w:val="000000"/>
          <w:sz w:val="28"/>
          <w:szCs w:val="28"/>
          <w:highlight w:val="white"/>
        </w:rPr>
        <w:t xml:space="preserve"> </w:t>
      </w:r>
      <w:r w:rsidR="00AB45B5">
        <w:rPr>
          <w:i/>
          <w:color w:val="000000"/>
          <w:sz w:val="28"/>
          <w:szCs w:val="28"/>
          <w:highlight w:val="white"/>
        </w:rPr>
        <w:t>(a)</w:t>
      </w:r>
      <w:r>
        <w:rPr>
          <w:i/>
          <w:color w:val="000000"/>
          <w:sz w:val="28"/>
          <w:szCs w:val="28"/>
          <w:highlight w:val="white"/>
        </w:rPr>
        <w:t xml:space="preserve"> </w:t>
      </w:r>
      <w:r>
        <w:rPr>
          <w:color w:val="000000"/>
          <w:sz w:val="28"/>
          <w:szCs w:val="28"/>
          <w:highlight w:val="white"/>
        </w:rPr>
        <w:t>$541.420.505, correspondientes a 16 cuentas de cobro derivadas de la prestación de servicios médicos a los afiliados por fuera de las coberturas establecidas en el POS</w:t>
      </w:r>
      <w:r>
        <w:rPr>
          <w:color w:val="000000"/>
          <w:sz w:val="28"/>
          <w:szCs w:val="28"/>
          <w:highlight w:val="white"/>
          <w:vertAlign w:val="superscript"/>
        </w:rPr>
        <w:footnoteReference w:id="2"/>
      </w:r>
      <w:r w:rsidR="00AB45B5">
        <w:rPr>
          <w:color w:val="000000"/>
          <w:sz w:val="28"/>
          <w:szCs w:val="28"/>
          <w:highlight w:val="white"/>
        </w:rPr>
        <w:t>,</w:t>
      </w:r>
      <w:r>
        <w:rPr>
          <w:color w:val="000000"/>
          <w:sz w:val="28"/>
          <w:szCs w:val="28"/>
          <w:highlight w:val="white"/>
        </w:rPr>
        <w:t xml:space="preserve"> </w:t>
      </w:r>
      <w:r w:rsidR="00AB45B5">
        <w:rPr>
          <w:i/>
          <w:color w:val="000000"/>
          <w:sz w:val="28"/>
          <w:szCs w:val="28"/>
          <w:highlight w:val="white"/>
        </w:rPr>
        <w:t>(b)</w:t>
      </w:r>
      <w:r w:rsidR="00AB45B5">
        <w:rPr>
          <w:color w:val="000000"/>
          <w:sz w:val="28"/>
          <w:szCs w:val="28"/>
          <w:highlight w:val="white"/>
        </w:rPr>
        <w:t xml:space="preserve"> </w:t>
      </w:r>
      <w:r>
        <w:rPr>
          <w:color w:val="000000"/>
          <w:sz w:val="28"/>
          <w:szCs w:val="28"/>
          <w:highlight w:val="white"/>
        </w:rPr>
        <w:t>$54.142.050, por concepto de gastos administrativos inherentes a la gestión y manejo de las prestaciones excluidas del POS (hoy PBS)</w:t>
      </w:r>
      <w:r>
        <w:rPr>
          <w:color w:val="000000"/>
          <w:sz w:val="28"/>
          <w:szCs w:val="28"/>
          <w:highlight w:val="white"/>
          <w:vertAlign w:val="superscript"/>
        </w:rPr>
        <w:footnoteReference w:id="3"/>
      </w:r>
      <w:r>
        <w:rPr>
          <w:color w:val="000000"/>
          <w:sz w:val="28"/>
          <w:szCs w:val="28"/>
          <w:highlight w:val="white"/>
        </w:rPr>
        <w:t xml:space="preserve"> y </w:t>
      </w:r>
      <w:r w:rsidR="00AB45B5">
        <w:rPr>
          <w:i/>
          <w:color w:val="000000"/>
          <w:sz w:val="28"/>
          <w:szCs w:val="28"/>
          <w:highlight w:val="white"/>
        </w:rPr>
        <w:t xml:space="preserve">(c) </w:t>
      </w:r>
      <w:r>
        <w:rPr>
          <w:color w:val="000000"/>
          <w:sz w:val="28"/>
          <w:szCs w:val="28"/>
          <w:highlight w:val="white"/>
        </w:rPr>
        <w:t>la indexación y/o corrección monetaria de las sumas pretendidas “desde el momento en que debieron sufragarse y hasta que se efectúe el pago total de la obligación”</w:t>
      </w:r>
      <w:r>
        <w:rPr>
          <w:color w:val="000000"/>
          <w:sz w:val="28"/>
          <w:szCs w:val="28"/>
          <w:highlight w:val="white"/>
          <w:vertAlign w:val="superscript"/>
        </w:rPr>
        <w:footnoteReference w:id="4"/>
      </w:r>
      <w:r>
        <w:rPr>
          <w:color w:val="000000"/>
          <w:sz w:val="28"/>
          <w:szCs w:val="28"/>
          <w:highlight w:val="white"/>
        </w:rPr>
        <w:t>.</w:t>
      </w:r>
    </w:p>
    <w:p w14:paraId="7FCDE45A" w14:textId="77777777" w:rsidR="0066100D" w:rsidRDefault="0066100D">
      <w:pPr>
        <w:pBdr>
          <w:top w:val="nil"/>
          <w:left w:val="nil"/>
          <w:bottom w:val="nil"/>
          <w:right w:val="nil"/>
          <w:between w:val="nil"/>
        </w:pBdr>
        <w:ind w:right="-8"/>
        <w:jc w:val="both"/>
        <w:rPr>
          <w:color w:val="000000"/>
          <w:sz w:val="28"/>
          <w:szCs w:val="28"/>
        </w:rPr>
      </w:pPr>
    </w:p>
    <w:p w14:paraId="18BE5625" w14:textId="793A3296" w:rsidR="0066100D" w:rsidRDefault="00D62FA9">
      <w:pPr>
        <w:numPr>
          <w:ilvl w:val="3"/>
          <w:numId w:val="2"/>
        </w:numPr>
        <w:pBdr>
          <w:top w:val="nil"/>
          <w:left w:val="nil"/>
          <w:bottom w:val="nil"/>
          <w:right w:val="nil"/>
          <w:between w:val="nil"/>
        </w:pBdr>
        <w:ind w:left="0" w:right="-8" w:firstLine="0"/>
        <w:jc w:val="both"/>
        <w:rPr>
          <w:i/>
          <w:color w:val="000000"/>
          <w:sz w:val="28"/>
          <w:szCs w:val="28"/>
        </w:rPr>
      </w:pPr>
      <w:r>
        <w:rPr>
          <w:color w:val="000000"/>
          <w:sz w:val="28"/>
          <w:szCs w:val="28"/>
        </w:rPr>
        <w:t xml:space="preserve">Por reparto, el proceso correspondió al Tribunal Administrativo de Cundinamarca, Sección Tercera, Subsección A. Mediante auto del 6 de marzo de </w:t>
      </w:r>
      <w:r>
        <w:rPr>
          <w:color w:val="000000"/>
          <w:sz w:val="28"/>
          <w:szCs w:val="28"/>
        </w:rPr>
        <w:lastRenderedPageBreak/>
        <w:t>2014</w:t>
      </w:r>
      <w:r>
        <w:rPr>
          <w:color w:val="000000"/>
          <w:sz w:val="28"/>
          <w:szCs w:val="28"/>
          <w:vertAlign w:val="superscript"/>
        </w:rPr>
        <w:footnoteReference w:id="5"/>
      </w:r>
      <w:r>
        <w:rPr>
          <w:color w:val="000000"/>
          <w:sz w:val="28"/>
          <w:szCs w:val="28"/>
        </w:rPr>
        <w:t xml:space="preserve">, el tribunal declaró su falta de competencia, en atención al factor cuantía, por lo que ordenó remitir el asunto a los juzgados administrativos del circuito de Bogotá, sección tercera. </w:t>
      </w:r>
      <w:r w:rsidR="00DC3785">
        <w:rPr>
          <w:color w:val="000000"/>
          <w:sz w:val="28"/>
          <w:szCs w:val="28"/>
        </w:rPr>
        <w:t>A</w:t>
      </w:r>
      <w:r>
        <w:rPr>
          <w:color w:val="000000"/>
          <w:sz w:val="28"/>
          <w:szCs w:val="28"/>
        </w:rPr>
        <w:t>rgumentó que como se pretende el pago de 16 facturas de recobro, las mismas deben ser estudiadas de forma individual y como “el recobro de mayor valor [es] de $164.957.472”</w:t>
      </w:r>
      <w:r>
        <w:rPr>
          <w:color w:val="000000"/>
          <w:sz w:val="28"/>
          <w:szCs w:val="28"/>
          <w:vertAlign w:val="superscript"/>
        </w:rPr>
        <w:footnoteReference w:id="6"/>
      </w:r>
      <w:r w:rsidR="00AB45B5">
        <w:rPr>
          <w:color w:val="000000"/>
          <w:sz w:val="28"/>
          <w:szCs w:val="28"/>
        </w:rPr>
        <w:t>,</w:t>
      </w:r>
      <w:r>
        <w:rPr>
          <w:color w:val="000000"/>
          <w:sz w:val="28"/>
          <w:szCs w:val="28"/>
        </w:rPr>
        <w:t xml:space="preserve"> la cuantía del asunto no excede los 500 SMMLV establecidos en el artículo 152.6 del CPACA.</w:t>
      </w:r>
    </w:p>
    <w:p w14:paraId="58FB903F" w14:textId="77777777" w:rsidR="0066100D" w:rsidRDefault="0066100D">
      <w:pPr>
        <w:pBdr>
          <w:top w:val="nil"/>
          <w:left w:val="nil"/>
          <w:bottom w:val="nil"/>
          <w:right w:val="nil"/>
          <w:between w:val="nil"/>
        </w:pBdr>
        <w:ind w:left="720"/>
        <w:rPr>
          <w:i/>
          <w:color w:val="000000"/>
          <w:sz w:val="28"/>
          <w:szCs w:val="28"/>
        </w:rPr>
      </w:pPr>
    </w:p>
    <w:p w14:paraId="45D9B3AD" w14:textId="77777777" w:rsidR="0066100D" w:rsidRDefault="00D62FA9">
      <w:pPr>
        <w:numPr>
          <w:ilvl w:val="3"/>
          <w:numId w:val="2"/>
        </w:numPr>
        <w:pBdr>
          <w:top w:val="nil"/>
          <w:left w:val="nil"/>
          <w:bottom w:val="nil"/>
          <w:right w:val="nil"/>
          <w:between w:val="nil"/>
        </w:pBdr>
        <w:ind w:left="0" w:right="-8" w:firstLine="0"/>
        <w:jc w:val="both"/>
        <w:rPr>
          <w:color w:val="000000"/>
          <w:sz w:val="28"/>
          <w:szCs w:val="28"/>
        </w:rPr>
      </w:pPr>
      <w:r>
        <w:rPr>
          <w:color w:val="000000"/>
          <w:sz w:val="28"/>
          <w:szCs w:val="28"/>
        </w:rPr>
        <w:t>Efectuando nuevamente el reparto del proceso, su conocimiento le correspondió al Juzgado 37 Administrativo de Oralidad del Circuito de Bogotá, Sección Tercera. A través de auto del 8 de julio de 2014</w:t>
      </w:r>
      <w:r>
        <w:rPr>
          <w:color w:val="000000"/>
          <w:sz w:val="28"/>
          <w:szCs w:val="28"/>
          <w:vertAlign w:val="superscript"/>
        </w:rPr>
        <w:footnoteReference w:id="7"/>
      </w:r>
      <w:r>
        <w:rPr>
          <w:color w:val="000000"/>
          <w:sz w:val="28"/>
          <w:szCs w:val="28"/>
        </w:rPr>
        <w:t>, el despacho resolvió remitir el expediente a los juzgados administrativos de Bogotá, sección primera, en atención a que el asunto “no puede ser adelantado [por] el medio de control de reparación directa, [sino por] la acción de nulidad y restablecimiento del derecho [debido a que se cuestiona actos administrativos]”</w:t>
      </w:r>
      <w:r>
        <w:rPr>
          <w:color w:val="000000"/>
          <w:sz w:val="28"/>
          <w:szCs w:val="28"/>
          <w:vertAlign w:val="superscript"/>
        </w:rPr>
        <w:footnoteReference w:id="8"/>
      </w:r>
      <w:r>
        <w:rPr>
          <w:color w:val="000000"/>
          <w:sz w:val="28"/>
          <w:szCs w:val="28"/>
        </w:rPr>
        <w:t xml:space="preserve">. </w:t>
      </w:r>
    </w:p>
    <w:p w14:paraId="4BCED82D" w14:textId="77777777" w:rsidR="0066100D" w:rsidRDefault="0066100D">
      <w:pPr>
        <w:pBdr>
          <w:top w:val="nil"/>
          <w:left w:val="nil"/>
          <w:bottom w:val="nil"/>
          <w:right w:val="nil"/>
          <w:between w:val="nil"/>
        </w:pBdr>
        <w:ind w:left="720"/>
        <w:rPr>
          <w:color w:val="000000"/>
          <w:sz w:val="28"/>
          <w:szCs w:val="28"/>
        </w:rPr>
      </w:pPr>
    </w:p>
    <w:p w14:paraId="59481881" w14:textId="2ECFB1EC" w:rsidR="0066100D" w:rsidRDefault="00D62FA9">
      <w:pPr>
        <w:numPr>
          <w:ilvl w:val="3"/>
          <w:numId w:val="2"/>
        </w:numPr>
        <w:pBdr>
          <w:top w:val="nil"/>
          <w:left w:val="nil"/>
          <w:bottom w:val="nil"/>
          <w:right w:val="nil"/>
          <w:between w:val="nil"/>
        </w:pBdr>
        <w:ind w:left="0" w:right="-8" w:firstLine="0"/>
        <w:jc w:val="both"/>
        <w:rPr>
          <w:color w:val="000000"/>
          <w:sz w:val="28"/>
          <w:szCs w:val="28"/>
        </w:rPr>
      </w:pPr>
      <w:r>
        <w:rPr>
          <w:color w:val="000000"/>
          <w:sz w:val="28"/>
          <w:szCs w:val="28"/>
        </w:rPr>
        <w:t xml:space="preserve"> El Juzgado 1 Administrativo de Oralidad del Circuito de Bogotá, Sección Primera, en auto del 12 de agosto de 2014</w:t>
      </w:r>
      <w:r>
        <w:rPr>
          <w:color w:val="000000"/>
          <w:sz w:val="28"/>
          <w:szCs w:val="28"/>
          <w:vertAlign w:val="superscript"/>
        </w:rPr>
        <w:footnoteReference w:id="9"/>
      </w:r>
      <w:r>
        <w:rPr>
          <w:color w:val="000000"/>
          <w:sz w:val="28"/>
          <w:szCs w:val="28"/>
        </w:rPr>
        <w:t xml:space="preserve">, </w:t>
      </w:r>
      <w:r>
        <w:rPr>
          <w:i/>
          <w:color w:val="000000"/>
          <w:sz w:val="28"/>
          <w:szCs w:val="28"/>
        </w:rPr>
        <w:t>(i)</w:t>
      </w:r>
      <w:r>
        <w:rPr>
          <w:color w:val="000000"/>
          <w:sz w:val="28"/>
          <w:szCs w:val="28"/>
        </w:rPr>
        <w:t xml:space="preserve"> declaró su falta de competencia, y </w:t>
      </w:r>
      <w:r>
        <w:rPr>
          <w:i/>
          <w:color w:val="000000"/>
          <w:sz w:val="28"/>
          <w:szCs w:val="28"/>
        </w:rPr>
        <w:t>(</w:t>
      </w:r>
      <w:proofErr w:type="spellStart"/>
      <w:r>
        <w:rPr>
          <w:i/>
          <w:color w:val="000000"/>
          <w:sz w:val="28"/>
          <w:szCs w:val="28"/>
        </w:rPr>
        <w:t>ii</w:t>
      </w:r>
      <w:proofErr w:type="spellEnd"/>
      <w:r>
        <w:rPr>
          <w:i/>
          <w:color w:val="000000"/>
          <w:sz w:val="28"/>
          <w:szCs w:val="28"/>
        </w:rPr>
        <w:t>)</w:t>
      </w:r>
      <w:r>
        <w:rPr>
          <w:color w:val="000000"/>
          <w:sz w:val="28"/>
          <w:szCs w:val="28"/>
        </w:rPr>
        <w:t xml:space="preserve"> ordenó enviar el asunto a los juzgados laborales de Bogotá. Señaló que como se solicita </w:t>
      </w:r>
      <w:r w:rsidR="00DC3785">
        <w:rPr>
          <w:color w:val="000000"/>
          <w:sz w:val="28"/>
          <w:szCs w:val="28"/>
        </w:rPr>
        <w:t xml:space="preserve">el </w:t>
      </w:r>
      <w:r>
        <w:rPr>
          <w:color w:val="000000"/>
          <w:sz w:val="28"/>
          <w:szCs w:val="28"/>
        </w:rPr>
        <w:t xml:space="preserve">cobro de unas facturas por el suministro de servicios de salud excluidos del POS (hoy PBS), el asunto está relacionado con el </w:t>
      </w:r>
      <w:r w:rsidR="00DC3785">
        <w:rPr>
          <w:color w:val="000000"/>
          <w:sz w:val="28"/>
          <w:szCs w:val="28"/>
        </w:rPr>
        <w:t>S</w:t>
      </w:r>
      <w:r>
        <w:rPr>
          <w:color w:val="000000"/>
          <w:sz w:val="28"/>
          <w:szCs w:val="28"/>
        </w:rPr>
        <w:t xml:space="preserve">istema de </w:t>
      </w:r>
      <w:r w:rsidR="00DC3785">
        <w:rPr>
          <w:color w:val="000000"/>
          <w:sz w:val="28"/>
          <w:szCs w:val="28"/>
        </w:rPr>
        <w:t>General de S</w:t>
      </w:r>
      <w:r>
        <w:rPr>
          <w:color w:val="000000"/>
          <w:sz w:val="28"/>
          <w:szCs w:val="28"/>
        </w:rPr>
        <w:t xml:space="preserve">eguridad </w:t>
      </w:r>
      <w:r w:rsidR="00DC3785">
        <w:rPr>
          <w:color w:val="000000"/>
          <w:sz w:val="28"/>
          <w:szCs w:val="28"/>
        </w:rPr>
        <w:t>S</w:t>
      </w:r>
      <w:r>
        <w:rPr>
          <w:color w:val="000000"/>
          <w:sz w:val="28"/>
          <w:szCs w:val="28"/>
        </w:rPr>
        <w:t>ocial integral y</w:t>
      </w:r>
      <w:r w:rsidR="005F432E">
        <w:rPr>
          <w:color w:val="000000"/>
          <w:sz w:val="28"/>
          <w:szCs w:val="28"/>
        </w:rPr>
        <w:t>,</w:t>
      </w:r>
      <w:r>
        <w:rPr>
          <w:color w:val="000000"/>
          <w:sz w:val="28"/>
          <w:szCs w:val="28"/>
        </w:rPr>
        <w:t xml:space="preserve"> por lo tanto</w:t>
      </w:r>
      <w:r w:rsidR="005F432E">
        <w:rPr>
          <w:color w:val="000000"/>
          <w:sz w:val="28"/>
          <w:szCs w:val="28"/>
        </w:rPr>
        <w:t>,</w:t>
      </w:r>
      <w:r>
        <w:rPr>
          <w:color w:val="000000"/>
          <w:sz w:val="28"/>
          <w:szCs w:val="28"/>
        </w:rPr>
        <w:t xml:space="preserve"> la autoridad competente para resolver el litigio es el juez ordinario laboral</w:t>
      </w:r>
      <w:r>
        <w:rPr>
          <w:color w:val="000000"/>
          <w:sz w:val="28"/>
          <w:szCs w:val="28"/>
          <w:vertAlign w:val="superscript"/>
        </w:rPr>
        <w:footnoteReference w:id="10"/>
      </w:r>
      <w:r>
        <w:rPr>
          <w:color w:val="000000"/>
          <w:sz w:val="28"/>
          <w:szCs w:val="28"/>
        </w:rPr>
        <w:t xml:space="preserve">. </w:t>
      </w:r>
      <w:r w:rsidRPr="009255DF">
        <w:rPr>
          <w:color w:val="000000"/>
          <w:sz w:val="28"/>
          <w:szCs w:val="28"/>
        </w:rPr>
        <w:t>Para llegar a esta conclusión el despacho analizó los artículos 104 del Código de Procedimiento Administrativo y de lo Contencioso Administrativo (en adelante, CPACA) y 2.4 del Código Procesal del Trabajo y de la Seguridad Social (en adelante, CPTSS).</w:t>
      </w:r>
      <w:r>
        <w:rPr>
          <w:color w:val="000000"/>
          <w:sz w:val="27"/>
          <w:szCs w:val="27"/>
        </w:rPr>
        <w:t xml:space="preserve"> </w:t>
      </w:r>
    </w:p>
    <w:p w14:paraId="3DE0E4C1" w14:textId="77777777" w:rsidR="0066100D" w:rsidRDefault="0066100D">
      <w:pPr>
        <w:pBdr>
          <w:top w:val="nil"/>
          <w:left w:val="nil"/>
          <w:bottom w:val="nil"/>
          <w:right w:val="nil"/>
          <w:between w:val="nil"/>
        </w:pBdr>
        <w:ind w:left="720"/>
        <w:rPr>
          <w:color w:val="000000"/>
          <w:sz w:val="28"/>
          <w:szCs w:val="28"/>
        </w:rPr>
      </w:pPr>
    </w:p>
    <w:p w14:paraId="77B49C6C" w14:textId="3DCBC226" w:rsidR="0066100D" w:rsidRDefault="00D62FA9">
      <w:pPr>
        <w:numPr>
          <w:ilvl w:val="3"/>
          <w:numId w:val="2"/>
        </w:numPr>
        <w:pBdr>
          <w:top w:val="nil"/>
          <w:left w:val="nil"/>
          <w:bottom w:val="nil"/>
          <w:right w:val="nil"/>
          <w:between w:val="nil"/>
        </w:pBdr>
        <w:ind w:left="0" w:right="-8" w:firstLine="0"/>
        <w:jc w:val="both"/>
        <w:rPr>
          <w:color w:val="000000"/>
          <w:sz w:val="28"/>
          <w:szCs w:val="28"/>
        </w:rPr>
      </w:pPr>
      <w:r>
        <w:rPr>
          <w:color w:val="000000"/>
          <w:sz w:val="28"/>
          <w:szCs w:val="28"/>
        </w:rPr>
        <w:t>Por reparto, el proceso correspondió al Juzgado 18 Laboral del Circuito de Bogotá. Con auto del 17 de septiembre de 2014</w:t>
      </w:r>
      <w:r>
        <w:rPr>
          <w:color w:val="000000"/>
          <w:sz w:val="28"/>
          <w:szCs w:val="28"/>
          <w:vertAlign w:val="superscript"/>
        </w:rPr>
        <w:footnoteReference w:id="11"/>
      </w:r>
      <w:r>
        <w:rPr>
          <w:color w:val="000000"/>
          <w:sz w:val="28"/>
          <w:szCs w:val="28"/>
        </w:rPr>
        <w:t xml:space="preserve">, el juzgado </w:t>
      </w:r>
      <w:r>
        <w:rPr>
          <w:i/>
          <w:color w:val="000000"/>
          <w:sz w:val="28"/>
          <w:szCs w:val="28"/>
        </w:rPr>
        <w:t>(i)</w:t>
      </w:r>
      <w:r>
        <w:rPr>
          <w:color w:val="000000"/>
          <w:sz w:val="28"/>
          <w:szCs w:val="28"/>
        </w:rPr>
        <w:t xml:space="preserve"> resolvió rechazar la demanda por falta de competencia y </w:t>
      </w:r>
      <w:r>
        <w:rPr>
          <w:i/>
          <w:color w:val="000000"/>
          <w:sz w:val="28"/>
          <w:szCs w:val="28"/>
        </w:rPr>
        <w:t>(</w:t>
      </w:r>
      <w:proofErr w:type="spellStart"/>
      <w:r>
        <w:rPr>
          <w:i/>
          <w:color w:val="000000"/>
          <w:sz w:val="28"/>
          <w:szCs w:val="28"/>
        </w:rPr>
        <w:t>ii</w:t>
      </w:r>
      <w:proofErr w:type="spellEnd"/>
      <w:r>
        <w:rPr>
          <w:i/>
          <w:color w:val="000000"/>
          <w:sz w:val="28"/>
          <w:szCs w:val="28"/>
        </w:rPr>
        <w:t>)</w:t>
      </w:r>
      <w:r>
        <w:rPr>
          <w:color w:val="000000"/>
          <w:sz w:val="28"/>
          <w:szCs w:val="28"/>
        </w:rPr>
        <w:t xml:space="preserve"> ordenó enviar el asunto a la Superintendencia Nacional de Salud delegada para la Función Jurisdiccional y de Conciliación.  Esto, porque los “[c]</w:t>
      </w:r>
      <w:proofErr w:type="spellStart"/>
      <w:r>
        <w:rPr>
          <w:color w:val="000000"/>
          <w:sz w:val="28"/>
          <w:szCs w:val="28"/>
        </w:rPr>
        <w:t>onflictos</w:t>
      </w:r>
      <w:proofErr w:type="spellEnd"/>
      <w:r>
        <w:rPr>
          <w:color w:val="000000"/>
          <w:sz w:val="28"/>
          <w:szCs w:val="28"/>
        </w:rPr>
        <w:t xml:space="preserve"> derivados de las devoluciones o glosas a las facturas entre entidades del Sistema General de Seguridad Social en Salud”</w:t>
      </w:r>
      <w:r>
        <w:rPr>
          <w:color w:val="000000"/>
          <w:sz w:val="28"/>
          <w:szCs w:val="28"/>
          <w:vertAlign w:val="superscript"/>
        </w:rPr>
        <w:footnoteReference w:id="12"/>
      </w:r>
      <w:r>
        <w:rPr>
          <w:color w:val="000000"/>
          <w:sz w:val="28"/>
          <w:szCs w:val="28"/>
        </w:rPr>
        <w:t xml:space="preserve"> corresponde a una función jurisdiccional atribuida a la referida superintendencia, de conformidad con los artículos 41 de la Ley 1122 de 2007 y 126 de la Ley 1438 de 2011. </w:t>
      </w:r>
    </w:p>
    <w:p w14:paraId="66E1D30B" w14:textId="77777777" w:rsidR="0066100D" w:rsidRDefault="0066100D">
      <w:pPr>
        <w:pBdr>
          <w:top w:val="nil"/>
          <w:left w:val="nil"/>
          <w:bottom w:val="nil"/>
          <w:right w:val="nil"/>
          <w:between w:val="nil"/>
        </w:pBdr>
        <w:ind w:left="720"/>
        <w:rPr>
          <w:color w:val="000000"/>
          <w:sz w:val="28"/>
          <w:szCs w:val="28"/>
        </w:rPr>
      </w:pPr>
    </w:p>
    <w:p w14:paraId="006A37EC" w14:textId="4CE3EF51" w:rsidR="0066100D" w:rsidRDefault="00D62FA9">
      <w:pPr>
        <w:numPr>
          <w:ilvl w:val="3"/>
          <w:numId w:val="2"/>
        </w:numPr>
        <w:pBdr>
          <w:top w:val="nil"/>
          <w:left w:val="nil"/>
          <w:bottom w:val="nil"/>
          <w:right w:val="nil"/>
          <w:between w:val="nil"/>
        </w:pBdr>
        <w:ind w:left="0" w:right="-8" w:firstLine="0"/>
        <w:jc w:val="both"/>
        <w:rPr>
          <w:color w:val="000000"/>
          <w:sz w:val="28"/>
          <w:szCs w:val="28"/>
        </w:rPr>
      </w:pPr>
      <w:r>
        <w:rPr>
          <w:color w:val="000000"/>
          <w:sz w:val="28"/>
          <w:szCs w:val="28"/>
        </w:rPr>
        <w:t>Posteriormente, la Superintendencia Nacional de Salud, delegada para la Función Jurisdiccional y de Conciliación, por medio de auto del 16 de enero de 2017</w:t>
      </w:r>
      <w:r>
        <w:rPr>
          <w:color w:val="000000"/>
          <w:sz w:val="28"/>
          <w:szCs w:val="28"/>
          <w:vertAlign w:val="superscript"/>
        </w:rPr>
        <w:footnoteReference w:id="13"/>
      </w:r>
      <w:r>
        <w:rPr>
          <w:color w:val="000000"/>
          <w:sz w:val="28"/>
          <w:szCs w:val="28"/>
        </w:rPr>
        <w:t>, rechazó la demanda, propuso conflicto negativo de competencia con el Juzgado 18 Laboral del Circuito de Bogotá y envió el expediente al Consejo Superior de la Judicatura, Sala Jurisdiccional Disciplinaria. Para tal fin, precisó que “la competencia [que le fue asignada] para los asuntos descritos en el [a]</w:t>
      </w:r>
      <w:proofErr w:type="spellStart"/>
      <w:r>
        <w:rPr>
          <w:color w:val="000000"/>
          <w:sz w:val="28"/>
          <w:szCs w:val="28"/>
        </w:rPr>
        <w:t>rtículo</w:t>
      </w:r>
      <w:proofErr w:type="spellEnd"/>
      <w:r>
        <w:rPr>
          <w:color w:val="000000"/>
          <w:sz w:val="28"/>
          <w:szCs w:val="28"/>
        </w:rPr>
        <w:t xml:space="preserve"> 41 de la Ley 1122 de 2002 y 126 de la Ley 1438 de 2011, es de [carácter </w:t>
      </w:r>
      <w:r>
        <w:rPr>
          <w:color w:val="000000"/>
          <w:sz w:val="28"/>
          <w:szCs w:val="28"/>
        </w:rPr>
        <w:lastRenderedPageBreak/>
        <w:t>preventivo]”</w:t>
      </w:r>
      <w:r>
        <w:rPr>
          <w:color w:val="000000"/>
          <w:sz w:val="28"/>
          <w:szCs w:val="28"/>
          <w:vertAlign w:val="superscript"/>
        </w:rPr>
        <w:footnoteReference w:id="14"/>
      </w:r>
      <w:r>
        <w:rPr>
          <w:color w:val="000000"/>
          <w:sz w:val="28"/>
          <w:szCs w:val="28"/>
        </w:rPr>
        <w:t xml:space="preserve"> y, por ende, no excluye la competencia que le fue otorgada a las autoridades judiciales y administrativas para estos asuntos</w:t>
      </w:r>
      <w:r>
        <w:rPr>
          <w:color w:val="000000"/>
          <w:sz w:val="28"/>
          <w:szCs w:val="28"/>
          <w:vertAlign w:val="superscript"/>
        </w:rPr>
        <w:footnoteReference w:id="15"/>
      </w:r>
      <w:r>
        <w:rPr>
          <w:color w:val="000000"/>
          <w:sz w:val="28"/>
          <w:szCs w:val="28"/>
        </w:rPr>
        <w:t>.</w:t>
      </w:r>
    </w:p>
    <w:p w14:paraId="05F013EE" w14:textId="77777777" w:rsidR="0066100D" w:rsidRDefault="0066100D">
      <w:pPr>
        <w:pBdr>
          <w:top w:val="nil"/>
          <w:left w:val="nil"/>
          <w:bottom w:val="nil"/>
          <w:right w:val="nil"/>
          <w:between w:val="nil"/>
        </w:pBdr>
        <w:ind w:left="720"/>
        <w:rPr>
          <w:color w:val="000000"/>
          <w:sz w:val="28"/>
          <w:szCs w:val="28"/>
        </w:rPr>
      </w:pPr>
    </w:p>
    <w:p w14:paraId="663957F8" w14:textId="70E96E3E" w:rsidR="0066100D" w:rsidRDefault="00D62FA9">
      <w:pPr>
        <w:numPr>
          <w:ilvl w:val="3"/>
          <w:numId w:val="2"/>
        </w:numPr>
        <w:pBdr>
          <w:top w:val="nil"/>
          <w:left w:val="nil"/>
          <w:bottom w:val="nil"/>
          <w:right w:val="nil"/>
          <w:between w:val="nil"/>
        </w:pBdr>
        <w:ind w:left="0" w:right="-8" w:firstLine="0"/>
        <w:jc w:val="both"/>
        <w:rPr>
          <w:color w:val="000000"/>
          <w:sz w:val="28"/>
          <w:szCs w:val="28"/>
        </w:rPr>
      </w:pPr>
      <w:r>
        <w:rPr>
          <w:color w:val="000000"/>
          <w:sz w:val="28"/>
          <w:szCs w:val="28"/>
        </w:rPr>
        <w:t>Mediante providencia del 29 de agosto de 2018</w:t>
      </w:r>
      <w:r>
        <w:rPr>
          <w:color w:val="000000"/>
          <w:sz w:val="28"/>
          <w:szCs w:val="28"/>
          <w:vertAlign w:val="superscript"/>
        </w:rPr>
        <w:footnoteReference w:id="16"/>
      </w:r>
      <w:r>
        <w:rPr>
          <w:color w:val="000000"/>
          <w:sz w:val="28"/>
          <w:szCs w:val="28"/>
        </w:rPr>
        <w:t xml:space="preserve">, la Sala Jurisdiccional Disciplinaria del Consejo Superior de la Judicatura dirimió el conflicto negativo entre </w:t>
      </w:r>
      <w:r>
        <w:rPr>
          <w:i/>
          <w:color w:val="000000"/>
          <w:sz w:val="28"/>
          <w:szCs w:val="28"/>
        </w:rPr>
        <w:t>(i)</w:t>
      </w:r>
      <w:r>
        <w:rPr>
          <w:color w:val="000000"/>
          <w:sz w:val="28"/>
          <w:szCs w:val="28"/>
        </w:rPr>
        <w:t xml:space="preserve"> el Juzgado 1 Administrativo de Oralidad del Circuito de Bogotá, Sección Primera, </w:t>
      </w:r>
      <w:r>
        <w:rPr>
          <w:i/>
          <w:color w:val="000000"/>
          <w:sz w:val="28"/>
          <w:szCs w:val="28"/>
        </w:rPr>
        <w:t>(</w:t>
      </w:r>
      <w:proofErr w:type="spellStart"/>
      <w:r>
        <w:rPr>
          <w:i/>
          <w:color w:val="000000"/>
          <w:sz w:val="28"/>
          <w:szCs w:val="28"/>
        </w:rPr>
        <w:t>ii</w:t>
      </w:r>
      <w:proofErr w:type="spellEnd"/>
      <w:r>
        <w:rPr>
          <w:i/>
          <w:color w:val="000000"/>
          <w:sz w:val="28"/>
          <w:szCs w:val="28"/>
        </w:rPr>
        <w:t>)</w:t>
      </w:r>
      <w:r>
        <w:rPr>
          <w:color w:val="000000"/>
          <w:sz w:val="28"/>
          <w:szCs w:val="28"/>
        </w:rPr>
        <w:t xml:space="preserve"> la</w:t>
      </w:r>
      <w:r>
        <w:rPr>
          <w:i/>
          <w:color w:val="000000"/>
          <w:sz w:val="28"/>
          <w:szCs w:val="28"/>
        </w:rPr>
        <w:t xml:space="preserve"> </w:t>
      </w:r>
      <w:r>
        <w:rPr>
          <w:color w:val="000000"/>
          <w:sz w:val="28"/>
          <w:szCs w:val="28"/>
        </w:rPr>
        <w:t xml:space="preserve">Superintendencia Nacional de Salud, delegada para la Función Jurisdiccional y de Conciliación, y </w:t>
      </w:r>
      <w:r>
        <w:rPr>
          <w:i/>
          <w:color w:val="000000"/>
          <w:sz w:val="28"/>
          <w:szCs w:val="28"/>
        </w:rPr>
        <w:t>(</w:t>
      </w:r>
      <w:proofErr w:type="spellStart"/>
      <w:r>
        <w:rPr>
          <w:i/>
          <w:color w:val="000000"/>
          <w:sz w:val="28"/>
          <w:szCs w:val="28"/>
        </w:rPr>
        <w:t>iii</w:t>
      </w:r>
      <w:proofErr w:type="spellEnd"/>
      <w:r>
        <w:rPr>
          <w:i/>
          <w:color w:val="000000"/>
          <w:sz w:val="28"/>
          <w:szCs w:val="28"/>
        </w:rPr>
        <w:t>)</w:t>
      </w:r>
      <w:r>
        <w:rPr>
          <w:color w:val="000000"/>
          <w:sz w:val="28"/>
          <w:szCs w:val="28"/>
        </w:rPr>
        <w:t xml:space="preserve"> el Juzgado Dieciocho Laboral del Circuito de Bogotá, asignando el conocimiento del caso a este último. </w:t>
      </w:r>
      <w:r>
        <w:rPr>
          <w:color w:val="000000"/>
          <w:sz w:val="28"/>
          <w:szCs w:val="28"/>
          <w:highlight w:val="white"/>
        </w:rPr>
        <w:t>La Sala arribó a tal conclusión tras considerar que “el tema de discusión [es] referente al Sistema de Seguridad Social Integral”</w:t>
      </w:r>
      <w:r>
        <w:rPr>
          <w:color w:val="000000"/>
          <w:sz w:val="28"/>
          <w:szCs w:val="28"/>
          <w:highlight w:val="white"/>
          <w:vertAlign w:val="superscript"/>
        </w:rPr>
        <w:t xml:space="preserve"> </w:t>
      </w:r>
      <w:r>
        <w:rPr>
          <w:color w:val="000000"/>
          <w:sz w:val="28"/>
          <w:szCs w:val="28"/>
          <w:highlight w:val="white"/>
          <w:vertAlign w:val="superscript"/>
        </w:rPr>
        <w:footnoteReference w:id="17"/>
      </w:r>
      <w:r w:rsidR="005F432E">
        <w:rPr>
          <w:color w:val="000000"/>
          <w:sz w:val="28"/>
          <w:szCs w:val="28"/>
          <w:highlight w:val="white"/>
          <w:vertAlign w:val="superscript"/>
        </w:rPr>
        <w:t>,</w:t>
      </w:r>
      <w:r>
        <w:rPr>
          <w:color w:val="000000"/>
          <w:sz w:val="28"/>
          <w:szCs w:val="28"/>
          <w:highlight w:val="white"/>
        </w:rPr>
        <w:t xml:space="preserve"> debido a que se solicita “el cobro de los valores [por] la cobertura y suministro de servicios de salud no incluidos en el [POS]”</w:t>
      </w:r>
      <w:r>
        <w:rPr>
          <w:color w:val="000000"/>
          <w:sz w:val="28"/>
          <w:szCs w:val="28"/>
          <w:highlight w:val="white"/>
          <w:vertAlign w:val="superscript"/>
        </w:rPr>
        <w:footnoteReference w:id="18"/>
      </w:r>
      <w:r>
        <w:rPr>
          <w:color w:val="000000"/>
          <w:sz w:val="28"/>
          <w:szCs w:val="28"/>
          <w:highlight w:val="white"/>
        </w:rPr>
        <w:t xml:space="preserve">. En ese sentido, estimó que el asunto se </w:t>
      </w:r>
      <w:r>
        <w:rPr>
          <w:sz w:val="28"/>
          <w:szCs w:val="28"/>
          <w:highlight w:val="white"/>
        </w:rPr>
        <w:t>enmarca</w:t>
      </w:r>
      <w:r>
        <w:rPr>
          <w:color w:val="000000"/>
          <w:sz w:val="28"/>
          <w:szCs w:val="28"/>
          <w:highlight w:val="white"/>
        </w:rPr>
        <w:t xml:space="preserve"> en lo previsto en el artículo 2.4 del CPTSS.</w:t>
      </w:r>
    </w:p>
    <w:p w14:paraId="40F0A782" w14:textId="77777777" w:rsidR="0066100D" w:rsidRDefault="0066100D">
      <w:pPr>
        <w:pBdr>
          <w:top w:val="nil"/>
          <w:left w:val="nil"/>
          <w:bottom w:val="nil"/>
          <w:right w:val="nil"/>
          <w:between w:val="nil"/>
        </w:pBdr>
        <w:ind w:right="-8"/>
        <w:jc w:val="both"/>
        <w:rPr>
          <w:color w:val="000000"/>
          <w:sz w:val="28"/>
          <w:szCs w:val="28"/>
        </w:rPr>
      </w:pPr>
    </w:p>
    <w:p w14:paraId="6B56FBB8" w14:textId="2DDA73EB" w:rsidR="0066100D" w:rsidRDefault="00D62FA9">
      <w:pPr>
        <w:numPr>
          <w:ilvl w:val="3"/>
          <w:numId w:val="2"/>
        </w:numPr>
        <w:pBdr>
          <w:top w:val="nil"/>
          <w:left w:val="nil"/>
          <w:bottom w:val="nil"/>
          <w:right w:val="nil"/>
          <w:between w:val="nil"/>
        </w:pBdr>
        <w:ind w:left="0" w:right="-8" w:firstLine="0"/>
        <w:jc w:val="both"/>
        <w:rPr>
          <w:i/>
          <w:color w:val="000000"/>
          <w:sz w:val="28"/>
          <w:szCs w:val="28"/>
        </w:rPr>
      </w:pPr>
      <w:r>
        <w:rPr>
          <w:color w:val="000000"/>
          <w:sz w:val="28"/>
          <w:szCs w:val="28"/>
        </w:rPr>
        <w:t xml:space="preserve">El Juzgado </w:t>
      </w:r>
      <w:r w:rsidR="00AB45B5">
        <w:rPr>
          <w:color w:val="000000"/>
          <w:sz w:val="28"/>
          <w:szCs w:val="28"/>
        </w:rPr>
        <w:t>18</w:t>
      </w:r>
      <w:r>
        <w:rPr>
          <w:color w:val="000000"/>
          <w:sz w:val="28"/>
          <w:szCs w:val="28"/>
        </w:rPr>
        <w:t xml:space="preserve"> Laboral del Circuito de Bogotá, con auto del 23 de noviembre de 2022</w:t>
      </w:r>
      <w:r>
        <w:rPr>
          <w:color w:val="000000"/>
          <w:sz w:val="28"/>
          <w:szCs w:val="28"/>
          <w:vertAlign w:val="superscript"/>
        </w:rPr>
        <w:footnoteReference w:id="19"/>
      </w:r>
      <w:r>
        <w:rPr>
          <w:color w:val="000000"/>
          <w:sz w:val="28"/>
          <w:szCs w:val="28"/>
        </w:rPr>
        <w:t>, declaró de oficio su falta de competencia y ordenó remitir el proceso a los juzgados administrativos de Bogotá. Sostuvo que la jurisdicción contencioso administrativ</w:t>
      </w:r>
      <w:r w:rsidR="00F6271A">
        <w:rPr>
          <w:color w:val="000000"/>
          <w:sz w:val="28"/>
          <w:szCs w:val="28"/>
        </w:rPr>
        <w:t>a</w:t>
      </w:r>
      <w:r>
        <w:rPr>
          <w:color w:val="000000"/>
          <w:sz w:val="28"/>
          <w:szCs w:val="28"/>
        </w:rPr>
        <w:t xml:space="preserve"> es la competente para conocer del asunto, conforme a los autos 389, 791 y 807 de 2021 de la Corte Constitucional. Precisó que la Corte Constitucional estableció que </w:t>
      </w:r>
      <w:r>
        <w:rPr>
          <w:i/>
          <w:color w:val="000000"/>
          <w:sz w:val="28"/>
          <w:szCs w:val="28"/>
        </w:rPr>
        <w:t>(i)</w:t>
      </w:r>
      <w:r>
        <w:rPr>
          <w:color w:val="000000"/>
          <w:sz w:val="28"/>
          <w:szCs w:val="28"/>
        </w:rPr>
        <w:t xml:space="preserve"> “[e]l conocimiento de los asuntos relacionados con los recobros de servicios y tecnologías en salud no incluidas en el POS, hoy PBS, corresponde a los jueces contencioso-administrativos, en virtud a lo dispuesto en el inciso primero del artículo 104 de la Ley 1437 de 2011, por cuanto a través de estos se cuestiona por parte de una EPS un acto administrativo proferido por la ADRES”</w:t>
      </w:r>
      <w:r>
        <w:rPr>
          <w:color w:val="000000"/>
          <w:sz w:val="28"/>
          <w:szCs w:val="28"/>
          <w:vertAlign w:val="superscript"/>
        </w:rPr>
        <w:footnoteReference w:id="20"/>
      </w:r>
      <w:r>
        <w:rPr>
          <w:color w:val="000000"/>
          <w:sz w:val="28"/>
          <w:szCs w:val="28"/>
        </w:rPr>
        <w:t xml:space="preserve">, y </w:t>
      </w:r>
      <w:r>
        <w:rPr>
          <w:i/>
          <w:color w:val="000000"/>
          <w:sz w:val="28"/>
          <w:szCs w:val="28"/>
        </w:rPr>
        <w:t>(</w:t>
      </w:r>
      <w:proofErr w:type="spellStart"/>
      <w:r>
        <w:rPr>
          <w:i/>
          <w:color w:val="000000"/>
          <w:sz w:val="28"/>
          <w:szCs w:val="28"/>
        </w:rPr>
        <w:t>ii</w:t>
      </w:r>
      <w:proofErr w:type="spellEnd"/>
      <w:r>
        <w:rPr>
          <w:i/>
          <w:color w:val="000000"/>
          <w:sz w:val="28"/>
          <w:szCs w:val="28"/>
        </w:rPr>
        <w:t xml:space="preserve">) </w:t>
      </w:r>
      <w:r>
        <w:rPr>
          <w:color w:val="000000"/>
          <w:sz w:val="28"/>
          <w:szCs w:val="28"/>
        </w:rPr>
        <w:t>“[e]</w:t>
      </w:r>
      <w:proofErr w:type="spellStart"/>
      <w:r>
        <w:rPr>
          <w:color w:val="000000"/>
          <w:sz w:val="28"/>
          <w:szCs w:val="28"/>
        </w:rPr>
        <w:t>ste</w:t>
      </w:r>
      <w:proofErr w:type="spellEnd"/>
      <w:r>
        <w:rPr>
          <w:color w:val="000000"/>
          <w:sz w:val="28"/>
          <w:szCs w:val="28"/>
        </w:rPr>
        <w:t xml:space="preserve"> tipo de controversias no corresponde a las previstas en el </w:t>
      </w:r>
      <w:r>
        <w:rPr>
          <w:sz w:val="28"/>
          <w:szCs w:val="28"/>
        </w:rPr>
        <w:t>numeral</w:t>
      </w:r>
      <w:r>
        <w:rPr>
          <w:color w:val="000000"/>
          <w:sz w:val="28"/>
          <w:szCs w:val="28"/>
        </w:rPr>
        <w:t xml:space="preserve"> 4º del artículo 2 del Código Procesal del Trabajo y de la Seguridad Social, en la medida en que no se relacionan, en estricto sentido, con la prestación de los servicios de la seguridad social. En cambio, se trata de litigios presentados exclusivamente entre entidades administradoras y relativos a la financiación de servicios ya prestados, que no implican a afiliados, beneficiarios o </w:t>
      </w:r>
      <w:r>
        <w:rPr>
          <w:sz w:val="28"/>
          <w:szCs w:val="28"/>
        </w:rPr>
        <w:t>usuarios</w:t>
      </w:r>
      <w:r>
        <w:rPr>
          <w:color w:val="000000"/>
          <w:sz w:val="28"/>
          <w:szCs w:val="28"/>
        </w:rPr>
        <w:t xml:space="preserve"> ni a empleadores”</w:t>
      </w:r>
      <w:r>
        <w:rPr>
          <w:color w:val="000000"/>
          <w:sz w:val="28"/>
          <w:szCs w:val="28"/>
          <w:vertAlign w:val="superscript"/>
        </w:rPr>
        <w:footnoteReference w:id="21"/>
      </w:r>
      <w:r>
        <w:rPr>
          <w:color w:val="000000"/>
          <w:sz w:val="28"/>
          <w:szCs w:val="28"/>
        </w:rPr>
        <w:t>.</w:t>
      </w:r>
    </w:p>
    <w:p w14:paraId="0303A55A" w14:textId="77777777" w:rsidR="0066100D" w:rsidRDefault="0066100D">
      <w:pPr>
        <w:pBdr>
          <w:top w:val="nil"/>
          <w:left w:val="nil"/>
          <w:bottom w:val="nil"/>
          <w:right w:val="nil"/>
          <w:between w:val="nil"/>
        </w:pBdr>
        <w:ind w:right="-8"/>
        <w:jc w:val="both"/>
        <w:rPr>
          <w:i/>
          <w:color w:val="000000"/>
          <w:sz w:val="28"/>
          <w:szCs w:val="28"/>
        </w:rPr>
      </w:pPr>
    </w:p>
    <w:p w14:paraId="3DEB2990" w14:textId="74B678A3" w:rsidR="0066100D" w:rsidRDefault="00D62FA9">
      <w:pPr>
        <w:numPr>
          <w:ilvl w:val="3"/>
          <w:numId w:val="2"/>
        </w:numPr>
        <w:pBdr>
          <w:top w:val="nil"/>
          <w:left w:val="nil"/>
          <w:bottom w:val="nil"/>
          <w:right w:val="nil"/>
          <w:between w:val="nil"/>
        </w:pBdr>
        <w:ind w:left="0" w:right="-8" w:firstLine="0"/>
        <w:jc w:val="both"/>
        <w:rPr>
          <w:color w:val="000000"/>
          <w:sz w:val="28"/>
          <w:szCs w:val="28"/>
        </w:rPr>
      </w:pPr>
      <w:r>
        <w:rPr>
          <w:color w:val="000000"/>
          <w:sz w:val="28"/>
          <w:szCs w:val="28"/>
        </w:rPr>
        <w:t xml:space="preserve">Por reparto, el proceso correspondió al Juzgado </w:t>
      </w:r>
      <w:r w:rsidR="00AB45B5">
        <w:rPr>
          <w:color w:val="000000"/>
          <w:sz w:val="28"/>
          <w:szCs w:val="28"/>
        </w:rPr>
        <w:t>5</w:t>
      </w:r>
      <w:r>
        <w:rPr>
          <w:color w:val="000000"/>
          <w:sz w:val="28"/>
          <w:szCs w:val="28"/>
        </w:rPr>
        <w:t xml:space="preserve"> Administrativo Oral del Circuito de Bogotá, Sección Primera. Mediante providencia del 25 de julio de 2023</w:t>
      </w:r>
      <w:r>
        <w:rPr>
          <w:color w:val="000000"/>
          <w:sz w:val="28"/>
          <w:szCs w:val="28"/>
          <w:vertAlign w:val="superscript"/>
        </w:rPr>
        <w:footnoteReference w:id="22"/>
      </w:r>
      <w:r>
        <w:rPr>
          <w:color w:val="000000"/>
          <w:sz w:val="28"/>
          <w:szCs w:val="28"/>
        </w:rPr>
        <w:t xml:space="preserve">, el despacho </w:t>
      </w:r>
      <w:r>
        <w:rPr>
          <w:sz w:val="28"/>
          <w:szCs w:val="28"/>
        </w:rPr>
        <w:t>promovió</w:t>
      </w:r>
      <w:r>
        <w:rPr>
          <w:color w:val="000000"/>
          <w:sz w:val="28"/>
          <w:szCs w:val="28"/>
        </w:rPr>
        <w:t xml:space="preserve"> conflicto negativo de competencia con el Juzgado 18 Laboral del Circuito de Bogotá, </w:t>
      </w:r>
      <w:r>
        <w:rPr>
          <w:color w:val="2D2D2D"/>
          <w:sz w:val="28"/>
          <w:szCs w:val="28"/>
          <w:highlight w:val="white"/>
        </w:rPr>
        <w:t xml:space="preserve">con la finalidad de que fuera resuelto por la Corte </w:t>
      </w:r>
      <w:r>
        <w:rPr>
          <w:color w:val="000000"/>
          <w:sz w:val="28"/>
          <w:szCs w:val="28"/>
          <w:highlight w:val="white"/>
        </w:rPr>
        <w:t>Constitucional</w:t>
      </w:r>
      <w:r>
        <w:rPr>
          <w:color w:val="000000"/>
          <w:sz w:val="28"/>
          <w:szCs w:val="28"/>
        </w:rPr>
        <w:t xml:space="preserve">. Precisó que </w:t>
      </w:r>
      <w:r>
        <w:rPr>
          <w:i/>
          <w:color w:val="000000"/>
          <w:sz w:val="28"/>
          <w:szCs w:val="28"/>
        </w:rPr>
        <w:t>(i)</w:t>
      </w:r>
      <w:r>
        <w:rPr>
          <w:color w:val="000000"/>
          <w:sz w:val="28"/>
          <w:szCs w:val="28"/>
        </w:rPr>
        <w:t xml:space="preserve"> no es posible avocar el conocimiento del asunto, por cuanto existe un pronunciamiento del Consejo Superior de la Judicatura, Sala Jurisdiccional Disciplinaria, en el que dirimió el conflicto negativo suscitado entre las autoridades, asignándole la competencia al Juzgado </w:t>
      </w:r>
      <w:r w:rsidR="00AB45B5">
        <w:rPr>
          <w:color w:val="000000"/>
          <w:sz w:val="28"/>
          <w:szCs w:val="28"/>
        </w:rPr>
        <w:t xml:space="preserve">18 </w:t>
      </w:r>
      <w:r>
        <w:rPr>
          <w:color w:val="000000"/>
          <w:sz w:val="28"/>
          <w:szCs w:val="28"/>
        </w:rPr>
        <w:t xml:space="preserve">Laboral del Circuito de Bogotá; </w:t>
      </w:r>
      <w:r>
        <w:rPr>
          <w:i/>
          <w:color w:val="000000"/>
          <w:sz w:val="28"/>
          <w:szCs w:val="28"/>
        </w:rPr>
        <w:t>(</w:t>
      </w:r>
      <w:proofErr w:type="spellStart"/>
      <w:r>
        <w:rPr>
          <w:i/>
          <w:color w:val="000000"/>
          <w:sz w:val="28"/>
          <w:szCs w:val="28"/>
        </w:rPr>
        <w:t>ii</w:t>
      </w:r>
      <w:proofErr w:type="spellEnd"/>
      <w:r>
        <w:rPr>
          <w:i/>
          <w:color w:val="000000"/>
          <w:sz w:val="28"/>
          <w:szCs w:val="28"/>
        </w:rPr>
        <w:t>)</w:t>
      </w:r>
      <w:r>
        <w:rPr>
          <w:color w:val="000000"/>
          <w:sz w:val="28"/>
          <w:szCs w:val="28"/>
        </w:rPr>
        <w:t xml:space="preserve"> la Corte Constitucional dispuso que “si un asunto […] ya fue definido por quien constitucional y legalmente está facultado </w:t>
      </w:r>
      <w:r>
        <w:rPr>
          <w:color w:val="000000"/>
          <w:sz w:val="28"/>
          <w:szCs w:val="28"/>
        </w:rPr>
        <w:lastRenderedPageBreak/>
        <w:t>para ello, no puede ser planteado nuevamente, dado que ello atenta contra todos los principios que rigen la administración de justicia, entre ellos […] la seguridad jurídica”</w:t>
      </w:r>
      <w:r>
        <w:rPr>
          <w:color w:val="000000"/>
          <w:sz w:val="28"/>
          <w:szCs w:val="28"/>
          <w:vertAlign w:val="superscript"/>
        </w:rPr>
        <w:footnoteReference w:id="23"/>
      </w:r>
      <w:r>
        <w:rPr>
          <w:color w:val="000000"/>
          <w:sz w:val="28"/>
          <w:szCs w:val="28"/>
        </w:rPr>
        <w:t xml:space="preserve">; y </w:t>
      </w:r>
      <w:r>
        <w:rPr>
          <w:i/>
          <w:color w:val="000000"/>
          <w:sz w:val="28"/>
          <w:szCs w:val="28"/>
        </w:rPr>
        <w:t>(</w:t>
      </w:r>
      <w:proofErr w:type="spellStart"/>
      <w:r>
        <w:rPr>
          <w:i/>
          <w:color w:val="000000"/>
          <w:sz w:val="28"/>
          <w:szCs w:val="28"/>
        </w:rPr>
        <w:t>iii</w:t>
      </w:r>
      <w:proofErr w:type="spellEnd"/>
      <w:r>
        <w:rPr>
          <w:i/>
          <w:color w:val="000000"/>
          <w:sz w:val="28"/>
          <w:szCs w:val="28"/>
        </w:rPr>
        <w:t xml:space="preserve">) </w:t>
      </w:r>
      <w:r>
        <w:rPr>
          <w:color w:val="000000"/>
          <w:sz w:val="28"/>
          <w:szCs w:val="28"/>
        </w:rPr>
        <w:t>el  Código General del Proceso (en adelante, CGP) establece que “[e]l juez que reciba el expediente no podrá declararse incompetente cuando el proceso le sea remitido por alguno de sus superiores funcionales”</w:t>
      </w:r>
      <w:r>
        <w:rPr>
          <w:color w:val="000000"/>
          <w:sz w:val="28"/>
          <w:szCs w:val="28"/>
          <w:vertAlign w:val="superscript"/>
        </w:rPr>
        <w:footnoteReference w:id="24"/>
      </w:r>
      <w:r>
        <w:rPr>
          <w:color w:val="000000"/>
          <w:sz w:val="28"/>
          <w:szCs w:val="28"/>
        </w:rPr>
        <w:t>.</w:t>
      </w:r>
    </w:p>
    <w:p w14:paraId="01A6582E" w14:textId="77777777" w:rsidR="0066100D" w:rsidRDefault="0066100D">
      <w:pPr>
        <w:rPr>
          <w:color w:val="000000"/>
        </w:rPr>
      </w:pPr>
    </w:p>
    <w:p w14:paraId="65917F2D" w14:textId="77777777" w:rsidR="0066100D" w:rsidRDefault="00D62FA9">
      <w:pPr>
        <w:numPr>
          <w:ilvl w:val="3"/>
          <w:numId w:val="2"/>
        </w:numPr>
        <w:pBdr>
          <w:top w:val="nil"/>
          <w:left w:val="nil"/>
          <w:bottom w:val="nil"/>
          <w:right w:val="nil"/>
          <w:between w:val="nil"/>
        </w:pBdr>
        <w:ind w:left="0" w:right="-8" w:firstLine="0"/>
        <w:jc w:val="both"/>
        <w:rPr>
          <w:color w:val="000000"/>
          <w:sz w:val="28"/>
          <w:szCs w:val="28"/>
        </w:rPr>
      </w:pPr>
      <w:r>
        <w:rPr>
          <w:color w:val="000000"/>
          <w:sz w:val="28"/>
          <w:szCs w:val="28"/>
        </w:rPr>
        <w:t>En sesión del 24 de octubre de 2023, el expediente fue asignado al despacho de la magistrada ponente</w:t>
      </w:r>
      <w:r>
        <w:rPr>
          <w:color w:val="000000"/>
          <w:sz w:val="28"/>
          <w:szCs w:val="28"/>
          <w:vertAlign w:val="superscript"/>
        </w:rPr>
        <w:footnoteReference w:id="25"/>
      </w:r>
      <w:r>
        <w:rPr>
          <w:color w:val="000000"/>
          <w:sz w:val="28"/>
          <w:szCs w:val="28"/>
        </w:rPr>
        <w:t>.</w:t>
      </w:r>
    </w:p>
    <w:p w14:paraId="19C8D078" w14:textId="77777777" w:rsidR="0066100D" w:rsidRDefault="0066100D">
      <w:pPr>
        <w:pBdr>
          <w:top w:val="nil"/>
          <w:left w:val="nil"/>
          <w:bottom w:val="nil"/>
          <w:right w:val="nil"/>
          <w:between w:val="nil"/>
        </w:pBdr>
        <w:ind w:right="-8"/>
        <w:jc w:val="both"/>
        <w:rPr>
          <w:color w:val="000000"/>
          <w:sz w:val="28"/>
          <w:szCs w:val="28"/>
        </w:rPr>
      </w:pPr>
    </w:p>
    <w:p w14:paraId="47F258D8" w14:textId="77777777" w:rsidR="0066100D" w:rsidRDefault="00D62FA9">
      <w:pPr>
        <w:numPr>
          <w:ilvl w:val="0"/>
          <w:numId w:val="1"/>
        </w:numPr>
        <w:pBdr>
          <w:top w:val="nil"/>
          <w:left w:val="nil"/>
          <w:bottom w:val="nil"/>
          <w:right w:val="nil"/>
          <w:between w:val="nil"/>
        </w:pBdr>
        <w:rPr>
          <w:b/>
          <w:color w:val="000000"/>
          <w:sz w:val="28"/>
          <w:szCs w:val="28"/>
          <w:highlight w:val="white"/>
        </w:rPr>
      </w:pPr>
      <w:r>
        <w:rPr>
          <w:b/>
          <w:color w:val="000000"/>
          <w:sz w:val="28"/>
          <w:szCs w:val="28"/>
          <w:highlight w:val="white"/>
        </w:rPr>
        <w:t>CONSIDERACIONES</w:t>
      </w:r>
    </w:p>
    <w:p w14:paraId="37473AB9" w14:textId="77777777" w:rsidR="0066100D" w:rsidRDefault="0066100D">
      <w:pPr>
        <w:rPr>
          <w:color w:val="000000"/>
          <w:highlight w:val="white"/>
        </w:rPr>
      </w:pPr>
    </w:p>
    <w:p w14:paraId="42A4A665" w14:textId="77777777" w:rsidR="0066100D" w:rsidRDefault="00D62FA9">
      <w:pPr>
        <w:numPr>
          <w:ilvl w:val="0"/>
          <w:numId w:val="3"/>
        </w:numPr>
        <w:pBdr>
          <w:top w:val="nil"/>
          <w:left w:val="nil"/>
          <w:bottom w:val="nil"/>
          <w:right w:val="nil"/>
          <w:between w:val="nil"/>
        </w:pBdr>
        <w:jc w:val="both"/>
        <w:rPr>
          <w:b/>
          <w:color w:val="000000"/>
          <w:sz w:val="28"/>
          <w:szCs w:val="28"/>
          <w:highlight w:val="white"/>
        </w:rPr>
      </w:pPr>
      <w:r>
        <w:rPr>
          <w:b/>
          <w:color w:val="000000"/>
          <w:sz w:val="28"/>
          <w:szCs w:val="28"/>
          <w:highlight w:val="white"/>
        </w:rPr>
        <w:t>Competencia</w:t>
      </w:r>
    </w:p>
    <w:p w14:paraId="41904CB4" w14:textId="77777777" w:rsidR="0066100D" w:rsidRDefault="0066100D">
      <w:pPr>
        <w:rPr>
          <w:color w:val="000000"/>
          <w:highlight w:val="white"/>
        </w:rPr>
      </w:pPr>
    </w:p>
    <w:p w14:paraId="57DB7154" w14:textId="77777777" w:rsidR="0066100D" w:rsidRDefault="00D62FA9">
      <w:pPr>
        <w:numPr>
          <w:ilvl w:val="3"/>
          <w:numId w:val="2"/>
        </w:numPr>
        <w:pBdr>
          <w:top w:val="nil"/>
          <w:left w:val="nil"/>
          <w:bottom w:val="nil"/>
          <w:right w:val="nil"/>
          <w:between w:val="nil"/>
        </w:pBdr>
        <w:ind w:left="0" w:right="-8" w:firstLine="0"/>
        <w:jc w:val="both"/>
        <w:rPr>
          <w:color w:val="000000"/>
          <w:sz w:val="28"/>
          <w:szCs w:val="28"/>
          <w:highlight w:val="white"/>
        </w:rPr>
      </w:pPr>
      <w:r>
        <w:rPr>
          <w:i/>
          <w:color w:val="000000"/>
          <w:sz w:val="28"/>
          <w:szCs w:val="28"/>
          <w:highlight w:val="white"/>
        </w:rPr>
        <w:t>La cosa juzgada constitucional en los conflictos de jurisdicciones. </w:t>
      </w:r>
      <w:r>
        <w:rPr>
          <w:color w:val="000000"/>
          <w:sz w:val="28"/>
          <w:szCs w:val="28"/>
          <w:highlight w:val="white"/>
        </w:rPr>
        <w:t>En el </w:t>
      </w:r>
      <w:r>
        <w:rPr>
          <w:b/>
          <w:color w:val="000000"/>
          <w:sz w:val="28"/>
          <w:szCs w:val="28"/>
          <w:highlight w:val="white"/>
        </w:rPr>
        <w:t>Auto 711 de 2021</w:t>
      </w:r>
      <w:r>
        <w:rPr>
          <w:color w:val="000000"/>
          <w:sz w:val="28"/>
          <w:szCs w:val="28"/>
          <w:highlight w:val="white"/>
        </w:rPr>
        <w:t>, la Corte Constitucional señaló que “[l]as decisiones adoptadas por el Consejo Superior de la Judicatura durante el período en el cual la Corte Constitucional no había asumido la competencia para resolver los conflictos de jurisdicción, gozan del principio de intangibilidad, que prohíbe al juez que dictó el fallo revocarlo o reformarlo. La improcedencia de un nuevo pronunciamiento de fondo sobre el caso sometido a consideración de esta Corporación responde a la necesidad de protección de la confianza legítima en el ordenamiento jurídico. Si una providencia judicial se encuentra en firme, produce el efecto de cosa juzgada, bien porque no contempla ningún tipo de recurso, o bien porque no se recurrió en su momento”. De conformidad con lo previsto por el artículo 303 del Código General del Proceso, esta Corte ha señalado que “el fenómeno de cosa juzgada se presenta cuando ‘el nuevo proceso verse sobre el mismo objeto, se funde en la misma causa que el anterior y entre ambos procesos haya identidad jurídica de partes’”</w:t>
      </w:r>
      <w:r>
        <w:rPr>
          <w:color w:val="000000"/>
          <w:sz w:val="28"/>
          <w:szCs w:val="28"/>
          <w:highlight w:val="white"/>
          <w:vertAlign w:val="superscript"/>
        </w:rPr>
        <w:footnoteReference w:id="26"/>
      </w:r>
      <w:r>
        <w:rPr>
          <w:color w:val="000000"/>
          <w:sz w:val="28"/>
          <w:szCs w:val="28"/>
          <w:highlight w:val="white"/>
        </w:rPr>
        <w:t>.</w:t>
      </w:r>
    </w:p>
    <w:p w14:paraId="1897787D" w14:textId="77777777" w:rsidR="0066100D" w:rsidRDefault="0066100D">
      <w:pPr>
        <w:pBdr>
          <w:top w:val="nil"/>
          <w:left w:val="nil"/>
          <w:bottom w:val="nil"/>
          <w:right w:val="nil"/>
          <w:between w:val="nil"/>
        </w:pBdr>
        <w:ind w:right="-8"/>
        <w:jc w:val="both"/>
        <w:rPr>
          <w:color w:val="000000"/>
          <w:sz w:val="28"/>
          <w:szCs w:val="28"/>
          <w:highlight w:val="white"/>
        </w:rPr>
      </w:pPr>
    </w:p>
    <w:p w14:paraId="05F60624" w14:textId="77777777" w:rsidR="0066100D" w:rsidRDefault="00D62FA9">
      <w:pPr>
        <w:numPr>
          <w:ilvl w:val="3"/>
          <w:numId w:val="2"/>
        </w:numPr>
        <w:pBdr>
          <w:top w:val="nil"/>
          <w:left w:val="nil"/>
          <w:bottom w:val="nil"/>
          <w:right w:val="nil"/>
          <w:between w:val="nil"/>
        </w:pBdr>
        <w:ind w:left="0" w:right="-8" w:firstLine="0"/>
        <w:jc w:val="both"/>
        <w:rPr>
          <w:color w:val="000000"/>
          <w:sz w:val="28"/>
          <w:szCs w:val="28"/>
          <w:highlight w:val="white"/>
        </w:rPr>
      </w:pPr>
      <w:r>
        <w:rPr>
          <w:i/>
          <w:color w:val="000000"/>
          <w:sz w:val="28"/>
          <w:szCs w:val="28"/>
          <w:highlight w:val="white"/>
        </w:rPr>
        <w:t>La cosa juzgada en los conflictos de jurisdicciones relacionados con procesos por el pago de recobros judiciales al Estado</w:t>
      </w:r>
      <w:r>
        <w:rPr>
          <w:color w:val="000000"/>
          <w:sz w:val="28"/>
          <w:szCs w:val="28"/>
          <w:highlight w:val="white"/>
        </w:rPr>
        <w:t>. Mediante el </w:t>
      </w:r>
      <w:r>
        <w:rPr>
          <w:b/>
          <w:color w:val="000000"/>
          <w:sz w:val="28"/>
          <w:szCs w:val="28"/>
          <w:highlight w:val="white"/>
        </w:rPr>
        <w:t>Auto 1942 de 2023</w:t>
      </w:r>
      <w:r>
        <w:rPr>
          <w:color w:val="000000"/>
          <w:sz w:val="28"/>
          <w:szCs w:val="28"/>
          <w:highlight w:val="white"/>
          <w:vertAlign w:val="superscript"/>
        </w:rPr>
        <w:footnoteReference w:id="27"/>
      </w:r>
      <w:r>
        <w:rPr>
          <w:color w:val="000000"/>
          <w:sz w:val="28"/>
          <w:szCs w:val="28"/>
          <w:highlight w:val="white"/>
        </w:rPr>
        <w:t>, la Sala Plena adoptó las reglas de transición para aplicar la regla de competencia establecida en el </w:t>
      </w:r>
      <w:r>
        <w:rPr>
          <w:b/>
          <w:color w:val="000000"/>
          <w:sz w:val="28"/>
          <w:szCs w:val="28"/>
          <w:highlight w:val="white"/>
        </w:rPr>
        <w:t>Auto 389 de 2021</w:t>
      </w:r>
      <w:r>
        <w:rPr>
          <w:color w:val="000000"/>
          <w:sz w:val="28"/>
          <w:szCs w:val="28"/>
          <w:highlight w:val="white"/>
        </w:rPr>
        <w:t>, en relación con procesos adelantados por el pago de recobros judiciales al Estado. En el referido auto, la Sala Plena advirtió que no era posible reabrir debates definidos por la Sala Jurisdiccional Disciplinaria del Consejo Superior de la Judicatura. En efecto, señaló que las reglas de transición no aplicaban “para los procesos en los que el Consejo Superior de la Judicatura haya dirimido un conflicto entre jurisdicciones indicando que la autoridad judicial competente era la ordinaria, especialidad laboral”. Esto, por cuanto tales decisiones hicieron tránsito a cosa juzgada. Además, explicó que “de este fenómeno jurídico se deriva entonces la prohibición a los funcionarios judiciales de proveer nuevamente sobre lo ya resuelto, de manera que no resulta posible que, como consecuencia de la expedición del Auto 389 de 2021 o [del Auto 1942 de 2023] se pretenda reabrir debates que ya fueron resueltos por el Consejo Superior de la Judicatura, incluso, si la decisión fue contraria a la establecida en el referido Auto 389”.</w:t>
      </w:r>
    </w:p>
    <w:p w14:paraId="4A56456E" w14:textId="77777777" w:rsidR="0066100D" w:rsidRDefault="0066100D">
      <w:pPr>
        <w:pBdr>
          <w:top w:val="nil"/>
          <w:left w:val="nil"/>
          <w:bottom w:val="nil"/>
          <w:right w:val="nil"/>
          <w:between w:val="nil"/>
        </w:pBdr>
        <w:ind w:right="-8"/>
        <w:jc w:val="both"/>
        <w:rPr>
          <w:color w:val="000000"/>
          <w:sz w:val="28"/>
          <w:szCs w:val="28"/>
          <w:highlight w:val="white"/>
        </w:rPr>
      </w:pPr>
    </w:p>
    <w:p w14:paraId="6AB26932" w14:textId="65A343EE" w:rsidR="0066100D" w:rsidRDefault="00D62FA9">
      <w:pPr>
        <w:numPr>
          <w:ilvl w:val="3"/>
          <w:numId w:val="2"/>
        </w:numPr>
        <w:pBdr>
          <w:top w:val="nil"/>
          <w:left w:val="nil"/>
          <w:bottom w:val="nil"/>
          <w:right w:val="nil"/>
          <w:between w:val="nil"/>
        </w:pBdr>
        <w:ind w:left="0" w:right="-8" w:firstLine="0"/>
        <w:jc w:val="both"/>
        <w:rPr>
          <w:color w:val="000000"/>
          <w:sz w:val="28"/>
          <w:szCs w:val="28"/>
        </w:rPr>
      </w:pPr>
      <w:r>
        <w:rPr>
          <w:i/>
          <w:color w:val="000000"/>
          <w:sz w:val="28"/>
          <w:szCs w:val="28"/>
          <w:highlight w:val="white"/>
        </w:rPr>
        <w:lastRenderedPageBreak/>
        <w:t>En el caso sub examine se configuró el fenómeno de la cosa juzgada.</w:t>
      </w:r>
      <w:r>
        <w:rPr>
          <w:color w:val="000000"/>
          <w:sz w:val="28"/>
          <w:szCs w:val="28"/>
          <w:highlight w:val="white"/>
        </w:rPr>
        <w:t xml:space="preserve"> La Corte Constitucional advierte que, el 29 de agosto de 2018, la Sala Jurisdiccional Disciplinaria del Consejo Superior de la Judicatura dirimió el conflicto de competencias entre </w:t>
      </w:r>
      <w:r>
        <w:rPr>
          <w:i/>
          <w:color w:val="000000"/>
          <w:sz w:val="28"/>
          <w:szCs w:val="28"/>
        </w:rPr>
        <w:t>(i)</w:t>
      </w:r>
      <w:r>
        <w:rPr>
          <w:color w:val="000000"/>
          <w:sz w:val="28"/>
          <w:szCs w:val="28"/>
        </w:rPr>
        <w:t xml:space="preserve"> el Juzgado </w:t>
      </w:r>
      <w:r w:rsidR="005F697F">
        <w:rPr>
          <w:color w:val="000000"/>
          <w:sz w:val="28"/>
          <w:szCs w:val="28"/>
        </w:rPr>
        <w:t xml:space="preserve">1 </w:t>
      </w:r>
      <w:r>
        <w:rPr>
          <w:color w:val="000000"/>
          <w:sz w:val="28"/>
          <w:szCs w:val="28"/>
        </w:rPr>
        <w:t xml:space="preserve">Administrativo de Oralidad del Circuito de Bogotá, Sección Primera, </w:t>
      </w:r>
      <w:r>
        <w:rPr>
          <w:i/>
          <w:color w:val="000000"/>
          <w:sz w:val="28"/>
          <w:szCs w:val="28"/>
        </w:rPr>
        <w:t>(</w:t>
      </w:r>
      <w:proofErr w:type="spellStart"/>
      <w:r>
        <w:rPr>
          <w:i/>
          <w:color w:val="000000"/>
          <w:sz w:val="28"/>
          <w:szCs w:val="28"/>
        </w:rPr>
        <w:t>ii</w:t>
      </w:r>
      <w:proofErr w:type="spellEnd"/>
      <w:r>
        <w:rPr>
          <w:i/>
          <w:color w:val="000000"/>
          <w:sz w:val="28"/>
          <w:szCs w:val="28"/>
        </w:rPr>
        <w:t>)</w:t>
      </w:r>
      <w:r>
        <w:rPr>
          <w:color w:val="000000"/>
          <w:sz w:val="28"/>
          <w:szCs w:val="28"/>
        </w:rPr>
        <w:t xml:space="preserve"> el Juzgado </w:t>
      </w:r>
      <w:r w:rsidR="005F697F">
        <w:rPr>
          <w:color w:val="000000"/>
          <w:sz w:val="28"/>
          <w:szCs w:val="28"/>
        </w:rPr>
        <w:t xml:space="preserve">18 </w:t>
      </w:r>
      <w:r>
        <w:rPr>
          <w:color w:val="000000"/>
          <w:sz w:val="28"/>
          <w:szCs w:val="28"/>
        </w:rPr>
        <w:t xml:space="preserve">Laboral del Circuito de Bogotá, y </w:t>
      </w:r>
      <w:r>
        <w:rPr>
          <w:i/>
          <w:color w:val="000000"/>
          <w:sz w:val="28"/>
          <w:szCs w:val="28"/>
        </w:rPr>
        <w:t>(</w:t>
      </w:r>
      <w:proofErr w:type="spellStart"/>
      <w:r>
        <w:rPr>
          <w:i/>
          <w:color w:val="000000"/>
          <w:sz w:val="28"/>
          <w:szCs w:val="28"/>
        </w:rPr>
        <w:t>iii</w:t>
      </w:r>
      <w:proofErr w:type="spellEnd"/>
      <w:r>
        <w:rPr>
          <w:i/>
          <w:color w:val="000000"/>
          <w:sz w:val="28"/>
          <w:szCs w:val="28"/>
        </w:rPr>
        <w:t>)</w:t>
      </w:r>
      <w:r>
        <w:rPr>
          <w:color w:val="000000"/>
          <w:sz w:val="28"/>
          <w:szCs w:val="28"/>
        </w:rPr>
        <w:t xml:space="preserve"> la</w:t>
      </w:r>
      <w:r>
        <w:rPr>
          <w:i/>
          <w:color w:val="000000"/>
          <w:sz w:val="28"/>
          <w:szCs w:val="28"/>
        </w:rPr>
        <w:t xml:space="preserve"> </w:t>
      </w:r>
      <w:r>
        <w:rPr>
          <w:color w:val="000000"/>
          <w:sz w:val="28"/>
          <w:szCs w:val="28"/>
        </w:rPr>
        <w:t>Superintendencia Nacional de Salud, delegada para la Función Jurisdiccional y de Conciliación</w:t>
      </w:r>
      <w:r>
        <w:rPr>
          <w:color w:val="000000"/>
          <w:sz w:val="28"/>
          <w:szCs w:val="28"/>
          <w:highlight w:val="white"/>
        </w:rPr>
        <w:t xml:space="preserve">. En dicha oportunidad, asignó el conocimiento del proceso </w:t>
      </w:r>
      <w:r w:rsidR="005F697F">
        <w:rPr>
          <w:color w:val="000000"/>
          <w:sz w:val="28"/>
          <w:szCs w:val="28"/>
          <w:highlight w:val="white"/>
        </w:rPr>
        <w:t xml:space="preserve">cuya competencia se debate nuevamente </w:t>
      </w:r>
      <w:r>
        <w:rPr>
          <w:color w:val="000000"/>
          <w:sz w:val="28"/>
          <w:szCs w:val="28"/>
          <w:highlight w:val="white"/>
        </w:rPr>
        <w:t xml:space="preserve">al </w:t>
      </w:r>
      <w:r>
        <w:rPr>
          <w:color w:val="000000"/>
          <w:sz w:val="28"/>
          <w:szCs w:val="28"/>
        </w:rPr>
        <w:t>Juzgado Dieciocho Laboral del Circuito de Bogotá</w:t>
      </w:r>
      <w:r>
        <w:rPr>
          <w:color w:val="000000"/>
          <w:sz w:val="28"/>
          <w:szCs w:val="28"/>
          <w:highlight w:val="white"/>
        </w:rPr>
        <w:t xml:space="preserve"> (</w:t>
      </w:r>
      <w:r>
        <w:rPr>
          <w:i/>
          <w:color w:val="000000"/>
          <w:sz w:val="28"/>
          <w:szCs w:val="28"/>
          <w:highlight w:val="white"/>
        </w:rPr>
        <w:t>pár. 7</w:t>
      </w:r>
      <w:r>
        <w:rPr>
          <w:color w:val="000000"/>
          <w:sz w:val="28"/>
          <w:szCs w:val="28"/>
          <w:highlight w:val="white"/>
        </w:rPr>
        <w:t>). Para la Sala Plena, se configuró el fenómeno de cosa juzgada, por las siguientes tres razones:</w:t>
      </w:r>
    </w:p>
    <w:p w14:paraId="597A9401" w14:textId="77777777" w:rsidR="0066100D" w:rsidRDefault="0066100D">
      <w:pPr>
        <w:pBdr>
          <w:top w:val="nil"/>
          <w:left w:val="nil"/>
          <w:bottom w:val="nil"/>
          <w:right w:val="nil"/>
          <w:between w:val="nil"/>
        </w:pBdr>
        <w:ind w:left="720"/>
        <w:rPr>
          <w:color w:val="000000"/>
          <w:sz w:val="28"/>
          <w:szCs w:val="28"/>
        </w:rPr>
      </w:pPr>
    </w:p>
    <w:p w14:paraId="4E8CD955" w14:textId="5FF04205" w:rsidR="0066100D" w:rsidRDefault="00D62FA9">
      <w:pPr>
        <w:shd w:val="clear" w:color="auto" w:fill="FFFFFF"/>
        <w:ind w:left="567" w:right="49" w:hanging="567"/>
        <w:jc w:val="both"/>
        <w:rPr>
          <w:color w:val="2D2D2D"/>
          <w:sz w:val="28"/>
          <w:szCs w:val="28"/>
        </w:rPr>
      </w:pPr>
      <w:r>
        <w:rPr>
          <w:i/>
          <w:color w:val="2D2D2D"/>
          <w:sz w:val="28"/>
          <w:szCs w:val="28"/>
        </w:rPr>
        <w:t>(i)</w:t>
      </w:r>
      <w:r>
        <w:rPr>
          <w:i/>
          <w:color w:val="2D2D2D"/>
          <w:sz w:val="14"/>
          <w:szCs w:val="14"/>
        </w:rPr>
        <w:t>          </w:t>
      </w:r>
      <w:r>
        <w:rPr>
          <w:i/>
          <w:color w:val="000000"/>
          <w:sz w:val="28"/>
          <w:szCs w:val="28"/>
          <w:highlight w:val="white"/>
        </w:rPr>
        <w:t>Identidad de objeto. </w:t>
      </w:r>
      <w:r>
        <w:rPr>
          <w:color w:val="000000"/>
          <w:sz w:val="28"/>
          <w:szCs w:val="28"/>
          <w:highlight w:val="white"/>
        </w:rPr>
        <w:t xml:space="preserve">Se presenta identidad de objeto, en tanto que el proceso judicial en el que surgió la presente controversia es el mismo que </w:t>
      </w:r>
      <w:proofErr w:type="gramStart"/>
      <w:r>
        <w:rPr>
          <w:sz w:val="28"/>
          <w:szCs w:val="28"/>
          <w:highlight w:val="white"/>
        </w:rPr>
        <w:t>aquél</w:t>
      </w:r>
      <w:proofErr w:type="gramEnd"/>
      <w:r>
        <w:rPr>
          <w:color w:val="000000"/>
          <w:sz w:val="28"/>
          <w:szCs w:val="28"/>
          <w:highlight w:val="white"/>
        </w:rPr>
        <w:t xml:space="preserve"> respecto del cual se pronunció la Sala Jurisdiccional Disciplinaria en el auto del 29 de agosto de 2018. Esto es, la demanda interpuesta por Sanitas EPS </w:t>
      </w:r>
      <w:r w:rsidR="005F697F">
        <w:rPr>
          <w:color w:val="000000"/>
          <w:sz w:val="28"/>
          <w:szCs w:val="28"/>
          <w:highlight w:val="white"/>
        </w:rPr>
        <w:t>y</w:t>
      </w:r>
      <w:r>
        <w:rPr>
          <w:color w:val="000000"/>
          <w:sz w:val="28"/>
          <w:szCs w:val="28"/>
          <w:highlight w:val="white"/>
        </w:rPr>
        <w:t xml:space="preserve"> Colsanitas S.A en contra del Ministerio de Salud y Protección Social, por el reconocimiento y pago de recobros por servicios no incluidos en el POS, hoy PBS.</w:t>
      </w:r>
    </w:p>
    <w:p w14:paraId="0C7A6C19" w14:textId="77777777" w:rsidR="0066100D" w:rsidRDefault="00D62FA9">
      <w:pPr>
        <w:shd w:val="clear" w:color="auto" w:fill="FFFFFF"/>
        <w:ind w:left="567" w:right="49" w:hanging="567"/>
        <w:jc w:val="both"/>
        <w:rPr>
          <w:color w:val="2D2D2D"/>
          <w:sz w:val="28"/>
          <w:szCs w:val="28"/>
        </w:rPr>
      </w:pPr>
      <w:r>
        <w:rPr>
          <w:color w:val="2D2D2D"/>
          <w:sz w:val="28"/>
          <w:szCs w:val="28"/>
          <w:highlight w:val="white"/>
        </w:rPr>
        <w:t> </w:t>
      </w:r>
    </w:p>
    <w:p w14:paraId="4F91A2DE" w14:textId="4637339D" w:rsidR="0066100D" w:rsidRDefault="00D62FA9">
      <w:pPr>
        <w:shd w:val="clear" w:color="auto" w:fill="FFFFFF"/>
        <w:ind w:left="567" w:right="49" w:hanging="567"/>
        <w:jc w:val="both"/>
        <w:rPr>
          <w:color w:val="2D2D2D"/>
          <w:sz w:val="28"/>
          <w:szCs w:val="28"/>
        </w:rPr>
      </w:pPr>
      <w:r>
        <w:rPr>
          <w:i/>
          <w:color w:val="2D2D2D"/>
          <w:sz w:val="28"/>
          <w:szCs w:val="28"/>
        </w:rPr>
        <w:t>(</w:t>
      </w:r>
      <w:proofErr w:type="spellStart"/>
      <w:r>
        <w:rPr>
          <w:i/>
          <w:color w:val="2D2D2D"/>
          <w:sz w:val="28"/>
          <w:szCs w:val="28"/>
        </w:rPr>
        <w:t>ii</w:t>
      </w:r>
      <w:proofErr w:type="spellEnd"/>
      <w:r>
        <w:rPr>
          <w:i/>
          <w:color w:val="2D2D2D"/>
          <w:sz w:val="28"/>
          <w:szCs w:val="28"/>
        </w:rPr>
        <w:t>)</w:t>
      </w:r>
      <w:r>
        <w:rPr>
          <w:i/>
          <w:color w:val="2D2D2D"/>
          <w:sz w:val="14"/>
          <w:szCs w:val="14"/>
        </w:rPr>
        <w:t>       </w:t>
      </w:r>
      <w:r>
        <w:rPr>
          <w:i/>
          <w:color w:val="000000"/>
          <w:sz w:val="28"/>
          <w:szCs w:val="28"/>
          <w:highlight w:val="white"/>
        </w:rPr>
        <w:t>Identidad de partes</w:t>
      </w:r>
      <w:r>
        <w:rPr>
          <w:color w:val="000000"/>
          <w:sz w:val="28"/>
          <w:szCs w:val="28"/>
          <w:highlight w:val="white"/>
        </w:rPr>
        <w:t>. Pese a que las autoridades judiciales involucradas no son las mismas</w:t>
      </w:r>
      <w:r>
        <w:rPr>
          <w:color w:val="000000"/>
          <w:sz w:val="28"/>
          <w:szCs w:val="28"/>
          <w:highlight w:val="white"/>
          <w:vertAlign w:val="superscript"/>
        </w:rPr>
        <w:footnoteReference w:id="28"/>
      </w:r>
      <w:r>
        <w:rPr>
          <w:color w:val="000000"/>
          <w:sz w:val="28"/>
          <w:szCs w:val="28"/>
          <w:highlight w:val="white"/>
        </w:rPr>
        <w:t xml:space="preserve">, las jurisdicciones en conflicto sí lo son, a saber: las </w:t>
      </w:r>
      <w:proofErr w:type="gramStart"/>
      <w:r>
        <w:rPr>
          <w:color w:val="000000"/>
          <w:sz w:val="28"/>
          <w:szCs w:val="28"/>
          <w:highlight w:val="white"/>
        </w:rPr>
        <w:t>jurisdicciones ordinaria</w:t>
      </w:r>
      <w:proofErr w:type="gramEnd"/>
      <w:r>
        <w:rPr>
          <w:color w:val="000000"/>
          <w:sz w:val="28"/>
          <w:szCs w:val="28"/>
          <w:highlight w:val="white"/>
        </w:rPr>
        <w:t xml:space="preserve"> laboral y de lo contencioso administrativo. Al respecto, la Sala precisa que, por medio del </w:t>
      </w:r>
      <w:r>
        <w:rPr>
          <w:b/>
          <w:color w:val="000000"/>
          <w:sz w:val="28"/>
          <w:szCs w:val="28"/>
          <w:highlight w:val="white"/>
        </w:rPr>
        <w:t>Auto 2035 de 2023</w:t>
      </w:r>
      <w:r>
        <w:rPr>
          <w:color w:val="000000"/>
          <w:sz w:val="28"/>
          <w:szCs w:val="28"/>
          <w:highlight w:val="white"/>
        </w:rPr>
        <w:t>, señaló que “[a] pesar de que el conflicto </w:t>
      </w:r>
      <w:r>
        <w:rPr>
          <w:i/>
          <w:color w:val="000000"/>
          <w:sz w:val="28"/>
          <w:szCs w:val="28"/>
          <w:highlight w:val="white"/>
        </w:rPr>
        <w:t>sub examine</w:t>
      </w:r>
      <w:r>
        <w:rPr>
          <w:color w:val="000000"/>
          <w:sz w:val="28"/>
          <w:szCs w:val="28"/>
          <w:highlight w:val="white"/>
        </w:rPr>
        <w:t> lo originaron dos autoridades judiciales diferentes, las jurisdicciones en conflicto son las mismas”</w:t>
      </w:r>
      <w:r>
        <w:rPr>
          <w:color w:val="000000"/>
          <w:sz w:val="28"/>
          <w:szCs w:val="28"/>
          <w:highlight w:val="white"/>
          <w:vertAlign w:val="superscript"/>
        </w:rPr>
        <w:footnoteReference w:id="29"/>
      </w:r>
      <w:r>
        <w:rPr>
          <w:color w:val="000000"/>
          <w:sz w:val="28"/>
          <w:szCs w:val="28"/>
          <w:highlight w:val="white"/>
        </w:rPr>
        <w:t>. Por tanto, la Sala Plena tiene por acreditado este requisito.</w:t>
      </w:r>
    </w:p>
    <w:p w14:paraId="212209CC" w14:textId="77777777" w:rsidR="0066100D" w:rsidRDefault="00D62FA9">
      <w:pPr>
        <w:shd w:val="clear" w:color="auto" w:fill="FFFFFF"/>
        <w:ind w:left="567" w:right="49" w:hanging="567"/>
        <w:jc w:val="both"/>
        <w:rPr>
          <w:color w:val="2D2D2D"/>
          <w:sz w:val="28"/>
          <w:szCs w:val="28"/>
        </w:rPr>
      </w:pPr>
      <w:r>
        <w:rPr>
          <w:color w:val="2D2D2D"/>
          <w:sz w:val="28"/>
          <w:szCs w:val="28"/>
          <w:highlight w:val="white"/>
        </w:rPr>
        <w:t> </w:t>
      </w:r>
    </w:p>
    <w:p w14:paraId="31DEA735" w14:textId="4EC3E7E0" w:rsidR="0066100D" w:rsidRDefault="00D62FA9">
      <w:pPr>
        <w:shd w:val="clear" w:color="auto" w:fill="FFFFFF"/>
        <w:ind w:left="567" w:right="49" w:hanging="567"/>
        <w:jc w:val="both"/>
        <w:rPr>
          <w:color w:val="000000"/>
          <w:sz w:val="28"/>
          <w:szCs w:val="28"/>
          <w:highlight w:val="white"/>
        </w:rPr>
      </w:pPr>
      <w:r>
        <w:rPr>
          <w:i/>
          <w:color w:val="2D2D2D"/>
          <w:sz w:val="28"/>
          <w:szCs w:val="28"/>
        </w:rPr>
        <w:t>(</w:t>
      </w:r>
      <w:proofErr w:type="spellStart"/>
      <w:r>
        <w:rPr>
          <w:i/>
          <w:color w:val="2D2D2D"/>
          <w:sz w:val="28"/>
          <w:szCs w:val="28"/>
        </w:rPr>
        <w:t>iii</w:t>
      </w:r>
      <w:proofErr w:type="spellEnd"/>
      <w:r>
        <w:rPr>
          <w:i/>
          <w:color w:val="2D2D2D"/>
          <w:sz w:val="28"/>
          <w:szCs w:val="28"/>
        </w:rPr>
        <w:t>)</w:t>
      </w:r>
      <w:r>
        <w:rPr>
          <w:i/>
          <w:color w:val="2D2D2D"/>
          <w:sz w:val="14"/>
          <w:szCs w:val="14"/>
        </w:rPr>
        <w:t>    </w:t>
      </w:r>
      <w:r>
        <w:rPr>
          <w:i/>
          <w:color w:val="000000"/>
          <w:sz w:val="28"/>
          <w:szCs w:val="28"/>
          <w:highlight w:val="white"/>
        </w:rPr>
        <w:t>Identidad de causa petendi. </w:t>
      </w:r>
      <w:r>
        <w:rPr>
          <w:color w:val="000000"/>
          <w:sz w:val="28"/>
          <w:szCs w:val="28"/>
          <w:highlight w:val="white"/>
        </w:rPr>
        <w:t xml:space="preserve">La Sala reconoce que, en el primer conflicto, las autoridades judiciales cuestionaron la competencia con fundamento en normas de competencia previstas por el CPACA, CPTSS, CGP y lo </w:t>
      </w:r>
      <w:r>
        <w:rPr>
          <w:color w:val="2D2D2D"/>
          <w:sz w:val="28"/>
          <w:szCs w:val="28"/>
          <w:highlight w:val="white"/>
        </w:rPr>
        <w:t xml:space="preserve">establecido en los </w:t>
      </w:r>
      <w:r>
        <w:rPr>
          <w:color w:val="000000"/>
          <w:sz w:val="28"/>
          <w:szCs w:val="28"/>
          <w:highlight w:val="white"/>
        </w:rPr>
        <w:t xml:space="preserve">artículos 41 de la Ley 1122 de 2002 y 126 de la Ley 1438 de 2011. En esta oportunidad, los juzgados fundaron sus decisiones, entre otros, en los autos </w:t>
      </w:r>
      <w:r>
        <w:rPr>
          <w:color w:val="000000"/>
        </w:rPr>
        <w:t>389, 791, 807 de 2021</w:t>
      </w:r>
      <w:r>
        <w:rPr>
          <w:color w:val="000000"/>
          <w:sz w:val="28"/>
          <w:szCs w:val="28"/>
          <w:highlight w:val="white"/>
        </w:rPr>
        <w:t xml:space="preserve"> (</w:t>
      </w:r>
      <w:r>
        <w:rPr>
          <w:i/>
          <w:color w:val="000000"/>
          <w:sz w:val="28"/>
          <w:szCs w:val="28"/>
          <w:highlight w:val="white"/>
        </w:rPr>
        <w:t>pár</w:t>
      </w:r>
      <w:r>
        <w:rPr>
          <w:color w:val="000000"/>
          <w:sz w:val="28"/>
          <w:szCs w:val="28"/>
          <w:highlight w:val="white"/>
        </w:rPr>
        <w:t>. </w:t>
      </w:r>
      <w:r>
        <w:rPr>
          <w:i/>
          <w:color w:val="000000"/>
          <w:sz w:val="28"/>
          <w:szCs w:val="28"/>
          <w:highlight w:val="white"/>
        </w:rPr>
        <w:t>8</w:t>
      </w:r>
      <w:r>
        <w:rPr>
          <w:color w:val="000000"/>
          <w:sz w:val="28"/>
          <w:szCs w:val="28"/>
          <w:highlight w:val="white"/>
        </w:rPr>
        <w:t xml:space="preserve">) y 200 de 2022 dictados por la Corte Constitucional </w:t>
      </w:r>
      <w:r>
        <w:rPr>
          <w:color w:val="000000"/>
          <w:sz w:val="28"/>
          <w:szCs w:val="28"/>
        </w:rPr>
        <w:t>(</w:t>
      </w:r>
      <w:r>
        <w:rPr>
          <w:i/>
          <w:color w:val="000000"/>
          <w:sz w:val="28"/>
          <w:szCs w:val="28"/>
        </w:rPr>
        <w:t>pár. 9</w:t>
      </w:r>
      <w:r>
        <w:rPr>
          <w:color w:val="000000"/>
          <w:sz w:val="28"/>
          <w:szCs w:val="28"/>
        </w:rPr>
        <w:t>)</w:t>
      </w:r>
      <w:r>
        <w:rPr>
          <w:color w:val="000000"/>
          <w:sz w:val="28"/>
          <w:szCs w:val="28"/>
          <w:highlight w:val="white"/>
        </w:rPr>
        <w:t xml:space="preserve">. Sin embargo, para la Sala, “aun cuando existe este pronunciamiento de la Corte Constitucional, lo cierto es </w:t>
      </w:r>
      <w:proofErr w:type="gramStart"/>
      <w:r>
        <w:rPr>
          <w:color w:val="000000"/>
          <w:sz w:val="28"/>
          <w:szCs w:val="28"/>
          <w:highlight w:val="white"/>
        </w:rPr>
        <w:t>que</w:t>
      </w:r>
      <w:proofErr w:type="gramEnd"/>
      <w:r>
        <w:rPr>
          <w:color w:val="000000"/>
          <w:sz w:val="28"/>
          <w:szCs w:val="28"/>
          <w:highlight w:val="white"/>
        </w:rPr>
        <w:t xml:space="preserve"> para la causa actual, la Sala Jurisdiccional Disciplinaria del Consejo Superior de la Judicatura, autoridad judicial competente para ese momento, ya había adoptado una decisión definitiva, inmutable y vinculante, y no podía presentarse nuevamente el debate”</w:t>
      </w:r>
      <w:r>
        <w:rPr>
          <w:color w:val="000000"/>
          <w:sz w:val="28"/>
          <w:szCs w:val="28"/>
          <w:highlight w:val="white"/>
          <w:vertAlign w:val="superscript"/>
        </w:rPr>
        <w:footnoteReference w:id="30"/>
      </w:r>
      <w:r>
        <w:rPr>
          <w:color w:val="000000"/>
          <w:sz w:val="28"/>
          <w:szCs w:val="28"/>
          <w:highlight w:val="white"/>
        </w:rPr>
        <w:t>.</w:t>
      </w:r>
    </w:p>
    <w:p w14:paraId="45C17CC3" w14:textId="77777777" w:rsidR="0066100D" w:rsidRDefault="0066100D">
      <w:pPr>
        <w:shd w:val="clear" w:color="auto" w:fill="FFFFFF"/>
        <w:ind w:left="567" w:right="49" w:hanging="567"/>
        <w:jc w:val="both"/>
        <w:rPr>
          <w:color w:val="2D2D2D"/>
          <w:sz w:val="28"/>
          <w:szCs w:val="28"/>
        </w:rPr>
      </w:pPr>
    </w:p>
    <w:p w14:paraId="2ADC1CE2" w14:textId="77777777" w:rsidR="0066100D" w:rsidRDefault="00D62FA9">
      <w:pPr>
        <w:pBdr>
          <w:top w:val="nil"/>
          <w:left w:val="nil"/>
          <w:bottom w:val="nil"/>
          <w:right w:val="nil"/>
          <w:between w:val="nil"/>
        </w:pBdr>
        <w:ind w:right="-8"/>
        <w:jc w:val="both"/>
        <w:rPr>
          <w:color w:val="000000"/>
          <w:sz w:val="28"/>
          <w:szCs w:val="28"/>
          <w:highlight w:val="white"/>
        </w:rPr>
      </w:pPr>
      <w:bookmarkStart w:id="1" w:name="_heading=h.30j0zll" w:colFirst="0" w:colLast="0"/>
      <w:bookmarkEnd w:id="1"/>
      <w:r>
        <w:rPr>
          <w:color w:val="000000"/>
          <w:sz w:val="28"/>
          <w:szCs w:val="28"/>
          <w:highlight w:val="white"/>
        </w:rPr>
        <w:t>Por lo demás, de conformidad con el </w:t>
      </w:r>
      <w:r>
        <w:rPr>
          <w:b/>
          <w:color w:val="000000"/>
          <w:sz w:val="28"/>
          <w:szCs w:val="28"/>
          <w:highlight w:val="white"/>
        </w:rPr>
        <w:t>Auto 1942 de 2023</w:t>
      </w:r>
      <w:r>
        <w:rPr>
          <w:color w:val="000000"/>
          <w:sz w:val="28"/>
          <w:szCs w:val="28"/>
          <w:highlight w:val="white"/>
          <w:vertAlign w:val="superscript"/>
        </w:rPr>
        <w:footnoteReference w:id="31"/>
      </w:r>
      <w:r>
        <w:rPr>
          <w:color w:val="000000"/>
          <w:sz w:val="28"/>
          <w:szCs w:val="28"/>
          <w:highlight w:val="white"/>
        </w:rPr>
        <w:t>, no es posible desconocer la decisión adoptada el 29 de agosto de 2018 por la Sala Jurisdiccional Disciplinaria en el asunto </w:t>
      </w:r>
      <w:r>
        <w:rPr>
          <w:i/>
          <w:color w:val="000000"/>
          <w:sz w:val="28"/>
          <w:szCs w:val="28"/>
          <w:highlight w:val="white"/>
        </w:rPr>
        <w:t>sub examine</w:t>
      </w:r>
      <w:r>
        <w:rPr>
          <w:color w:val="000000"/>
          <w:sz w:val="28"/>
          <w:szCs w:val="28"/>
          <w:highlight w:val="white"/>
        </w:rPr>
        <w:t xml:space="preserve">. Pues, dicha decisión hizo tránsito a cosa </w:t>
      </w:r>
      <w:r>
        <w:rPr>
          <w:color w:val="000000"/>
          <w:sz w:val="28"/>
          <w:szCs w:val="28"/>
          <w:highlight w:val="white"/>
        </w:rPr>
        <w:lastRenderedPageBreak/>
        <w:t>juzgada y, como consecuencia, su respeto permite garantizar el principio de seguridad jurídica.</w:t>
      </w:r>
    </w:p>
    <w:p w14:paraId="594CCDFC" w14:textId="77777777" w:rsidR="0066100D" w:rsidRDefault="0066100D">
      <w:pPr>
        <w:pBdr>
          <w:top w:val="nil"/>
          <w:left w:val="nil"/>
          <w:bottom w:val="nil"/>
          <w:right w:val="nil"/>
          <w:between w:val="nil"/>
        </w:pBdr>
        <w:ind w:right="-8"/>
        <w:jc w:val="both"/>
        <w:rPr>
          <w:color w:val="000000"/>
          <w:sz w:val="28"/>
          <w:szCs w:val="28"/>
        </w:rPr>
      </w:pPr>
    </w:p>
    <w:p w14:paraId="72872C1D" w14:textId="68D966CB" w:rsidR="0066100D" w:rsidRDefault="00D62FA9">
      <w:pPr>
        <w:numPr>
          <w:ilvl w:val="3"/>
          <w:numId w:val="2"/>
        </w:numPr>
        <w:pBdr>
          <w:top w:val="nil"/>
          <w:left w:val="nil"/>
          <w:bottom w:val="nil"/>
          <w:right w:val="nil"/>
          <w:between w:val="nil"/>
        </w:pBdr>
        <w:ind w:left="0" w:right="-8" w:firstLine="0"/>
        <w:jc w:val="both"/>
        <w:rPr>
          <w:color w:val="000000"/>
          <w:sz w:val="28"/>
          <w:szCs w:val="28"/>
        </w:rPr>
      </w:pPr>
      <w:r>
        <w:rPr>
          <w:color w:val="000000"/>
          <w:sz w:val="28"/>
          <w:szCs w:val="28"/>
          <w:highlight w:val="white"/>
        </w:rPr>
        <w:t>Por las razones expuestas, la Sala Plena considera que, por medio del auto del 29 de agosto de 2018, la Sala Jurisdiccional Disciplinaria del Consejo Superior de la Judicatura dirimió el conflicto</w:t>
      </w:r>
      <w:r w:rsidR="00764008">
        <w:rPr>
          <w:color w:val="000000"/>
          <w:sz w:val="28"/>
          <w:szCs w:val="28"/>
          <w:highlight w:val="white"/>
        </w:rPr>
        <w:t>;</w:t>
      </w:r>
      <w:r>
        <w:rPr>
          <w:color w:val="000000"/>
          <w:sz w:val="28"/>
          <w:szCs w:val="28"/>
          <w:highlight w:val="white"/>
        </w:rPr>
        <w:t xml:space="preserve"> decisión que hizo tránsito a cosa juzgada. En ese sentido, ordenará estarse a lo resuelto en dicha providencia, por lo que remitirá el expediente al </w:t>
      </w:r>
      <w:r>
        <w:rPr>
          <w:color w:val="000000"/>
          <w:sz w:val="28"/>
          <w:szCs w:val="28"/>
        </w:rPr>
        <w:t xml:space="preserve">Juzgado </w:t>
      </w:r>
      <w:r w:rsidR="00764008">
        <w:rPr>
          <w:color w:val="000000"/>
          <w:sz w:val="28"/>
          <w:szCs w:val="28"/>
        </w:rPr>
        <w:t xml:space="preserve">18 </w:t>
      </w:r>
      <w:r>
        <w:rPr>
          <w:color w:val="000000"/>
          <w:sz w:val="28"/>
          <w:szCs w:val="28"/>
        </w:rPr>
        <w:t>Laboral del Circuito de Bogotá</w:t>
      </w:r>
      <w:r>
        <w:rPr>
          <w:color w:val="000000"/>
          <w:sz w:val="28"/>
          <w:szCs w:val="28"/>
          <w:highlight w:val="white"/>
        </w:rPr>
        <w:t>.</w:t>
      </w:r>
    </w:p>
    <w:p w14:paraId="46B44022" w14:textId="77777777" w:rsidR="0066100D" w:rsidRDefault="0066100D">
      <w:pPr>
        <w:pBdr>
          <w:top w:val="nil"/>
          <w:left w:val="nil"/>
          <w:bottom w:val="nil"/>
          <w:right w:val="nil"/>
          <w:between w:val="nil"/>
        </w:pBdr>
        <w:ind w:right="-8"/>
        <w:jc w:val="both"/>
        <w:rPr>
          <w:color w:val="000000"/>
          <w:sz w:val="28"/>
          <w:szCs w:val="28"/>
        </w:rPr>
      </w:pPr>
    </w:p>
    <w:p w14:paraId="0C0D2BE6" w14:textId="77777777" w:rsidR="0066100D" w:rsidRDefault="00D62FA9">
      <w:pPr>
        <w:widowControl w:val="0"/>
        <w:numPr>
          <w:ilvl w:val="0"/>
          <w:numId w:val="1"/>
        </w:numPr>
        <w:pBdr>
          <w:top w:val="nil"/>
          <w:left w:val="nil"/>
          <w:bottom w:val="nil"/>
          <w:right w:val="nil"/>
          <w:between w:val="nil"/>
        </w:pBdr>
        <w:rPr>
          <w:b/>
          <w:color w:val="000000"/>
          <w:sz w:val="28"/>
          <w:szCs w:val="28"/>
        </w:rPr>
      </w:pPr>
      <w:r>
        <w:rPr>
          <w:b/>
          <w:color w:val="000000"/>
          <w:sz w:val="28"/>
          <w:szCs w:val="28"/>
        </w:rPr>
        <w:t xml:space="preserve">DECISIÓN </w:t>
      </w:r>
    </w:p>
    <w:p w14:paraId="7059DE55" w14:textId="77777777" w:rsidR="0066100D" w:rsidRDefault="0066100D">
      <w:pPr>
        <w:pBdr>
          <w:top w:val="nil"/>
          <w:left w:val="nil"/>
          <w:bottom w:val="nil"/>
          <w:right w:val="nil"/>
          <w:between w:val="nil"/>
        </w:pBdr>
        <w:ind w:right="-8"/>
        <w:jc w:val="both"/>
        <w:rPr>
          <w:color w:val="000000"/>
          <w:sz w:val="28"/>
          <w:szCs w:val="28"/>
        </w:rPr>
      </w:pPr>
    </w:p>
    <w:p w14:paraId="42B36388" w14:textId="77777777" w:rsidR="0066100D" w:rsidRDefault="00D62FA9">
      <w:pPr>
        <w:jc w:val="both"/>
        <w:rPr>
          <w:color w:val="000000"/>
          <w:sz w:val="28"/>
          <w:szCs w:val="28"/>
        </w:rPr>
      </w:pPr>
      <w:r>
        <w:rPr>
          <w:color w:val="000000"/>
          <w:sz w:val="28"/>
          <w:szCs w:val="28"/>
        </w:rPr>
        <w:t>En mérito de lo expuesto, la Sala Plena de la Corte Constitucional,</w:t>
      </w:r>
    </w:p>
    <w:p w14:paraId="76FE2D99" w14:textId="77777777" w:rsidR="0066100D" w:rsidRDefault="0066100D">
      <w:pPr>
        <w:jc w:val="both"/>
        <w:rPr>
          <w:color w:val="000000"/>
          <w:sz w:val="28"/>
          <w:szCs w:val="28"/>
        </w:rPr>
      </w:pPr>
    </w:p>
    <w:p w14:paraId="10283494" w14:textId="77777777" w:rsidR="0066100D" w:rsidRDefault="00D62FA9">
      <w:pPr>
        <w:ind w:right="-235"/>
        <w:jc w:val="center"/>
        <w:rPr>
          <w:b/>
          <w:color w:val="000000"/>
          <w:sz w:val="28"/>
          <w:szCs w:val="28"/>
        </w:rPr>
      </w:pPr>
      <w:r>
        <w:rPr>
          <w:b/>
          <w:color w:val="000000"/>
          <w:sz w:val="28"/>
          <w:szCs w:val="28"/>
        </w:rPr>
        <w:t>RESUELVE</w:t>
      </w:r>
      <w:r>
        <w:rPr>
          <w:color w:val="000000"/>
          <w:sz w:val="28"/>
          <w:szCs w:val="28"/>
        </w:rPr>
        <w:t xml:space="preserve"> </w:t>
      </w:r>
    </w:p>
    <w:p w14:paraId="7175DE1D" w14:textId="77777777" w:rsidR="0066100D" w:rsidRDefault="0066100D">
      <w:pPr>
        <w:ind w:right="-235"/>
        <w:jc w:val="both"/>
        <w:rPr>
          <w:b/>
          <w:color w:val="000000"/>
          <w:sz w:val="28"/>
          <w:szCs w:val="28"/>
        </w:rPr>
      </w:pPr>
    </w:p>
    <w:p w14:paraId="51D70242" w14:textId="464F841E" w:rsidR="0066100D" w:rsidRDefault="00D62FA9">
      <w:pPr>
        <w:shd w:val="clear" w:color="auto" w:fill="FFFFFF"/>
        <w:ind w:right="49"/>
        <w:jc w:val="both"/>
        <w:rPr>
          <w:color w:val="000000"/>
          <w:sz w:val="28"/>
          <w:szCs w:val="28"/>
        </w:rPr>
      </w:pPr>
      <w:r>
        <w:rPr>
          <w:b/>
          <w:color w:val="000000"/>
          <w:sz w:val="28"/>
          <w:szCs w:val="28"/>
        </w:rPr>
        <w:t>Primero. ESTARSE A LO RESUELTO </w:t>
      </w:r>
      <w:r>
        <w:rPr>
          <w:color w:val="000000"/>
          <w:sz w:val="28"/>
          <w:szCs w:val="28"/>
        </w:rPr>
        <w:t xml:space="preserve">por el Consejo Superior de la Judicatura </w:t>
      </w:r>
      <w:r w:rsidRPr="00764008">
        <w:rPr>
          <w:color w:val="000000"/>
          <w:sz w:val="28"/>
          <w:szCs w:val="28"/>
        </w:rPr>
        <w:t>en el </w:t>
      </w:r>
      <w:r w:rsidRPr="004854E6">
        <w:rPr>
          <w:color w:val="000000"/>
          <w:sz w:val="28"/>
          <w:szCs w:val="28"/>
          <w:highlight w:val="white"/>
        </w:rPr>
        <w:t>29 de agosto de 2018</w:t>
      </w:r>
      <w:r w:rsidRPr="00764008">
        <w:rPr>
          <w:color w:val="000000"/>
          <w:sz w:val="28"/>
          <w:szCs w:val="28"/>
        </w:rPr>
        <w:t>, en el cual la Sala Jurisdiccional Disciplinaria del Consejo Superior de la Judicatura </w:t>
      </w:r>
      <w:r>
        <w:rPr>
          <w:color w:val="000000"/>
          <w:sz w:val="28"/>
          <w:szCs w:val="28"/>
        </w:rPr>
        <w:t xml:space="preserve">decidió que la competencia para conocer de este asunto correspondía al Juzgado </w:t>
      </w:r>
      <w:r w:rsidR="00764008">
        <w:rPr>
          <w:color w:val="000000"/>
          <w:sz w:val="28"/>
          <w:szCs w:val="28"/>
        </w:rPr>
        <w:t xml:space="preserve">18 </w:t>
      </w:r>
      <w:r>
        <w:rPr>
          <w:color w:val="000000"/>
          <w:sz w:val="28"/>
          <w:szCs w:val="28"/>
        </w:rPr>
        <w:t>Laboral del Circuito de Bogotá.</w:t>
      </w:r>
    </w:p>
    <w:p w14:paraId="407E8467" w14:textId="77777777" w:rsidR="0066100D" w:rsidRDefault="00D62FA9">
      <w:pPr>
        <w:shd w:val="clear" w:color="auto" w:fill="FFFFFF"/>
        <w:ind w:right="49"/>
        <w:jc w:val="both"/>
        <w:rPr>
          <w:color w:val="000000"/>
          <w:sz w:val="28"/>
          <w:szCs w:val="28"/>
        </w:rPr>
      </w:pPr>
      <w:r>
        <w:rPr>
          <w:color w:val="000000"/>
          <w:sz w:val="28"/>
          <w:szCs w:val="28"/>
        </w:rPr>
        <w:t> </w:t>
      </w:r>
    </w:p>
    <w:p w14:paraId="50AA48DF" w14:textId="2C8FBC93" w:rsidR="0066100D" w:rsidRDefault="00D62FA9">
      <w:pPr>
        <w:shd w:val="clear" w:color="auto" w:fill="FFFFFF"/>
        <w:ind w:right="49"/>
        <w:jc w:val="both"/>
        <w:rPr>
          <w:color w:val="000000"/>
          <w:sz w:val="28"/>
          <w:szCs w:val="28"/>
        </w:rPr>
      </w:pPr>
      <w:r>
        <w:rPr>
          <w:b/>
          <w:color w:val="000000"/>
          <w:sz w:val="28"/>
          <w:szCs w:val="28"/>
        </w:rPr>
        <w:t>Segundo. REMITIR</w:t>
      </w:r>
      <w:r>
        <w:rPr>
          <w:color w:val="000000"/>
          <w:sz w:val="28"/>
          <w:szCs w:val="28"/>
        </w:rPr>
        <w:t xml:space="preserve"> el expediente CJU-4556 al Juzgado </w:t>
      </w:r>
      <w:r w:rsidR="00764008">
        <w:rPr>
          <w:color w:val="000000"/>
          <w:sz w:val="28"/>
          <w:szCs w:val="28"/>
        </w:rPr>
        <w:t xml:space="preserve">18 </w:t>
      </w:r>
      <w:r>
        <w:rPr>
          <w:color w:val="000000"/>
          <w:sz w:val="28"/>
          <w:szCs w:val="28"/>
        </w:rPr>
        <w:t>Laboral del Circuito de Bogotá</w:t>
      </w:r>
      <w:r w:rsidR="005F432E">
        <w:rPr>
          <w:color w:val="000000"/>
          <w:sz w:val="28"/>
          <w:szCs w:val="28"/>
        </w:rPr>
        <w:t>,</w:t>
      </w:r>
      <w:r>
        <w:rPr>
          <w:color w:val="000000"/>
          <w:sz w:val="28"/>
          <w:szCs w:val="28"/>
        </w:rPr>
        <w:t xml:space="preserve"> para que proceda conforme a lo previsto por la presente providencia y para que comunique esta decisión al Juzgado </w:t>
      </w:r>
      <w:r w:rsidR="00764008">
        <w:rPr>
          <w:color w:val="000000"/>
          <w:sz w:val="28"/>
          <w:szCs w:val="28"/>
        </w:rPr>
        <w:t xml:space="preserve">5 </w:t>
      </w:r>
      <w:r>
        <w:rPr>
          <w:color w:val="000000"/>
          <w:sz w:val="28"/>
          <w:szCs w:val="28"/>
        </w:rPr>
        <w:t>Administrativo Oral del Circuito de Bogotá, Sección Primera</w:t>
      </w:r>
      <w:r w:rsidR="005F432E">
        <w:rPr>
          <w:color w:val="000000"/>
          <w:sz w:val="28"/>
          <w:szCs w:val="28"/>
        </w:rPr>
        <w:t>,</w:t>
      </w:r>
      <w:r>
        <w:rPr>
          <w:color w:val="000000"/>
          <w:sz w:val="28"/>
          <w:szCs w:val="28"/>
        </w:rPr>
        <w:t xml:space="preserve"> y a los interesados en el presente trámite.</w:t>
      </w:r>
    </w:p>
    <w:p w14:paraId="2FBA6A9B" w14:textId="77777777" w:rsidR="0066100D" w:rsidRDefault="0066100D">
      <w:pPr>
        <w:jc w:val="both"/>
        <w:rPr>
          <w:b/>
          <w:color w:val="000000"/>
          <w:sz w:val="28"/>
          <w:szCs w:val="28"/>
        </w:rPr>
      </w:pPr>
    </w:p>
    <w:p w14:paraId="1D987CC0" w14:textId="5D9616D1" w:rsidR="0066100D" w:rsidRDefault="00D62FA9">
      <w:pPr>
        <w:rPr>
          <w:color w:val="000000"/>
          <w:sz w:val="28"/>
          <w:szCs w:val="28"/>
        </w:rPr>
      </w:pPr>
      <w:r>
        <w:rPr>
          <w:color w:val="000000"/>
          <w:sz w:val="28"/>
          <w:szCs w:val="28"/>
        </w:rPr>
        <w:t>Notifíquese, comuníquese y cúmplase,</w:t>
      </w:r>
    </w:p>
    <w:p w14:paraId="61F62C89" w14:textId="3C177117" w:rsidR="00B3520E" w:rsidRDefault="00B3520E">
      <w:pPr>
        <w:rPr>
          <w:color w:val="000000"/>
          <w:sz w:val="28"/>
          <w:szCs w:val="28"/>
        </w:rPr>
      </w:pPr>
    </w:p>
    <w:p w14:paraId="6A5A59B7" w14:textId="72EC3AFE" w:rsidR="00B3520E" w:rsidRDefault="00B3520E">
      <w:pPr>
        <w:rPr>
          <w:color w:val="000000"/>
          <w:sz w:val="28"/>
          <w:szCs w:val="28"/>
        </w:rPr>
      </w:pPr>
    </w:p>
    <w:p w14:paraId="14D9645F" w14:textId="03AF5F08" w:rsidR="00B3520E" w:rsidRDefault="00B3520E" w:rsidP="00B3520E">
      <w:pPr>
        <w:jc w:val="center"/>
        <w:rPr>
          <w:color w:val="000000"/>
          <w:sz w:val="28"/>
          <w:szCs w:val="28"/>
        </w:rPr>
      </w:pPr>
      <w:r w:rsidRPr="00B3520E">
        <w:rPr>
          <w:color w:val="000000"/>
          <w:sz w:val="28"/>
          <w:szCs w:val="28"/>
        </w:rPr>
        <w:t>DIANA FAJARDO RIVERA</w:t>
      </w:r>
    </w:p>
    <w:p w14:paraId="79DD5AB1" w14:textId="17AE9267" w:rsidR="00B3520E" w:rsidRDefault="00B3520E" w:rsidP="00B3520E">
      <w:pPr>
        <w:jc w:val="center"/>
        <w:rPr>
          <w:color w:val="000000"/>
          <w:sz w:val="28"/>
          <w:szCs w:val="28"/>
        </w:rPr>
      </w:pPr>
      <w:r w:rsidRPr="00B3520E">
        <w:rPr>
          <w:color w:val="000000"/>
          <w:sz w:val="28"/>
          <w:szCs w:val="28"/>
        </w:rPr>
        <w:t>Presidenta</w:t>
      </w:r>
    </w:p>
    <w:p w14:paraId="1F333284" w14:textId="215A8348" w:rsidR="00B3520E" w:rsidRDefault="00B3520E" w:rsidP="00B3520E">
      <w:pPr>
        <w:jc w:val="center"/>
        <w:rPr>
          <w:color w:val="000000"/>
          <w:sz w:val="28"/>
          <w:szCs w:val="28"/>
        </w:rPr>
      </w:pPr>
    </w:p>
    <w:p w14:paraId="286B3155" w14:textId="33504AFE" w:rsidR="00B3520E" w:rsidRDefault="00B3520E" w:rsidP="00B3520E">
      <w:pPr>
        <w:jc w:val="center"/>
        <w:rPr>
          <w:color w:val="000000"/>
          <w:sz w:val="28"/>
          <w:szCs w:val="28"/>
        </w:rPr>
      </w:pPr>
    </w:p>
    <w:p w14:paraId="2A59C632" w14:textId="5115306C" w:rsidR="00B3520E" w:rsidRDefault="00B3520E" w:rsidP="00B3520E">
      <w:pPr>
        <w:jc w:val="center"/>
        <w:rPr>
          <w:color w:val="000000"/>
          <w:sz w:val="28"/>
          <w:szCs w:val="28"/>
        </w:rPr>
      </w:pPr>
    </w:p>
    <w:p w14:paraId="63A3E379" w14:textId="1341273A" w:rsidR="00B3520E" w:rsidRDefault="00B3520E" w:rsidP="00B3520E">
      <w:pPr>
        <w:jc w:val="center"/>
        <w:rPr>
          <w:color w:val="000000"/>
          <w:sz w:val="28"/>
          <w:szCs w:val="28"/>
        </w:rPr>
      </w:pPr>
      <w:r w:rsidRPr="00B3520E">
        <w:rPr>
          <w:color w:val="000000"/>
          <w:sz w:val="28"/>
          <w:szCs w:val="28"/>
        </w:rPr>
        <w:t>NATALIA ÁNGEL CABO</w:t>
      </w:r>
    </w:p>
    <w:p w14:paraId="458A923E" w14:textId="12F481DD" w:rsidR="00B3520E" w:rsidRDefault="00B3520E" w:rsidP="00B3520E">
      <w:pPr>
        <w:jc w:val="center"/>
        <w:rPr>
          <w:color w:val="000000"/>
          <w:sz w:val="28"/>
          <w:szCs w:val="28"/>
        </w:rPr>
      </w:pPr>
      <w:r w:rsidRPr="00B3520E">
        <w:rPr>
          <w:color w:val="000000"/>
          <w:sz w:val="28"/>
          <w:szCs w:val="28"/>
        </w:rPr>
        <w:t>Magistrada</w:t>
      </w:r>
    </w:p>
    <w:p w14:paraId="4926B0B5" w14:textId="00F022C2" w:rsidR="00B3520E" w:rsidRDefault="00B3520E" w:rsidP="00B3520E">
      <w:pPr>
        <w:jc w:val="center"/>
        <w:rPr>
          <w:color w:val="000000"/>
          <w:sz w:val="28"/>
          <w:szCs w:val="28"/>
        </w:rPr>
      </w:pPr>
    </w:p>
    <w:p w14:paraId="1772305D" w14:textId="12B628FF" w:rsidR="00B3520E" w:rsidRDefault="00B3520E" w:rsidP="00B3520E">
      <w:pPr>
        <w:jc w:val="center"/>
        <w:rPr>
          <w:color w:val="000000"/>
          <w:sz w:val="28"/>
          <w:szCs w:val="28"/>
        </w:rPr>
      </w:pPr>
    </w:p>
    <w:p w14:paraId="714F6902" w14:textId="0E7C53EC" w:rsidR="00B3520E" w:rsidRDefault="00B3520E" w:rsidP="00B3520E">
      <w:pPr>
        <w:jc w:val="center"/>
        <w:rPr>
          <w:color w:val="000000"/>
          <w:sz w:val="28"/>
          <w:szCs w:val="28"/>
        </w:rPr>
      </w:pPr>
    </w:p>
    <w:p w14:paraId="39DD7C23" w14:textId="234D8AE1" w:rsidR="00B3520E" w:rsidRDefault="00B3520E" w:rsidP="00B3520E">
      <w:pPr>
        <w:jc w:val="center"/>
        <w:rPr>
          <w:color w:val="000000"/>
          <w:sz w:val="28"/>
          <w:szCs w:val="28"/>
        </w:rPr>
      </w:pPr>
      <w:r w:rsidRPr="00B3520E">
        <w:rPr>
          <w:color w:val="000000"/>
          <w:sz w:val="28"/>
          <w:szCs w:val="28"/>
        </w:rPr>
        <w:t>JUAN CARLOS CORTÉS GONZÁLEZ</w:t>
      </w:r>
    </w:p>
    <w:p w14:paraId="70D59D05" w14:textId="69D44F0F" w:rsidR="00B3520E" w:rsidRDefault="00B3520E" w:rsidP="00B3520E">
      <w:pPr>
        <w:jc w:val="center"/>
        <w:rPr>
          <w:color w:val="000000"/>
          <w:sz w:val="28"/>
          <w:szCs w:val="28"/>
        </w:rPr>
      </w:pPr>
      <w:r w:rsidRPr="00B3520E">
        <w:rPr>
          <w:color w:val="000000"/>
          <w:sz w:val="28"/>
          <w:szCs w:val="28"/>
        </w:rPr>
        <w:t>Magistrado</w:t>
      </w:r>
    </w:p>
    <w:p w14:paraId="10E9F055" w14:textId="5DB8BAB9" w:rsidR="00B3520E" w:rsidRDefault="00B3520E" w:rsidP="00B3520E">
      <w:pPr>
        <w:jc w:val="center"/>
        <w:rPr>
          <w:color w:val="000000"/>
          <w:sz w:val="28"/>
          <w:szCs w:val="28"/>
        </w:rPr>
      </w:pPr>
    </w:p>
    <w:p w14:paraId="12E04558" w14:textId="40D0F74B" w:rsidR="00B3520E" w:rsidRDefault="00B3520E" w:rsidP="00B3520E">
      <w:pPr>
        <w:jc w:val="center"/>
        <w:rPr>
          <w:color w:val="000000"/>
          <w:sz w:val="28"/>
          <w:szCs w:val="28"/>
        </w:rPr>
      </w:pPr>
    </w:p>
    <w:p w14:paraId="2BABC62C" w14:textId="77DE5C39" w:rsidR="00B3520E" w:rsidRDefault="00B3520E" w:rsidP="00B3520E">
      <w:pPr>
        <w:jc w:val="center"/>
        <w:rPr>
          <w:color w:val="000000"/>
          <w:sz w:val="28"/>
          <w:szCs w:val="28"/>
        </w:rPr>
      </w:pPr>
    </w:p>
    <w:p w14:paraId="48BB8A62" w14:textId="2901A8BB" w:rsidR="00B3520E" w:rsidRDefault="00B3520E" w:rsidP="00B3520E">
      <w:pPr>
        <w:jc w:val="center"/>
        <w:rPr>
          <w:color w:val="000000"/>
          <w:sz w:val="28"/>
          <w:szCs w:val="28"/>
        </w:rPr>
      </w:pPr>
      <w:r w:rsidRPr="00B3520E">
        <w:rPr>
          <w:color w:val="000000"/>
          <w:sz w:val="28"/>
          <w:szCs w:val="28"/>
        </w:rPr>
        <w:t xml:space="preserve">JORGE ENRIQUE IBÁÑEZ NAJAR </w:t>
      </w:r>
    </w:p>
    <w:p w14:paraId="3FB2E108" w14:textId="74627B2C" w:rsidR="00B3520E" w:rsidRDefault="00B3520E" w:rsidP="00B3520E">
      <w:pPr>
        <w:jc w:val="center"/>
        <w:rPr>
          <w:color w:val="000000"/>
          <w:sz w:val="28"/>
          <w:szCs w:val="28"/>
        </w:rPr>
      </w:pPr>
      <w:r w:rsidRPr="00B3520E">
        <w:rPr>
          <w:color w:val="000000"/>
          <w:sz w:val="28"/>
          <w:szCs w:val="28"/>
        </w:rPr>
        <w:t>Magistrado</w:t>
      </w:r>
    </w:p>
    <w:p w14:paraId="011C4039" w14:textId="09BBDBF8" w:rsidR="00B3520E" w:rsidRDefault="00B3520E" w:rsidP="00B3520E">
      <w:pPr>
        <w:jc w:val="center"/>
        <w:rPr>
          <w:color w:val="000000"/>
          <w:sz w:val="28"/>
          <w:szCs w:val="28"/>
        </w:rPr>
      </w:pPr>
    </w:p>
    <w:p w14:paraId="06F25C20" w14:textId="1AC4FB1A" w:rsidR="00B3520E" w:rsidRDefault="00B3520E" w:rsidP="00B3520E">
      <w:pPr>
        <w:jc w:val="center"/>
        <w:rPr>
          <w:color w:val="000000"/>
          <w:sz w:val="28"/>
          <w:szCs w:val="28"/>
        </w:rPr>
      </w:pPr>
    </w:p>
    <w:p w14:paraId="11E1CA82" w14:textId="1E22A5F2" w:rsidR="00B3520E" w:rsidRDefault="00B3520E" w:rsidP="00B3520E">
      <w:pPr>
        <w:jc w:val="center"/>
        <w:rPr>
          <w:color w:val="000000"/>
          <w:sz w:val="28"/>
          <w:szCs w:val="28"/>
        </w:rPr>
      </w:pPr>
    </w:p>
    <w:p w14:paraId="12D8297A" w14:textId="0945809B" w:rsidR="00B3520E" w:rsidRDefault="00B3520E" w:rsidP="00B3520E">
      <w:pPr>
        <w:jc w:val="center"/>
        <w:rPr>
          <w:color w:val="000000"/>
          <w:sz w:val="28"/>
          <w:szCs w:val="28"/>
        </w:rPr>
      </w:pPr>
      <w:r w:rsidRPr="00B3520E">
        <w:rPr>
          <w:color w:val="000000"/>
          <w:sz w:val="28"/>
          <w:szCs w:val="28"/>
        </w:rPr>
        <w:t>ALEJANDRO LINARES CANTILLO</w:t>
      </w:r>
    </w:p>
    <w:p w14:paraId="4A635EC3" w14:textId="1DC43594" w:rsidR="00B3520E" w:rsidRDefault="00B3520E" w:rsidP="00B3520E">
      <w:pPr>
        <w:jc w:val="center"/>
        <w:rPr>
          <w:color w:val="000000"/>
          <w:sz w:val="28"/>
          <w:szCs w:val="28"/>
        </w:rPr>
      </w:pPr>
      <w:r w:rsidRPr="00B3520E">
        <w:rPr>
          <w:color w:val="000000"/>
          <w:sz w:val="28"/>
          <w:szCs w:val="28"/>
        </w:rPr>
        <w:t>Magistrado</w:t>
      </w:r>
    </w:p>
    <w:p w14:paraId="0B4827F1" w14:textId="0518263A" w:rsidR="00B3520E" w:rsidRDefault="00B3520E" w:rsidP="00B3520E">
      <w:pPr>
        <w:jc w:val="center"/>
        <w:rPr>
          <w:color w:val="000000"/>
          <w:sz w:val="28"/>
          <w:szCs w:val="28"/>
        </w:rPr>
      </w:pPr>
    </w:p>
    <w:p w14:paraId="0A7F255D" w14:textId="4AC90D4B" w:rsidR="00B3520E" w:rsidRDefault="00B3520E" w:rsidP="00B3520E">
      <w:pPr>
        <w:jc w:val="center"/>
        <w:rPr>
          <w:color w:val="000000"/>
          <w:sz w:val="28"/>
          <w:szCs w:val="28"/>
        </w:rPr>
      </w:pPr>
    </w:p>
    <w:p w14:paraId="1E0FCC0B" w14:textId="5F1374A5" w:rsidR="00B3520E" w:rsidRDefault="00B3520E" w:rsidP="00B3520E">
      <w:pPr>
        <w:jc w:val="center"/>
        <w:rPr>
          <w:color w:val="000000"/>
          <w:sz w:val="28"/>
          <w:szCs w:val="28"/>
        </w:rPr>
      </w:pPr>
    </w:p>
    <w:p w14:paraId="71E8A53E" w14:textId="3FC89CBC" w:rsidR="00B3520E" w:rsidRDefault="00B3520E" w:rsidP="00B3520E">
      <w:pPr>
        <w:jc w:val="center"/>
        <w:rPr>
          <w:color w:val="000000"/>
          <w:sz w:val="28"/>
          <w:szCs w:val="28"/>
        </w:rPr>
      </w:pPr>
      <w:r w:rsidRPr="00B3520E">
        <w:rPr>
          <w:color w:val="000000"/>
          <w:sz w:val="28"/>
          <w:szCs w:val="28"/>
        </w:rPr>
        <w:t>ANTONIO JOSÉ LIZARAZO OCAMPO</w:t>
      </w:r>
    </w:p>
    <w:p w14:paraId="0E31A46D" w14:textId="6E248F5C" w:rsidR="00B3520E" w:rsidRDefault="00B3520E" w:rsidP="00B3520E">
      <w:pPr>
        <w:jc w:val="center"/>
        <w:rPr>
          <w:color w:val="000000"/>
          <w:sz w:val="28"/>
          <w:szCs w:val="28"/>
        </w:rPr>
      </w:pPr>
      <w:r w:rsidRPr="00B3520E">
        <w:rPr>
          <w:color w:val="000000"/>
          <w:sz w:val="28"/>
          <w:szCs w:val="28"/>
        </w:rPr>
        <w:t>Magistrado</w:t>
      </w:r>
    </w:p>
    <w:p w14:paraId="0B9CB92E" w14:textId="5209EB4A" w:rsidR="00B3520E" w:rsidRDefault="00B3520E" w:rsidP="00B3520E">
      <w:pPr>
        <w:jc w:val="center"/>
        <w:rPr>
          <w:color w:val="000000"/>
          <w:sz w:val="28"/>
          <w:szCs w:val="28"/>
        </w:rPr>
      </w:pPr>
    </w:p>
    <w:p w14:paraId="61944A8D" w14:textId="10FCE6CE" w:rsidR="00B3520E" w:rsidRDefault="00B3520E" w:rsidP="00B3520E">
      <w:pPr>
        <w:jc w:val="center"/>
        <w:rPr>
          <w:color w:val="000000"/>
          <w:sz w:val="28"/>
          <w:szCs w:val="28"/>
        </w:rPr>
      </w:pPr>
    </w:p>
    <w:p w14:paraId="512F2FAC" w14:textId="1A44B43A" w:rsidR="00B3520E" w:rsidRDefault="00B3520E" w:rsidP="00B3520E">
      <w:pPr>
        <w:jc w:val="center"/>
        <w:rPr>
          <w:color w:val="000000"/>
          <w:sz w:val="28"/>
          <w:szCs w:val="28"/>
        </w:rPr>
      </w:pPr>
    </w:p>
    <w:p w14:paraId="35E29F66" w14:textId="5E9A56A7" w:rsidR="00B3520E" w:rsidRDefault="00B3520E" w:rsidP="00B3520E">
      <w:pPr>
        <w:jc w:val="center"/>
        <w:rPr>
          <w:color w:val="000000"/>
          <w:sz w:val="28"/>
          <w:szCs w:val="28"/>
        </w:rPr>
      </w:pPr>
      <w:r w:rsidRPr="00B3520E">
        <w:rPr>
          <w:color w:val="000000"/>
          <w:sz w:val="28"/>
          <w:szCs w:val="28"/>
        </w:rPr>
        <w:t>PAOLA ANDREA MENESES MOSQUERA</w:t>
      </w:r>
    </w:p>
    <w:p w14:paraId="61FB32E3" w14:textId="2153FD35" w:rsidR="00B3520E" w:rsidRDefault="00B3520E" w:rsidP="00B3520E">
      <w:pPr>
        <w:jc w:val="center"/>
        <w:rPr>
          <w:color w:val="000000"/>
          <w:sz w:val="28"/>
          <w:szCs w:val="28"/>
        </w:rPr>
      </w:pPr>
      <w:r w:rsidRPr="00B3520E">
        <w:rPr>
          <w:color w:val="000000"/>
          <w:sz w:val="28"/>
          <w:szCs w:val="28"/>
        </w:rPr>
        <w:t>Magistrada</w:t>
      </w:r>
    </w:p>
    <w:p w14:paraId="2E259B5E" w14:textId="01051D3C" w:rsidR="00B3520E" w:rsidRDefault="00B3520E" w:rsidP="00B3520E">
      <w:pPr>
        <w:jc w:val="center"/>
        <w:rPr>
          <w:color w:val="000000"/>
          <w:sz w:val="28"/>
          <w:szCs w:val="28"/>
        </w:rPr>
      </w:pPr>
    </w:p>
    <w:p w14:paraId="3C3F3E65" w14:textId="614979FD" w:rsidR="00B3520E" w:rsidRDefault="00B3520E" w:rsidP="00B3520E">
      <w:pPr>
        <w:jc w:val="center"/>
        <w:rPr>
          <w:color w:val="000000"/>
          <w:sz w:val="28"/>
          <w:szCs w:val="28"/>
        </w:rPr>
      </w:pPr>
    </w:p>
    <w:p w14:paraId="5AD9C749" w14:textId="6FBF1654" w:rsidR="00B3520E" w:rsidRDefault="00B3520E" w:rsidP="00B3520E">
      <w:pPr>
        <w:jc w:val="center"/>
        <w:rPr>
          <w:color w:val="000000"/>
          <w:sz w:val="28"/>
          <w:szCs w:val="28"/>
        </w:rPr>
      </w:pPr>
    </w:p>
    <w:p w14:paraId="16882BCD" w14:textId="634F78E7" w:rsidR="00B3520E" w:rsidRDefault="00B3520E" w:rsidP="00B3520E">
      <w:pPr>
        <w:jc w:val="center"/>
        <w:rPr>
          <w:color w:val="000000"/>
          <w:sz w:val="28"/>
          <w:szCs w:val="28"/>
        </w:rPr>
      </w:pPr>
      <w:r w:rsidRPr="00B3520E">
        <w:rPr>
          <w:color w:val="000000"/>
          <w:sz w:val="28"/>
          <w:szCs w:val="28"/>
        </w:rPr>
        <w:t>CRISTINA PARDO SCHLESINGER</w:t>
      </w:r>
    </w:p>
    <w:p w14:paraId="7ADE1CA4" w14:textId="62DE4B89" w:rsidR="00B3520E" w:rsidRDefault="00B3520E" w:rsidP="00B3520E">
      <w:pPr>
        <w:jc w:val="center"/>
        <w:rPr>
          <w:color w:val="000000"/>
          <w:sz w:val="28"/>
          <w:szCs w:val="28"/>
        </w:rPr>
      </w:pPr>
      <w:r w:rsidRPr="00B3520E">
        <w:rPr>
          <w:color w:val="000000"/>
          <w:sz w:val="28"/>
          <w:szCs w:val="28"/>
        </w:rPr>
        <w:t>Magistrada</w:t>
      </w:r>
    </w:p>
    <w:p w14:paraId="0504BD03" w14:textId="1F4CFB7F" w:rsidR="00B3520E" w:rsidRDefault="00B3520E" w:rsidP="00B3520E">
      <w:pPr>
        <w:jc w:val="center"/>
        <w:rPr>
          <w:color w:val="000000"/>
          <w:sz w:val="28"/>
          <w:szCs w:val="28"/>
        </w:rPr>
      </w:pPr>
    </w:p>
    <w:p w14:paraId="67590AE8" w14:textId="5E0442F7" w:rsidR="00B3520E" w:rsidRDefault="00B3520E" w:rsidP="00B3520E">
      <w:pPr>
        <w:jc w:val="center"/>
        <w:rPr>
          <w:color w:val="000000"/>
          <w:sz w:val="28"/>
          <w:szCs w:val="28"/>
        </w:rPr>
      </w:pPr>
    </w:p>
    <w:p w14:paraId="6489F204" w14:textId="1B168010" w:rsidR="00B3520E" w:rsidRDefault="00B3520E" w:rsidP="00B3520E">
      <w:pPr>
        <w:jc w:val="center"/>
        <w:rPr>
          <w:color w:val="000000"/>
          <w:sz w:val="28"/>
          <w:szCs w:val="28"/>
        </w:rPr>
      </w:pPr>
    </w:p>
    <w:p w14:paraId="53AC97EB" w14:textId="39A20426" w:rsidR="00B3520E" w:rsidRDefault="00B3520E" w:rsidP="00B3520E">
      <w:pPr>
        <w:jc w:val="center"/>
        <w:rPr>
          <w:color w:val="000000"/>
          <w:sz w:val="28"/>
          <w:szCs w:val="28"/>
        </w:rPr>
      </w:pPr>
      <w:r w:rsidRPr="00B3520E">
        <w:rPr>
          <w:color w:val="000000"/>
          <w:sz w:val="28"/>
          <w:szCs w:val="28"/>
        </w:rPr>
        <w:t>JOSE FERNANDO REYES CUARTAS</w:t>
      </w:r>
    </w:p>
    <w:p w14:paraId="17860125" w14:textId="4E625C3D" w:rsidR="00B3520E" w:rsidRDefault="00B3520E" w:rsidP="00B3520E">
      <w:pPr>
        <w:jc w:val="center"/>
        <w:rPr>
          <w:color w:val="000000"/>
          <w:sz w:val="28"/>
          <w:szCs w:val="28"/>
        </w:rPr>
      </w:pPr>
      <w:r w:rsidRPr="00B3520E">
        <w:rPr>
          <w:color w:val="000000"/>
          <w:sz w:val="28"/>
          <w:szCs w:val="28"/>
        </w:rPr>
        <w:t>Magistrado</w:t>
      </w:r>
    </w:p>
    <w:p w14:paraId="2E7965E1" w14:textId="41F71273" w:rsidR="00B3520E" w:rsidRDefault="00B3520E" w:rsidP="00B3520E">
      <w:pPr>
        <w:jc w:val="center"/>
        <w:rPr>
          <w:color w:val="000000"/>
          <w:sz w:val="28"/>
          <w:szCs w:val="28"/>
        </w:rPr>
      </w:pPr>
    </w:p>
    <w:p w14:paraId="3E8BAA68" w14:textId="0F152F73" w:rsidR="00B3520E" w:rsidRDefault="00B3520E" w:rsidP="00B3520E">
      <w:pPr>
        <w:jc w:val="center"/>
        <w:rPr>
          <w:color w:val="000000"/>
          <w:sz w:val="28"/>
          <w:szCs w:val="28"/>
        </w:rPr>
      </w:pPr>
    </w:p>
    <w:p w14:paraId="3ACA162F" w14:textId="75C1E6E2" w:rsidR="00B3520E" w:rsidRDefault="00B3520E" w:rsidP="00B3520E">
      <w:pPr>
        <w:jc w:val="center"/>
        <w:rPr>
          <w:color w:val="000000"/>
          <w:sz w:val="28"/>
          <w:szCs w:val="28"/>
        </w:rPr>
      </w:pPr>
    </w:p>
    <w:p w14:paraId="5B4A06E3" w14:textId="49EAF4CA" w:rsidR="00B3520E" w:rsidRDefault="00B3520E" w:rsidP="00B3520E">
      <w:pPr>
        <w:jc w:val="center"/>
        <w:rPr>
          <w:color w:val="000000"/>
          <w:sz w:val="28"/>
          <w:szCs w:val="28"/>
        </w:rPr>
      </w:pPr>
      <w:r w:rsidRPr="00B3520E">
        <w:rPr>
          <w:color w:val="000000"/>
          <w:sz w:val="28"/>
          <w:szCs w:val="28"/>
        </w:rPr>
        <w:t>ANDREA LILIANA ROMERO LOPEZ</w:t>
      </w:r>
    </w:p>
    <w:p w14:paraId="55BDB62F" w14:textId="119EF0A8" w:rsidR="00B3520E" w:rsidRDefault="00B3520E" w:rsidP="00B3520E">
      <w:pPr>
        <w:jc w:val="center"/>
        <w:rPr>
          <w:color w:val="000000"/>
          <w:sz w:val="28"/>
          <w:szCs w:val="28"/>
        </w:rPr>
      </w:pPr>
      <w:r w:rsidRPr="00B3520E">
        <w:rPr>
          <w:color w:val="000000"/>
          <w:sz w:val="28"/>
          <w:szCs w:val="28"/>
        </w:rPr>
        <w:t>Secretaria General</w:t>
      </w:r>
    </w:p>
    <w:p w14:paraId="1983106F" w14:textId="541A3D07" w:rsidR="00B3520E" w:rsidRDefault="00B3520E" w:rsidP="00B3520E">
      <w:pPr>
        <w:jc w:val="center"/>
        <w:rPr>
          <w:color w:val="000000"/>
          <w:sz w:val="28"/>
          <w:szCs w:val="28"/>
        </w:rPr>
      </w:pPr>
    </w:p>
    <w:p w14:paraId="0DA4130F" w14:textId="2DC77274" w:rsidR="00B3520E" w:rsidRDefault="00B3520E" w:rsidP="00B3520E">
      <w:pPr>
        <w:jc w:val="center"/>
        <w:rPr>
          <w:color w:val="000000"/>
          <w:sz w:val="28"/>
          <w:szCs w:val="28"/>
        </w:rPr>
      </w:pPr>
    </w:p>
    <w:p w14:paraId="577E84C9" w14:textId="2BB8F926" w:rsidR="00B3520E" w:rsidRDefault="00B3520E" w:rsidP="00B3520E">
      <w:pPr>
        <w:jc w:val="center"/>
        <w:rPr>
          <w:color w:val="000000"/>
          <w:sz w:val="28"/>
          <w:szCs w:val="28"/>
        </w:rPr>
      </w:pPr>
    </w:p>
    <w:p w14:paraId="723AF062" w14:textId="5A24C7AD" w:rsidR="00B3520E" w:rsidRDefault="00B3520E" w:rsidP="00B3520E">
      <w:pPr>
        <w:jc w:val="center"/>
        <w:rPr>
          <w:color w:val="000000"/>
          <w:sz w:val="28"/>
          <w:szCs w:val="28"/>
        </w:rPr>
      </w:pPr>
    </w:p>
    <w:p w14:paraId="2A983F77" w14:textId="22270AB2" w:rsidR="00B3520E" w:rsidRDefault="00B3520E" w:rsidP="00B3520E">
      <w:pPr>
        <w:jc w:val="center"/>
        <w:rPr>
          <w:color w:val="000000"/>
          <w:sz w:val="28"/>
          <w:szCs w:val="28"/>
        </w:rPr>
      </w:pPr>
    </w:p>
    <w:p w14:paraId="4ED21339" w14:textId="77777777" w:rsidR="00B3520E" w:rsidRPr="00B3520E" w:rsidRDefault="00B3520E" w:rsidP="00B3520E">
      <w:pPr>
        <w:jc w:val="center"/>
        <w:rPr>
          <w:color w:val="000000"/>
          <w:sz w:val="28"/>
          <w:szCs w:val="28"/>
        </w:rPr>
      </w:pPr>
    </w:p>
    <w:sectPr w:rsidR="00B3520E" w:rsidRPr="00B3520E" w:rsidSect="00774427">
      <w:headerReference w:type="default" r:id="rId12"/>
      <w:pgSz w:w="12240" w:h="18720"/>
      <w:pgMar w:top="1134" w:right="1588" w:bottom="851" w:left="158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5EB1C" w14:textId="77777777" w:rsidR="00190E83" w:rsidRDefault="00190E83">
      <w:r>
        <w:separator/>
      </w:r>
    </w:p>
  </w:endnote>
  <w:endnote w:type="continuationSeparator" w:id="0">
    <w:p w14:paraId="717879CD" w14:textId="77777777" w:rsidR="00190E83" w:rsidRDefault="0019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DBA4" w14:textId="77777777" w:rsidR="00190E83" w:rsidRDefault="00190E83">
      <w:r>
        <w:separator/>
      </w:r>
    </w:p>
  </w:footnote>
  <w:footnote w:type="continuationSeparator" w:id="0">
    <w:p w14:paraId="09F50D84" w14:textId="77777777" w:rsidR="00190E83" w:rsidRDefault="00190E83">
      <w:r>
        <w:continuationSeparator/>
      </w:r>
    </w:p>
  </w:footnote>
  <w:footnote w:id="1">
    <w:p w14:paraId="1CDEF25C" w14:textId="7F27DD67" w:rsidR="005F697F" w:rsidRPr="00D62FA9" w:rsidRDefault="005F697F">
      <w:pPr>
        <w:pBdr>
          <w:top w:val="nil"/>
          <w:left w:val="nil"/>
          <w:bottom w:val="nil"/>
          <w:right w:val="nil"/>
          <w:between w:val="nil"/>
        </w:pBdr>
        <w:rPr>
          <w:color w:val="000000"/>
          <w:sz w:val="20"/>
          <w:szCs w:val="20"/>
        </w:rPr>
      </w:pPr>
      <w:r w:rsidRPr="004854E6">
        <w:rPr>
          <w:sz w:val="20"/>
          <w:szCs w:val="20"/>
          <w:vertAlign w:val="superscript"/>
        </w:rPr>
        <w:footnoteRef/>
      </w:r>
      <w:r w:rsidRPr="00D62FA9">
        <w:rPr>
          <w:color w:val="000000"/>
          <w:sz w:val="20"/>
          <w:szCs w:val="20"/>
        </w:rPr>
        <w:t xml:space="preserve"> Expediente digital.</w:t>
      </w:r>
      <w:r w:rsidRPr="004854E6">
        <w:rPr>
          <w:rFonts w:ascii="Source Sans Pro" w:eastAsia="Source Sans Pro" w:hAnsi="Source Sans Pro" w:cs="Source Sans Pro"/>
          <w:b/>
          <w:color w:val="333333"/>
          <w:sz w:val="20"/>
          <w:szCs w:val="20"/>
          <w:highlight w:val="white"/>
        </w:rPr>
        <w:t xml:space="preserve"> </w:t>
      </w:r>
      <w:r w:rsidRPr="00D62FA9">
        <w:rPr>
          <w:color w:val="000000"/>
          <w:sz w:val="20"/>
          <w:szCs w:val="20"/>
        </w:rPr>
        <w:t>11001310501820140053700, C01- Primera</w:t>
      </w:r>
      <w:r w:rsidR="00774427">
        <w:rPr>
          <w:color w:val="000000"/>
          <w:sz w:val="20"/>
          <w:szCs w:val="20"/>
        </w:rPr>
        <w:t xml:space="preserve"> </w:t>
      </w:r>
      <w:r w:rsidRPr="00D62FA9">
        <w:rPr>
          <w:color w:val="000000"/>
          <w:sz w:val="20"/>
          <w:szCs w:val="20"/>
        </w:rPr>
        <w:t>Instancia, 01 DemandaAnexos.pdf, p. 11.</w:t>
      </w:r>
    </w:p>
  </w:footnote>
  <w:footnote w:id="2">
    <w:p w14:paraId="300472E3" w14:textId="77777777" w:rsidR="005F697F" w:rsidRPr="00D62FA9" w:rsidRDefault="005F697F">
      <w:pPr>
        <w:pBdr>
          <w:top w:val="nil"/>
          <w:left w:val="nil"/>
          <w:bottom w:val="nil"/>
          <w:right w:val="nil"/>
          <w:between w:val="nil"/>
        </w:pBdr>
        <w:rPr>
          <w:color w:val="000000"/>
          <w:sz w:val="20"/>
          <w:szCs w:val="20"/>
        </w:rPr>
      </w:pPr>
      <w:r w:rsidRPr="004854E6">
        <w:rPr>
          <w:sz w:val="20"/>
          <w:szCs w:val="20"/>
          <w:vertAlign w:val="superscript"/>
        </w:rPr>
        <w:footnoteRef/>
      </w:r>
      <w:r w:rsidRPr="00D62FA9">
        <w:rPr>
          <w:color w:val="000000"/>
          <w:sz w:val="20"/>
          <w:szCs w:val="20"/>
        </w:rPr>
        <w:t xml:space="preserve"> Ib.</w:t>
      </w:r>
    </w:p>
  </w:footnote>
  <w:footnote w:id="3">
    <w:p w14:paraId="35B84289" w14:textId="77777777" w:rsidR="005F697F" w:rsidRPr="00D62FA9" w:rsidRDefault="005F697F">
      <w:pPr>
        <w:pBdr>
          <w:top w:val="nil"/>
          <w:left w:val="nil"/>
          <w:bottom w:val="nil"/>
          <w:right w:val="nil"/>
          <w:between w:val="nil"/>
        </w:pBdr>
        <w:rPr>
          <w:color w:val="000000"/>
          <w:sz w:val="20"/>
          <w:szCs w:val="20"/>
        </w:rPr>
      </w:pPr>
      <w:r w:rsidRPr="004854E6">
        <w:rPr>
          <w:sz w:val="20"/>
          <w:szCs w:val="20"/>
          <w:vertAlign w:val="superscript"/>
        </w:rPr>
        <w:footnoteRef/>
      </w:r>
      <w:r w:rsidRPr="00D62FA9">
        <w:rPr>
          <w:color w:val="000000"/>
          <w:sz w:val="20"/>
          <w:szCs w:val="20"/>
        </w:rPr>
        <w:t xml:space="preserve"> Ib.</w:t>
      </w:r>
    </w:p>
  </w:footnote>
  <w:footnote w:id="4">
    <w:p w14:paraId="78DD53F6" w14:textId="77777777" w:rsidR="005F697F" w:rsidRPr="00D62FA9" w:rsidRDefault="005F697F">
      <w:pPr>
        <w:pBdr>
          <w:top w:val="nil"/>
          <w:left w:val="nil"/>
          <w:bottom w:val="nil"/>
          <w:right w:val="nil"/>
          <w:between w:val="nil"/>
        </w:pBdr>
        <w:rPr>
          <w:b/>
          <w:color w:val="000000"/>
          <w:sz w:val="20"/>
          <w:szCs w:val="20"/>
        </w:rPr>
      </w:pPr>
      <w:r w:rsidRPr="004854E6">
        <w:rPr>
          <w:sz w:val="20"/>
          <w:szCs w:val="20"/>
          <w:vertAlign w:val="superscript"/>
        </w:rPr>
        <w:footnoteRef/>
      </w:r>
      <w:r w:rsidRPr="00D62FA9">
        <w:rPr>
          <w:color w:val="000000"/>
          <w:sz w:val="20"/>
          <w:szCs w:val="20"/>
        </w:rPr>
        <w:t xml:space="preserve"> Ib., p. 12.</w:t>
      </w:r>
    </w:p>
  </w:footnote>
  <w:footnote w:id="5">
    <w:p w14:paraId="5DEB0E89" w14:textId="77777777" w:rsidR="005F697F" w:rsidRPr="00AB45B5" w:rsidRDefault="005F697F">
      <w:pPr>
        <w:pBdr>
          <w:top w:val="nil"/>
          <w:left w:val="nil"/>
          <w:bottom w:val="nil"/>
          <w:right w:val="nil"/>
          <w:between w:val="nil"/>
        </w:pBdr>
        <w:rPr>
          <w:color w:val="000000"/>
          <w:sz w:val="20"/>
          <w:szCs w:val="20"/>
        </w:rPr>
      </w:pPr>
      <w:r w:rsidRPr="004854E6">
        <w:rPr>
          <w:sz w:val="20"/>
          <w:szCs w:val="20"/>
          <w:vertAlign w:val="superscript"/>
        </w:rPr>
        <w:footnoteRef/>
      </w:r>
      <w:r w:rsidRPr="00D62FA9">
        <w:rPr>
          <w:color w:val="000000"/>
          <w:sz w:val="20"/>
          <w:szCs w:val="20"/>
        </w:rPr>
        <w:t xml:space="preserve"> Ib., p. 46.</w:t>
      </w:r>
    </w:p>
  </w:footnote>
  <w:footnote w:id="6">
    <w:p w14:paraId="1D997583" w14:textId="77777777" w:rsidR="005F697F" w:rsidRPr="00AB45B5" w:rsidRDefault="005F697F">
      <w:pPr>
        <w:pBdr>
          <w:top w:val="nil"/>
          <w:left w:val="nil"/>
          <w:bottom w:val="nil"/>
          <w:right w:val="nil"/>
          <w:between w:val="nil"/>
        </w:pBdr>
        <w:rPr>
          <w:color w:val="000000"/>
          <w:sz w:val="20"/>
          <w:szCs w:val="20"/>
        </w:rPr>
      </w:pPr>
      <w:r w:rsidRPr="004854E6">
        <w:rPr>
          <w:sz w:val="20"/>
          <w:szCs w:val="20"/>
          <w:vertAlign w:val="superscript"/>
        </w:rPr>
        <w:footnoteRef/>
      </w:r>
      <w:r w:rsidRPr="00D62FA9">
        <w:rPr>
          <w:color w:val="000000"/>
          <w:sz w:val="20"/>
          <w:szCs w:val="20"/>
        </w:rPr>
        <w:t xml:space="preserve"> Ib., p. 48.</w:t>
      </w:r>
    </w:p>
  </w:footnote>
  <w:footnote w:id="7">
    <w:p w14:paraId="233DF0F8" w14:textId="77777777" w:rsidR="005F697F" w:rsidRPr="00AB45B5" w:rsidRDefault="005F697F">
      <w:pPr>
        <w:pBdr>
          <w:top w:val="nil"/>
          <w:left w:val="nil"/>
          <w:bottom w:val="nil"/>
          <w:right w:val="nil"/>
          <w:between w:val="nil"/>
        </w:pBdr>
        <w:rPr>
          <w:color w:val="000000"/>
          <w:sz w:val="20"/>
          <w:szCs w:val="20"/>
        </w:rPr>
      </w:pPr>
      <w:r w:rsidRPr="004854E6">
        <w:rPr>
          <w:sz w:val="20"/>
          <w:szCs w:val="20"/>
          <w:vertAlign w:val="superscript"/>
        </w:rPr>
        <w:footnoteRef/>
      </w:r>
      <w:r w:rsidRPr="00D62FA9">
        <w:rPr>
          <w:color w:val="000000"/>
          <w:sz w:val="20"/>
          <w:szCs w:val="20"/>
        </w:rPr>
        <w:t xml:space="preserve"> Ib., p. 73.</w:t>
      </w:r>
    </w:p>
  </w:footnote>
  <w:footnote w:id="8">
    <w:p w14:paraId="1A520D6C" w14:textId="77777777" w:rsidR="005F697F" w:rsidRPr="00AB45B5" w:rsidRDefault="005F697F">
      <w:pPr>
        <w:pBdr>
          <w:top w:val="nil"/>
          <w:left w:val="nil"/>
          <w:bottom w:val="nil"/>
          <w:right w:val="nil"/>
          <w:between w:val="nil"/>
        </w:pBdr>
        <w:rPr>
          <w:color w:val="000000"/>
          <w:sz w:val="20"/>
          <w:szCs w:val="20"/>
        </w:rPr>
      </w:pPr>
      <w:r w:rsidRPr="004854E6">
        <w:rPr>
          <w:sz w:val="20"/>
          <w:szCs w:val="20"/>
          <w:vertAlign w:val="superscript"/>
        </w:rPr>
        <w:footnoteRef/>
      </w:r>
      <w:r w:rsidRPr="00D62FA9">
        <w:rPr>
          <w:color w:val="000000"/>
          <w:sz w:val="20"/>
          <w:szCs w:val="20"/>
        </w:rPr>
        <w:t xml:space="preserve"> Ib., p. 80.</w:t>
      </w:r>
    </w:p>
  </w:footnote>
  <w:footnote w:id="9">
    <w:p w14:paraId="58D9ABF8" w14:textId="77777777" w:rsidR="005F697F" w:rsidRPr="00AB45B5" w:rsidRDefault="005F697F">
      <w:pPr>
        <w:pBdr>
          <w:top w:val="nil"/>
          <w:left w:val="nil"/>
          <w:bottom w:val="nil"/>
          <w:right w:val="nil"/>
          <w:between w:val="nil"/>
        </w:pBdr>
        <w:rPr>
          <w:color w:val="000000"/>
          <w:sz w:val="20"/>
          <w:szCs w:val="20"/>
        </w:rPr>
      </w:pPr>
      <w:r w:rsidRPr="004854E6">
        <w:rPr>
          <w:sz w:val="20"/>
          <w:szCs w:val="20"/>
          <w:vertAlign w:val="superscript"/>
        </w:rPr>
        <w:footnoteRef/>
      </w:r>
      <w:r w:rsidRPr="00D62FA9">
        <w:rPr>
          <w:color w:val="000000"/>
          <w:sz w:val="20"/>
          <w:szCs w:val="20"/>
        </w:rPr>
        <w:t xml:space="preserve"> Ib., p. 86.</w:t>
      </w:r>
    </w:p>
  </w:footnote>
  <w:footnote w:id="10">
    <w:p w14:paraId="31A72ABA" w14:textId="77777777" w:rsidR="005F697F" w:rsidRPr="00AB45B5" w:rsidRDefault="005F697F">
      <w:pPr>
        <w:pBdr>
          <w:top w:val="nil"/>
          <w:left w:val="nil"/>
          <w:bottom w:val="nil"/>
          <w:right w:val="nil"/>
          <w:between w:val="nil"/>
        </w:pBdr>
        <w:rPr>
          <w:color w:val="000000"/>
          <w:sz w:val="20"/>
          <w:szCs w:val="20"/>
        </w:rPr>
      </w:pPr>
      <w:r w:rsidRPr="004854E6">
        <w:rPr>
          <w:sz w:val="20"/>
          <w:szCs w:val="20"/>
          <w:vertAlign w:val="superscript"/>
        </w:rPr>
        <w:footnoteRef/>
      </w:r>
      <w:r w:rsidRPr="00D62FA9">
        <w:rPr>
          <w:color w:val="000000"/>
          <w:sz w:val="20"/>
          <w:szCs w:val="20"/>
        </w:rPr>
        <w:t xml:space="preserve"> Ib., p. 94.</w:t>
      </w:r>
    </w:p>
  </w:footnote>
  <w:footnote w:id="11">
    <w:p w14:paraId="751EEF0B" w14:textId="77777777" w:rsidR="005F697F" w:rsidRPr="00AB45B5" w:rsidRDefault="005F697F">
      <w:pPr>
        <w:pBdr>
          <w:top w:val="nil"/>
          <w:left w:val="nil"/>
          <w:bottom w:val="nil"/>
          <w:right w:val="nil"/>
          <w:between w:val="nil"/>
        </w:pBdr>
        <w:rPr>
          <w:color w:val="000000"/>
          <w:sz w:val="20"/>
          <w:szCs w:val="20"/>
        </w:rPr>
      </w:pPr>
      <w:r w:rsidRPr="004854E6">
        <w:rPr>
          <w:sz w:val="20"/>
          <w:szCs w:val="20"/>
          <w:vertAlign w:val="superscript"/>
        </w:rPr>
        <w:footnoteRef/>
      </w:r>
      <w:r w:rsidRPr="00D62FA9">
        <w:rPr>
          <w:color w:val="000000"/>
          <w:sz w:val="20"/>
          <w:szCs w:val="20"/>
        </w:rPr>
        <w:t xml:space="preserve"> Expediente digital.</w:t>
      </w:r>
      <w:r w:rsidRPr="004854E6">
        <w:rPr>
          <w:rFonts w:ascii="Source Sans Pro" w:eastAsia="Source Sans Pro" w:hAnsi="Source Sans Pro" w:cs="Source Sans Pro"/>
          <w:b/>
          <w:color w:val="333333"/>
          <w:sz w:val="20"/>
          <w:szCs w:val="20"/>
          <w:highlight w:val="white"/>
        </w:rPr>
        <w:t xml:space="preserve"> </w:t>
      </w:r>
      <w:r w:rsidRPr="00D62FA9">
        <w:rPr>
          <w:color w:val="000000"/>
          <w:sz w:val="20"/>
          <w:szCs w:val="20"/>
        </w:rPr>
        <w:t xml:space="preserve">11001310501820140053700, C01- </w:t>
      </w:r>
      <w:proofErr w:type="spellStart"/>
      <w:r w:rsidRPr="00D62FA9">
        <w:rPr>
          <w:color w:val="000000"/>
          <w:sz w:val="20"/>
          <w:szCs w:val="20"/>
        </w:rPr>
        <w:t>PrimeraInstancia</w:t>
      </w:r>
      <w:proofErr w:type="spellEnd"/>
      <w:r w:rsidRPr="00D62FA9">
        <w:rPr>
          <w:color w:val="000000"/>
          <w:sz w:val="20"/>
          <w:szCs w:val="20"/>
        </w:rPr>
        <w:t>, 03 AutoRechazaRemite.pdf</w:t>
      </w:r>
    </w:p>
  </w:footnote>
  <w:footnote w:id="12">
    <w:p w14:paraId="3EC57228" w14:textId="77777777" w:rsidR="005F697F" w:rsidRPr="00AB45B5" w:rsidRDefault="005F697F">
      <w:pPr>
        <w:pBdr>
          <w:top w:val="nil"/>
          <w:left w:val="nil"/>
          <w:bottom w:val="nil"/>
          <w:right w:val="nil"/>
          <w:between w:val="nil"/>
        </w:pBdr>
        <w:rPr>
          <w:color w:val="000000"/>
          <w:sz w:val="20"/>
          <w:szCs w:val="20"/>
        </w:rPr>
      </w:pPr>
      <w:r w:rsidRPr="004854E6">
        <w:rPr>
          <w:sz w:val="20"/>
          <w:szCs w:val="20"/>
          <w:vertAlign w:val="superscript"/>
        </w:rPr>
        <w:footnoteRef/>
      </w:r>
      <w:r w:rsidRPr="00D62FA9">
        <w:rPr>
          <w:color w:val="000000"/>
          <w:sz w:val="20"/>
          <w:szCs w:val="20"/>
        </w:rPr>
        <w:t xml:space="preserve"> Ley 1438 de 2011, artículo 126, literal f.</w:t>
      </w:r>
    </w:p>
  </w:footnote>
  <w:footnote w:id="13">
    <w:p w14:paraId="37B9376E" w14:textId="77777777" w:rsidR="005F697F" w:rsidRPr="00AB45B5" w:rsidRDefault="005F697F">
      <w:pPr>
        <w:pBdr>
          <w:top w:val="nil"/>
          <w:left w:val="nil"/>
          <w:bottom w:val="nil"/>
          <w:right w:val="nil"/>
          <w:between w:val="nil"/>
        </w:pBdr>
        <w:rPr>
          <w:color w:val="000000"/>
          <w:sz w:val="20"/>
          <w:szCs w:val="20"/>
        </w:rPr>
      </w:pPr>
      <w:r w:rsidRPr="004854E6">
        <w:rPr>
          <w:sz w:val="20"/>
          <w:szCs w:val="20"/>
          <w:vertAlign w:val="superscript"/>
        </w:rPr>
        <w:footnoteRef/>
      </w:r>
      <w:r w:rsidRPr="00D62FA9">
        <w:rPr>
          <w:color w:val="000000"/>
          <w:sz w:val="20"/>
          <w:szCs w:val="20"/>
        </w:rPr>
        <w:t xml:space="preserve"> Expediente digital.</w:t>
      </w:r>
      <w:r w:rsidRPr="004854E6">
        <w:rPr>
          <w:rFonts w:ascii="Source Sans Pro" w:eastAsia="Source Sans Pro" w:hAnsi="Source Sans Pro" w:cs="Source Sans Pro"/>
          <w:b/>
          <w:color w:val="333333"/>
          <w:sz w:val="20"/>
          <w:szCs w:val="20"/>
          <w:highlight w:val="white"/>
        </w:rPr>
        <w:t xml:space="preserve"> </w:t>
      </w:r>
      <w:r w:rsidRPr="00D62FA9">
        <w:rPr>
          <w:color w:val="000000"/>
          <w:sz w:val="20"/>
          <w:szCs w:val="20"/>
        </w:rPr>
        <w:t xml:space="preserve">11001310501820140053700, C01- </w:t>
      </w:r>
      <w:proofErr w:type="spellStart"/>
      <w:r w:rsidRPr="00D62FA9">
        <w:rPr>
          <w:color w:val="000000"/>
          <w:sz w:val="20"/>
          <w:szCs w:val="20"/>
        </w:rPr>
        <w:t>PrimeraInstancia</w:t>
      </w:r>
      <w:proofErr w:type="spellEnd"/>
      <w:r w:rsidRPr="00D62FA9">
        <w:rPr>
          <w:color w:val="000000"/>
          <w:sz w:val="20"/>
          <w:szCs w:val="20"/>
        </w:rPr>
        <w:t>, 06 DocumentalSupersalud.pdf</w:t>
      </w:r>
    </w:p>
  </w:footnote>
  <w:footnote w:id="14">
    <w:p w14:paraId="57905B10" w14:textId="77777777" w:rsidR="005F697F" w:rsidRPr="00AB45B5" w:rsidRDefault="005F697F">
      <w:pPr>
        <w:pBdr>
          <w:top w:val="nil"/>
          <w:left w:val="nil"/>
          <w:bottom w:val="nil"/>
          <w:right w:val="nil"/>
          <w:between w:val="nil"/>
        </w:pBdr>
        <w:rPr>
          <w:color w:val="000000"/>
          <w:sz w:val="20"/>
          <w:szCs w:val="20"/>
        </w:rPr>
      </w:pPr>
      <w:r w:rsidRPr="004854E6">
        <w:rPr>
          <w:sz w:val="20"/>
          <w:szCs w:val="20"/>
          <w:vertAlign w:val="superscript"/>
        </w:rPr>
        <w:footnoteRef/>
      </w:r>
      <w:r w:rsidRPr="00D62FA9">
        <w:rPr>
          <w:color w:val="000000"/>
          <w:sz w:val="20"/>
          <w:szCs w:val="20"/>
        </w:rPr>
        <w:t>Ib., p. 75.</w:t>
      </w:r>
    </w:p>
  </w:footnote>
  <w:footnote w:id="15">
    <w:p w14:paraId="5802686D" w14:textId="77777777" w:rsidR="005F697F" w:rsidRPr="00AB45B5" w:rsidRDefault="005F697F">
      <w:pPr>
        <w:pBdr>
          <w:top w:val="nil"/>
          <w:left w:val="nil"/>
          <w:bottom w:val="nil"/>
          <w:right w:val="nil"/>
          <w:between w:val="nil"/>
        </w:pBdr>
        <w:rPr>
          <w:color w:val="000000"/>
          <w:sz w:val="20"/>
          <w:szCs w:val="20"/>
        </w:rPr>
      </w:pPr>
      <w:r w:rsidRPr="004854E6">
        <w:rPr>
          <w:sz w:val="20"/>
          <w:szCs w:val="20"/>
          <w:vertAlign w:val="superscript"/>
        </w:rPr>
        <w:footnoteRef/>
      </w:r>
      <w:r w:rsidRPr="00D62FA9">
        <w:rPr>
          <w:color w:val="000000"/>
          <w:sz w:val="20"/>
          <w:szCs w:val="20"/>
        </w:rPr>
        <w:t xml:space="preserve"> Código General del Proceso, artículo 24.</w:t>
      </w:r>
    </w:p>
  </w:footnote>
  <w:footnote w:id="16">
    <w:p w14:paraId="6F6D01D9" w14:textId="77777777" w:rsidR="005F697F" w:rsidRPr="00AB45B5" w:rsidRDefault="005F697F">
      <w:pPr>
        <w:pBdr>
          <w:top w:val="nil"/>
          <w:left w:val="nil"/>
          <w:bottom w:val="nil"/>
          <w:right w:val="nil"/>
          <w:between w:val="nil"/>
        </w:pBdr>
        <w:jc w:val="both"/>
        <w:rPr>
          <w:color w:val="000000"/>
          <w:sz w:val="20"/>
          <w:szCs w:val="20"/>
        </w:rPr>
      </w:pPr>
      <w:r w:rsidRPr="004854E6">
        <w:rPr>
          <w:sz w:val="20"/>
          <w:szCs w:val="20"/>
          <w:vertAlign w:val="superscript"/>
        </w:rPr>
        <w:footnoteRef/>
      </w:r>
      <w:r w:rsidRPr="00D62FA9">
        <w:rPr>
          <w:color w:val="000000"/>
          <w:sz w:val="20"/>
          <w:szCs w:val="20"/>
        </w:rPr>
        <w:t>Expediente digital.</w:t>
      </w:r>
      <w:r w:rsidRPr="004854E6">
        <w:rPr>
          <w:rFonts w:ascii="Source Sans Pro" w:eastAsia="Source Sans Pro" w:hAnsi="Source Sans Pro" w:cs="Source Sans Pro"/>
          <w:b/>
          <w:color w:val="333333"/>
          <w:sz w:val="20"/>
          <w:szCs w:val="20"/>
          <w:highlight w:val="white"/>
        </w:rPr>
        <w:t xml:space="preserve"> </w:t>
      </w:r>
      <w:r w:rsidRPr="00D62FA9">
        <w:rPr>
          <w:color w:val="000000"/>
          <w:sz w:val="20"/>
          <w:szCs w:val="20"/>
        </w:rPr>
        <w:t xml:space="preserve">11001310501820140053700, C02- </w:t>
      </w:r>
      <w:proofErr w:type="spellStart"/>
      <w:r w:rsidRPr="00D62FA9">
        <w:rPr>
          <w:color w:val="000000"/>
          <w:sz w:val="20"/>
          <w:szCs w:val="20"/>
        </w:rPr>
        <w:t>SegundaInstancia</w:t>
      </w:r>
      <w:proofErr w:type="spellEnd"/>
      <w:r w:rsidRPr="00D62FA9">
        <w:rPr>
          <w:color w:val="000000"/>
          <w:sz w:val="20"/>
          <w:szCs w:val="20"/>
        </w:rPr>
        <w:t>, 01 CuadernoConflictosDiferentesJurisdicciones.pdf</w:t>
      </w:r>
    </w:p>
  </w:footnote>
  <w:footnote w:id="17">
    <w:p w14:paraId="43ECE362" w14:textId="77777777" w:rsidR="005F697F" w:rsidRPr="00AB45B5" w:rsidRDefault="005F697F">
      <w:pPr>
        <w:pBdr>
          <w:top w:val="nil"/>
          <w:left w:val="nil"/>
          <w:bottom w:val="nil"/>
          <w:right w:val="nil"/>
          <w:between w:val="nil"/>
        </w:pBdr>
        <w:jc w:val="both"/>
        <w:rPr>
          <w:color w:val="000000"/>
          <w:sz w:val="20"/>
          <w:szCs w:val="20"/>
        </w:rPr>
      </w:pPr>
      <w:r w:rsidRPr="004854E6">
        <w:rPr>
          <w:sz w:val="20"/>
          <w:szCs w:val="20"/>
          <w:vertAlign w:val="superscript"/>
        </w:rPr>
        <w:footnoteRef/>
      </w:r>
      <w:r w:rsidRPr="00D62FA9">
        <w:rPr>
          <w:color w:val="000000"/>
          <w:sz w:val="20"/>
          <w:szCs w:val="20"/>
        </w:rPr>
        <w:t>Ib., p. 23.</w:t>
      </w:r>
    </w:p>
  </w:footnote>
  <w:footnote w:id="18">
    <w:p w14:paraId="71DC02B0" w14:textId="77777777" w:rsidR="005F697F" w:rsidRPr="00AB45B5" w:rsidRDefault="005F697F">
      <w:pPr>
        <w:pBdr>
          <w:top w:val="nil"/>
          <w:left w:val="nil"/>
          <w:bottom w:val="nil"/>
          <w:right w:val="nil"/>
          <w:between w:val="nil"/>
        </w:pBdr>
        <w:jc w:val="both"/>
        <w:rPr>
          <w:color w:val="000000"/>
          <w:sz w:val="20"/>
          <w:szCs w:val="20"/>
        </w:rPr>
      </w:pPr>
      <w:r w:rsidRPr="004854E6">
        <w:rPr>
          <w:sz w:val="20"/>
          <w:szCs w:val="20"/>
          <w:vertAlign w:val="superscript"/>
        </w:rPr>
        <w:footnoteRef/>
      </w:r>
      <w:r w:rsidRPr="00D62FA9">
        <w:rPr>
          <w:color w:val="000000"/>
          <w:sz w:val="20"/>
          <w:szCs w:val="20"/>
        </w:rPr>
        <w:t>Ib., p. 23.</w:t>
      </w:r>
    </w:p>
  </w:footnote>
  <w:footnote w:id="19">
    <w:p w14:paraId="205FFCD8" w14:textId="77777777" w:rsidR="005F697F" w:rsidRPr="005F697F" w:rsidRDefault="005F697F">
      <w:pPr>
        <w:pBdr>
          <w:top w:val="nil"/>
          <w:left w:val="nil"/>
          <w:bottom w:val="nil"/>
          <w:right w:val="nil"/>
          <w:between w:val="nil"/>
        </w:pBdr>
        <w:jc w:val="both"/>
        <w:rPr>
          <w:color w:val="000000"/>
          <w:sz w:val="20"/>
          <w:szCs w:val="20"/>
        </w:rPr>
      </w:pPr>
      <w:r w:rsidRPr="004854E6">
        <w:rPr>
          <w:sz w:val="20"/>
          <w:szCs w:val="20"/>
          <w:vertAlign w:val="superscript"/>
        </w:rPr>
        <w:footnoteRef/>
      </w:r>
      <w:r w:rsidRPr="00D62FA9">
        <w:rPr>
          <w:color w:val="000000"/>
          <w:sz w:val="20"/>
          <w:szCs w:val="20"/>
        </w:rPr>
        <w:t xml:space="preserve"> Expediente digital.</w:t>
      </w:r>
      <w:r w:rsidRPr="004854E6">
        <w:rPr>
          <w:rFonts w:ascii="Source Sans Pro" w:eastAsia="Source Sans Pro" w:hAnsi="Source Sans Pro" w:cs="Source Sans Pro"/>
          <w:b/>
          <w:color w:val="333333"/>
          <w:sz w:val="20"/>
          <w:szCs w:val="20"/>
          <w:highlight w:val="white"/>
        </w:rPr>
        <w:t xml:space="preserve"> </w:t>
      </w:r>
      <w:r w:rsidRPr="00D62FA9">
        <w:rPr>
          <w:color w:val="000000"/>
          <w:sz w:val="20"/>
          <w:szCs w:val="20"/>
        </w:rPr>
        <w:t xml:space="preserve">11001310501820140053700, C01- </w:t>
      </w:r>
      <w:proofErr w:type="spellStart"/>
      <w:r w:rsidRPr="00D62FA9">
        <w:rPr>
          <w:color w:val="000000"/>
          <w:sz w:val="20"/>
          <w:szCs w:val="20"/>
        </w:rPr>
        <w:t>PrimeraInstancia</w:t>
      </w:r>
      <w:proofErr w:type="spellEnd"/>
      <w:r w:rsidRPr="00D62FA9">
        <w:rPr>
          <w:color w:val="000000"/>
          <w:sz w:val="20"/>
          <w:szCs w:val="20"/>
        </w:rPr>
        <w:t>,</w:t>
      </w:r>
      <w:r w:rsidRPr="00AB45B5">
        <w:rPr>
          <w:color w:val="000000"/>
          <w:sz w:val="20"/>
          <w:szCs w:val="20"/>
        </w:rPr>
        <w:t xml:space="preserve"> 27 AutoRemiteCompetenciaJuzgadoAdministrativos.pdf</w:t>
      </w:r>
    </w:p>
  </w:footnote>
  <w:footnote w:id="20">
    <w:p w14:paraId="1D73BB52" w14:textId="77777777" w:rsidR="005F697F" w:rsidRPr="00AB45B5" w:rsidRDefault="005F697F">
      <w:pPr>
        <w:pBdr>
          <w:top w:val="nil"/>
          <w:left w:val="nil"/>
          <w:bottom w:val="nil"/>
          <w:right w:val="nil"/>
          <w:between w:val="nil"/>
        </w:pBdr>
        <w:rPr>
          <w:color w:val="000000"/>
          <w:sz w:val="20"/>
          <w:szCs w:val="20"/>
        </w:rPr>
      </w:pPr>
      <w:r w:rsidRPr="004854E6">
        <w:rPr>
          <w:sz w:val="20"/>
          <w:szCs w:val="20"/>
          <w:vertAlign w:val="superscript"/>
        </w:rPr>
        <w:footnoteRef/>
      </w:r>
      <w:r w:rsidRPr="00D62FA9">
        <w:rPr>
          <w:color w:val="000000"/>
          <w:sz w:val="20"/>
          <w:szCs w:val="20"/>
        </w:rPr>
        <w:t xml:space="preserve"> Corte Constitucional, auto 389 de 2021 reiterado, entre otros, por los autos 791 y 807 de 2021.</w:t>
      </w:r>
    </w:p>
  </w:footnote>
  <w:footnote w:id="21">
    <w:p w14:paraId="7BE5EBE3" w14:textId="77777777" w:rsidR="005F697F" w:rsidRPr="00AB45B5" w:rsidRDefault="005F697F">
      <w:pPr>
        <w:pBdr>
          <w:top w:val="nil"/>
          <w:left w:val="nil"/>
          <w:bottom w:val="nil"/>
          <w:right w:val="nil"/>
          <w:between w:val="nil"/>
        </w:pBdr>
        <w:rPr>
          <w:color w:val="000000"/>
          <w:sz w:val="20"/>
          <w:szCs w:val="20"/>
        </w:rPr>
      </w:pPr>
      <w:r w:rsidRPr="004854E6">
        <w:rPr>
          <w:sz w:val="20"/>
          <w:szCs w:val="20"/>
          <w:vertAlign w:val="superscript"/>
        </w:rPr>
        <w:footnoteRef/>
      </w:r>
      <w:r w:rsidRPr="00D62FA9">
        <w:rPr>
          <w:color w:val="000000"/>
          <w:sz w:val="20"/>
          <w:szCs w:val="20"/>
        </w:rPr>
        <w:t xml:space="preserve"> Ib.</w:t>
      </w:r>
    </w:p>
  </w:footnote>
  <w:footnote w:id="22">
    <w:p w14:paraId="3E975F06" w14:textId="77777777" w:rsidR="005F697F" w:rsidRPr="00AB45B5" w:rsidRDefault="005F697F">
      <w:pPr>
        <w:pBdr>
          <w:top w:val="nil"/>
          <w:left w:val="nil"/>
          <w:bottom w:val="nil"/>
          <w:right w:val="nil"/>
          <w:between w:val="nil"/>
        </w:pBdr>
        <w:rPr>
          <w:color w:val="000000"/>
          <w:sz w:val="20"/>
          <w:szCs w:val="20"/>
        </w:rPr>
      </w:pPr>
      <w:r w:rsidRPr="004854E6">
        <w:rPr>
          <w:sz w:val="20"/>
          <w:szCs w:val="20"/>
          <w:vertAlign w:val="superscript"/>
        </w:rPr>
        <w:footnoteRef/>
      </w:r>
      <w:r w:rsidRPr="00D62FA9">
        <w:rPr>
          <w:color w:val="000000"/>
          <w:sz w:val="20"/>
          <w:szCs w:val="20"/>
        </w:rPr>
        <w:t xml:space="preserve"> Expediente digital. 11001333400520230026000, 05 AutoDeclararFaltaDeJurisdicción.pdf</w:t>
      </w:r>
    </w:p>
  </w:footnote>
  <w:footnote w:id="23">
    <w:p w14:paraId="502530E3" w14:textId="77777777" w:rsidR="005F697F" w:rsidRPr="00AB45B5" w:rsidRDefault="005F697F">
      <w:pPr>
        <w:pBdr>
          <w:top w:val="nil"/>
          <w:left w:val="nil"/>
          <w:bottom w:val="nil"/>
          <w:right w:val="nil"/>
          <w:between w:val="nil"/>
        </w:pBdr>
        <w:rPr>
          <w:color w:val="000000"/>
          <w:sz w:val="20"/>
          <w:szCs w:val="20"/>
        </w:rPr>
      </w:pPr>
      <w:r w:rsidRPr="004854E6">
        <w:rPr>
          <w:sz w:val="20"/>
          <w:szCs w:val="20"/>
          <w:vertAlign w:val="superscript"/>
        </w:rPr>
        <w:footnoteRef/>
      </w:r>
      <w:r w:rsidRPr="00D62FA9">
        <w:rPr>
          <w:color w:val="000000"/>
          <w:sz w:val="20"/>
          <w:szCs w:val="20"/>
        </w:rPr>
        <w:t xml:space="preserve"> Corte Consti</w:t>
      </w:r>
      <w:r w:rsidRPr="00AB45B5">
        <w:rPr>
          <w:color w:val="000000"/>
          <w:sz w:val="20"/>
          <w:szCs w:val="20"/>
        </w:rPr>
        <w:t>tucional, sentencia T-806 de 2000.</w:t>
      </w:r>
    </w:p>
  </w:footnote>
  <w:footnote w:id="24">
    <w:p w14:paraId="3DD147C9" w14:textId="77777777" w:rsidR="005F697F" w:rsidRPr="00AB45B5" w:rsidRDefault="005F697F">
      <w:pPr>
        <w:pBdr>
          <w:top w:val="nil"/>
          <w:left w:val="nil"/>
          <w:bottom w:val="nil"/>
          <w:right w:val="nil"/>
          <w:between w:val="nil"/>
        </w:pBdr>
        <w:rPr>
          <w:color w:val="000000"/>
          <w:sz w:val="20"/>
          <w:szCs w:val="20"/>
        </w:rPr>
      </w:pPr>
      <w:r w:rsidRPr="004854E6">
        <w:rPr>
          <w:sz w:val="20"/>
          <w:szCs w:val="20"/>
          <w:vertAlign w:val="superscript"/>
        </w:rPr>
        <w:footnoteRef/>
      </w:r>
      <w:r w:rsidRPr="00D62FA9">
        <w:rPr>
          <w:color w:val="000000"/>
          <w:sz w:val="20"/>
          <w:szCs w:val="20"/>
        </w:rPr>
        <w:t xml:space="preserve"> Código General del Proceso, artículo 139.</w:t>
      </w:r>
    </w:p>
  </w:footnote>
  <w:footnote w:id="25">
    <w:p w14:paraId="20BBC343" w14:textId="77777777" w:rsidR="005F697F" w:rsidRPr="00AB45B5" w:rsidRDefault="005F697F">
      <w:pPr>
        <w:pBdr>
          <w:top w:val="nil"/>
          <w:left w:val="nil"/>
          <w:bottom w:val="nil"/>
          <w:right w:val="nil"/>
          <w:between w:val="nil"/>
        </w:pBdr>
        <w:jc w:val="both"/>
        <w:rPr>
          <w:color w:val="000000"/>
          <w:sz w:val="20"/>
          <w:szCs w:val="20"/>
        </w:rPr>
      </w:pPr>
      <w:r w:rsidRPr="004854E6">
        <w:rPr>
          <w:sz w:val="20"/>
          <w:szCs w:val="20"/>
          <w:vertAlign w:val="superscript"/>
        </w:rPr>
        <w:footnoteRef/>
      </w:r>
      <w:r w:rsidRPr="00D62FA9">
        <w:rPr>
          <w:color w:val="000000"/>
          <w:sz w:val="20"/>
          <w:szCs w:val="20"/>
        </w:rPr>
        <w:t xml:space="preserve"> El expediente fue enviado al despacho el 26 de octubre de 2023.</w:t>
      </w:r>
    </w:p>
  </w:footnote>
  <w:footnote w:id="26">
    <w:p w14:paraId="5E3EA1A0" w14:textId="77777777" w:rsidR="005F697F" w:rsidRPr="00AB45B5" w:rsidRDefault="005F697F">
      <w:pPr>
        <w:pBdr>
          <w:top w:val="nil"/>
          <w:left w:val="nil"/>
          <w:bottom w:val="nil"/>
          <w:right w:val="nil"/>
          <w:between w:val="nil"/>
        </w:pBdr>
        <w:rPr>
          <w:color w:val="000000"/>
          <w:sz w:val="20"/>
          <w:szCs w:val="20"/>
        </w:rPr>
      </w:pPr>
      <w:r w:rsidRPr="004854E6">
        <w:rPr>
          <w:sz w:val="20"/>
          <w:szCs w:val="20"/>
          <w:vertAlign w:val="superscript"/>
        </w:rPr>
        <w:footnoteRef/>
      </w:r>
      <w:r w:rsidRPr="00D62FA9">
        <w:rPr>
          <w:color w:val="000000"/>
          <w:sz w:val="20"/>
          <w:szCs w:val="20"/>
        </w:rPr>
        <w:t xml:space="preserve"> </w:t>
      </w:r>
      <w:r w:rsidRPr="00AB45B5">
        <w:rPr>
          <w:color w:val="2D2D2D"/>
          <w:sz w:val="20"/>
          <w:szCs w:val="20"/>
          <w:highlight w:val="white"/>
        </w:rPr>
        <w:t>Auto 200 de 2022.</w:t>
      </w:r>
    </w:p>
  </w:footnote>
  <w:footnote w:id="27">
    <w:p w14:paraId="23CB717C" w14:textId="77777777" w:rsidR="005F697F" w:rsidRPr="00AB45B5" w:rsidRDefault="005F697F">
      <w:pPr>
        <w:pBdr>
          <w:top w:val="nil"/>
          <w:left w:val="nil"/>
          <w:bottom w:val="nil"/>
          <w:right w:val="nil"/>
          <w:between w:val="nil"/>
        </w:pBdr>
        <w:rPr>
          <w:color w:val="000000"/>
          <w:sz w:val="20"/>
          <w:szCs w:val="20"/>
        </w:rPr>
      </w:pPr>
      <w:r w:rsidRPr="004854E6">
        <w:rPr>
          <w:sz w:val="20"/>
          <w:szCs w:val="20"/>
          <w:vertAlign w:val="superscript"/>
        </w:rPr>
        <w:footnoteRef/>
      </w:r>
      <w:r w:rsidRPr="00D62FA9">
        <w:rPr>
          <w:color w:val="000000"/>
          <w:sz w:val="20"/>
          <w:szCs w:val="20"/>
        </w:rPr>
        <w:t xml:space="preserve"> </w:t>
      </w:r>
      <w:r w:rsidRPr="00AB45B5">
        <w:rPr>
          <w:color w:val="2D2D2D"/>
          <w:sz w:val="20"/>
          <w:szCs w:val="20"/>
          <w:highlight w:val="white"/>
        </w:rPr>
        <w:t>CJU-1741.</w:t>
      </w:r>
    </w:p>
  </w:footnote>
  <w:footnote w:id="28">
    <w:p w14:paraId="4ECD6D46" w14:textId="77777777" w:rsidR="005F697F" w:rsidRPr="004854E6" w:rsidRDefault="005F697F">
      <w:pPr>
        <w:pBdr>
          <w:top w:val="nil"/>
          <w:left w:val="nil"/>
          <w:bottom w:val="nil"/>
          <w:right w:val="nil"/>
          <w:between w:val="nil"/>
        </w:pBdr>
        <w:jc w:val="both"/>
        <w:rPr>
          <w:color w:val="000000"/>
          <w:sz w:val="20"/>
          <w:szCs w:val="20"/>
        </w:rPr>
      </w:pPr>
      <w:r w:rsidRPr="004854E6">
        <w:rPr>
          <w:sz w:val="20"/>
          <w:szCs w:val="20"/>
          <w:vertAlign w:val="superscript"/>
        </w:rPr>
        <w:footnoteRef/>
      </w:r>
      <w:r w:rsidRPr="00D62FA9">
        <w:rPr>
          <w:color w:val="000000"/>
          <w:sz w:val="20"/>
          <w:szCs w:val="20"/>
        </w:rPr>
        <w:t xml:space="preserve"> </w:t>
      </w:r>
      <w:r w:rsidRPr="005F697F">
        <w:rPr>
          <w:color w:val="000000"/>
          <w:sz w:val="20"/>
          <w:szCs w:val="20"/>
          <w:highlight w:val="white"/>
        </w:rPr>
        <w:t xml:space="preserve">En el conflicto resuelto por la Sala Jurisdiccional del Consejo Superior de la Judicatura, las partes fueron </w:t>
      </w:r>
      <w:r w:rsidRPr="005F697F">
        <w:rPr>
          <w:i/>
          <w:color w:val="000000"/>
          <w:sz w:val="20"/>
          <w:szCs w:val="20"/>
          <w:highlight w:val="white"/>
        </w:rPr>
        <w:t>(i)</w:t>
      </w:r>
      <w:r w:rsidRPr="005F697F">
        <w:rPr>
          <w:color w:val="000000"/>
          <w:sz w:val="20"/>
          <w:szCs w:val="20"/>
          <w:highlight w:val="white"/>
        </w:rPr>
        <w:t xml:space="preserve"> </w:t>
      </w:r>
      <w:r w:rsidRPr="005F697F">
        <w:rPr>
          <w:color w:val="000000"/>
          <w:sz w:val="20"/>
          <w:szCs w:val="20"/>
        </w:rPr>
        <w:t xml:space="preserve">el Juzgado Primero Administrativo de Oralidad del Circuito de Bogotá, Sección Primera, </w:t>
      </w:r>
      <w:r w:rsidRPr="00764008">
        <w:rPr>
          <w:i/>
          <w:color w:val="000000"/>
          <w:sz w:val="20"/>
          <w:szCs w:val="20"/>
        </w:rPr>
        <w:t>(</w:t>
      </w:r>
      <w:proofErr w:type="spellStart"/>
      <w:r w:rsidRPr="00764008">
        <w:rPr>
          <w:i/>
          <w:color w:val="000000"/>
          <w:sz w:val="20"/>
          <w:szCs w:val="20"/>
        </w:rPr>
        <w:t>ii</w:t>
      </w:r>
      <w:proofErr w:type="spellEnd"/>
      <w:r w:rsidRPr="00764008">
        <w:rPr>
          <w:i/>
          <w:color w:val="000000"/>
          <w:sz w:val="20"/>
          <w:szCs w:val="20"/>
        </w:rPr>
        <w:t>)</w:t>
      </w:r>
      <w:r w:rsidRPr="004854E6">
        <w:rPr>
          <w:color w:val="000000"/>
          <w:sz w:val="20"/>
          <w:szCs w:val="20"/>
        </w:rPr>
        <w:t xml:space="preserve"> el Juzgado Dieciocho Laboral del Circuito de Bogotá, y </w:t>
      </w:r>
      <w:r w:rsidRPr="004854E6">
        <w:rPr>
          <w:i/>
          <w:color w:val="000000"/>
          <w:sz w:val="20"/>
          <w:szCs w:val="20"/>
        </w:rPr>
        <w:t>(</w:t>
      </w:r>
      <w:proofErr w:type="spellStart"/>
      <w:r w:rsidRPr="004854E6">
        <w:rPr>
          <w:i/>
          <w:color w:val="000000"/>
          <w:sz w:val="20"/>
          <w:szCs w:val="20"/>
        </w:rPr>
        <w:t>iii</w:t>
      </w:r>
      <w:proofErr w:type="spellEnd"/>
      <w:r w:rsidRPr="004854E6">
        <w:rPr>
          <w:i/>
          <w:color w:val="000000"/>
          <w:sz w:val="20"/>
          <w:szCs w:val="20"/>
        </w:rPr>
        <w:t>)</w:t>
      </w:r>
      <w:r w:rsidRPr="004854E6">
        <w:rPr>
          <w:color w:val="000000"/>
          <w:sz w:val="20"/>
          <w:szCs w:val="20"/>
        </w:rPr>
        <w:t xml:space="preserve"> la</w:t>
      </w:r>
      <w:r w:rsidRPr="004854E6">
        <w:rPr>
          <w:i/>
          <w:color w:val="000000"/>
          <w:sz w:val="20"/>
          <w:szCs w:val="20"/>
        </w:rPr>
        <w:t xml:space="preserve"> </w:t>
      </w:r>
      <w:r w:rsidRPr="004854E6">
        <w:rPr>
          <w:color w:val="000000"/>
          <w:sz w:val="20"/>
          <w:szCs w:val="20"/>
        </w:rPr>
        <w:t>Superintendencia Nacional de Salud, delegada para la Función Jurisdiccional y de Conciliación</w:t>
      </w:r>
      <w:r w:rsidRPr="004854E6">
        <w:rPr>
          <w:color w:val="000000"/>
          <w:sz w:val="20"/>
          <w:szCs w:val="20"/>
          <w:highlight w:val="white"/>
        </w:rPr>
        <w:t xml:space="preserve">. En esta oportunidad, las autoridades judiciales en controversia son el </w:t>
      </w:r>
      <w:r w:rsidRPr="004854E6">
        <w:rPr>
          <w:color w:val="000000"/>
          <w:sz w:val="20"/>
          <w:szCs w:val="20"/>
        </w:rPr>
        <w:t>Juzgado Dieciocho Laboral del Circuito de Bogotá</w:t>
      </w:r>
      <w:r w:rsidRPr="004854E6">
        <w:rPr>
          <w:color w:val="000000"/>
          <w:sz w:val="20"/>
          <w:szCs w:val="20"/>
          <w:highlight w:val="white"/>
        </w:rPr>
        <w:t xml:space="preserve"> y el </w:t>
      </w:r>
      <w:r w:rsidRPr="004854E6">
        <w:rPr>
          <w:color w:val="000000"/>
          <w:sz w:val="20"/>
          <w:szCs w:val="20"/>
        </w:rPr>
        <w:t>Juzgado Quinto Administrativo Oral del Circuito de Bogotá, Sección Primera</w:t>
      </w:r>
      <w:r w:rsidRPr="004854E6">
        <w:rPr>
          <w:color w:val="000000"/>
          <w:sz w:val="20"/>
          <w:szCs w:val="20"/>
          <w:highlight w:val="white"/>
        </w:rPr>
        <w:t>.</w:t>
      </w:r>
    </w:p>
  </w:footnote>
  <w:footnote w:id="29">
    <w:p w14:paraId="39E5FE5B" w14:textId="77777777" w:rsidR="005F697F" w:rsidRPr="005F697F" w:rsidRDefault="005F697F">
      <w:pPr>
        <w:pBdr>
          <w:top w:val="nil"/>
          <w:left w:val="nil"/>
          <w:bottom w:val="nil"/>
          <w:right w:val="nil"/>
          <w:between w:val="nil"/>
        </w:pBdr>
        <w:rPr>
          <w:color w:val="000000"/>
          <w:sz w:val="20"/>
          <w:szCs w:val="20"/>
        </w:rPr>
      </w:pPr>
      <w:r w:rsidRPr="004854E6">
        <w:rPr>
          <w:sz w:val="20"/>
          <w:szCs w:val="20"/>
          <w:vertAlign w:val="superscript"/>
        </w:rPr>
        <w:footnoteRef/>
      </w:r>
      <w:r w:rsidRPr="00D62FA9">
        <w:rPr>
          <w:color w:val="000000"/>
          <w:sz w:val="20"/>
          <w:szCs w:val="20"/>
        </w:rPr>
        <w:t xml:space="preserve"> </w:t>
      </w:r>
      <w:r w:rsidRPr="005F697F">
        <w:rPr>
          <w:i/>
          <w:color w:val="2D2D2D"/>
          <w:sz w:val="20"/>
          <w:szCs w:val="20"/>
          <w:highlight w:val="white"/>
        </w:rPr>
        <w:t>Cfr</w:t>
      </w:r>
      <w:r w:rsidRPr="005F697F">
        <w:rPr>
          <w:color w:val="2D2D2D"/>
          <w:sz w:val="20"/>
          <w:szCs w:val="20"/>
          <w:highlight w:val="white"/>
        </w:rPr>
        <w:t>. Auto 200 de 2022.</w:t>
      </w:r>
    </w:p>
  </w:footnote>
  <w:footnote w:id="30">
    <w:p w14:paraId="475BC06D" w14:textId="77777777" w:rsidR="005F697F" w:rsidRPr="00764008" w:rsidRDefault="005F697F">
      <w:pPr>
        <w:pBdr>
          <w:top w:val="nil"/>
          <w:left w:val="nil"/>
          <w:bottom w:val="nil"/>
          <w:right w:val="nil"/>
          <w:between w:val="nil"/>
        </w:pBdr>
        <w:rPr>
          <w:color w:val="000000"/>
          <w:sz w:val="20"/>
          <w:szCs w:val="20"/>
        </w:rPr>
      </w:pPr>
      <w:r w:rsidRPr="004854E6">
        <w:rPr>
          <w:sz w:val="20"/>
          <w:szCs w:val="20"/>
          <w:vertAlign w:val="superscript"/>
        </w:rPr>
        <w:footnoteRef/>
      </w:r>
      <w:r w:rsidRPr="00D62FA9">
        <w:rPr>
          <w:color w:val="000000"/>
          <w:sz w:val="20"/>
          <w:szCs w:val="20"/>
        </w:rPr>
        <w:t xml:space="preserve"> </w:t>
      </w:r>
      <w:r w:rsidRPr="005F697F">
        <w:rPr>
          <w:color w:val="2D2D2D"/>
          <w:sz w:val="20"/>
          <w:szCs w:val="20"/>
          <w:highlight w:val="white"/>
        </w:rPr>
        <w:t>Auto 2035 de 2023. </w:t>
      </w:r>
    </w:p>
  </w:footnote>
  <w:footnote w:id="31">
    <w:p w14:paraId="25F1E77F" w14:textId="77777777" w:rsidR="005F697F" w:rsidRPr="00764008" w:rsidRDefault="005F697F">
      <w:pPr>
        <w:pBdr>
          <w:top w:val="nil"/>
          <w:left w:val="nil"/>
          <w:bottom w:val="nil"/>
          <w:right w:val="nil"/>
          <w:between w:val="nil"/>
        </w:pBdr>
        <w:rPr>
          <w:color w:val="000000"/>
          <w:sz w:val="20"/>
          <w:szCs w:val="20"/>
        </w:rPr>
      </w:pPr>
      <w:r w:rsidRPr="004854E6">
        <w:rPr>
          <w:sz w:val="20"/>
          <w:szCs w:val="20"/>
          <w:vertAlign w:val="superscript"/>
        </w:rPr>
        <w:footnoteRef/>
      </w:r>
      <w:r w:rsidRPr="00D62FA9">
        <w:rPr>
          <w:color w:val="000000"/>
          <w:sz w:val="20"/>
          <w:szCs w:val="20"/>
        </w:rPr>
        <w:t xml:space="preserve"> </w:t>
      </w:r>
      <w:r w:rsidRPr="005F697F">
        <w:rPr>
          <w:color w:val="2D2D2D"/>
          <w:sz w:val="20"/>
          <w:szCs w:val="20"/>
          <w:highlight w:val="white"/>
        </w:rPr>
        <w:t>CJU-1741.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4831" w14:textId="77777777" w:rsidR="005F697F" w:rsidRDefault="005F697F">
    <w:pPr>
      <w:pBdr>
        <w:top w:val="nil"/>
        <w:left w:val="nil"/>
        <w:bottom w:val="nil"/>
        <w:right w:val="nil"/>
        <w:between w:val="nil"/>
      </w:pBdr>
      <w:tabs>
        <w:tab w:val="center" w:pos="4419"/>
        <w:tab w:val="right" w:pos="8838"/>
      </w:tabs>
      <w:jc w:val="right"/>
      <w:rPr>
        <w:i/>
        <w:color w:val="000000"/>
        <w:sz w:val="20"/>
        <w:szCs w:val="20"/>
      </w:rPr>
    </w:pPr>
    <w:r>
      <w:rPr>
        <w:i/>
        <w:color w:val="000000"/>
        <w:sz w:val="20"/>
        <w:szCs w:val="20"/>
      </w:rPr>
      <w:t>Expediente CJU-4556</w:t>
    </w:r>
  </w:p>
  <w:p w14:paraId="4CBF75BD" w14:textId="77777777" w:rsidR="005F697F" w:rsidRDefault="005F697F">
    <w:pPr>
      <w:pBdr>
        <w:top w:val="nil"/>
        <w:left w:val="nil"/>
        <w:bottom w:val="nil"/>
        <w:right w:val="nil"/>
        <w:between w:val="nil"/>
      </w:pBdr>
      <w:tabs>
        <w:tab w:val="center" w:pos="4419"/>
        <w:tab w:val="right" w:pos="8838"/>
      </w:tabs>
      <w:jc w:val="right"/>
      <w:rPr>
        <w:i/>
        <w:color w:val="000000"/>
        <w:sz w:val="20"/>
        <w:szCs w:val="20"/>
      </w:rPr>
    </w:pPr>
    <w:r>
      <w:rPr>
        <w:i/>
        <w:color w:val="000000"/>
        <w:sz w:val="20"/>
        <w:szCs w:val="20"/>
      </w:rPr>
      <w:t>M.P. Paola Andrea Meneses Mosquera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14357"/>
    <w:multiLevelType w:val="multilevel"/>
    <w:tmpl w:val="6BCCF2CC"/>
    <w:lvl w:ilvl="0">
      <w:start w:val="1"/>
      <w:numFmt w:val="upperRoman"/>
      <w:lvlText w:val="%1."/>
      <w:lvlJc w:val="left"/>
      <w:pPr>
        <w:ind w:left="-872" w:firstLine="1440"/>
      </w:pPr>
      <w:rPr>
        <w:b/>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rPr>
        <w:i w:val="0"/>
      </w:r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 w15:restartNumberingAfterBreak="0">
    <w:nsid w:val="23CC0A6E"/>
    <w:multiLevelType w:val="multilevel"/>
    <w:tmpl w:val="991E7C6C"/>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2E3A33"/>
    <w:multiLevelType w:val="multilevel"/>
    <w:tmpl w:val="F502DE0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24372169">
    <w:abstractNumId w:val="2"/>
  </w:num>
  <w:num w:numId="2" w16cid:durableId="1823233150">
    <w:abstractNumId w:val="0"/>
  </w:num>
  <w:num w:numId="3" w16cid:durableId="2113278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00D"/>
    <w:rsid w:val="00190E83"/>
    <w:rsid w:val="00394E97"/>
    <w:rsid w:val="004854E6"/>
    <w:rsid w:val="004A49E8"/>
    <w:rsid w:val="005F432E"/>
    <w:rsid w:val="005F697F"/>
    <w:rsid w:val="0066100D"/>
    <w:rsid w:val="0067762C"/>
    <w:rsid w:val="007512AE"/>
    <w:rsid w:val="00764008"/>
    <w:rsid w:val="00774427"/>
    <w:rsid w:val="00922101"/>
    <w:rsid w:val="009255DF"/>
    <w:rsid w:val="009B28BB"/>
    <w:rsid w:val="00AB45B5"/>
    <w:rsid w:val="00B3520E"/>
    <w:rsid w:val="00C75AC3"/>
    <w:rsid w:val="00D62FA9"/>
    <w:rsid w:val="00DC3785"/>
    <w:rsid w:val="00DF728B"/>
    <w:rsid w:val="00F6271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AD334B"/>
  <w15:docId w15:val="{296C0B7A-C972-8044-B243-B391621A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2E0"/>
    <w:rPr>
      <w:lang w:eastAsia="es-MX"/>
    </w:rPr>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rPr>
  </w:style>
  <w:style w:type="paragraph" w:styleId="Ttulo5">
    <w:name w:val="heading 5"/>
    <w:basedOn w:val="Normal1"/>
    <w:next w:val="Normal1"/>
    <w:pPr>
      <w:keepNext/>
      <w:keepLines/>
      <w:spacing w:before="220" w:after="40"/>
      <w:outlineLvl w:val="4"/>
    </w:pPr>
    <w:rPr>
      <w:b/>
      <w:sz w:val="22"/>
      <w:szCs w:val="22"/>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r,Footnote Text Char,Pie de Págin,ft,C"/>
    <w:basedOn w:val="Normal"/>
    <w:link w:val="TextonotapieCar1"/>
    <w:qFormat/>
    <w:rsid w:val="00E662E0"/>
    <w:rPr>
      <w:sz w:val="20"/>
      <w:szCs w:val="20"/>
      <w:lang w:val="es-ES" w:eastAsia="es-ES"/>
    </w:rPr>
  </w:style>
  <w:style w:type="character" w:customStyle="1" w:styleId="TextonotapieCar">
    <w:name w:val="Texto nota pie Car"/>
    <w:basedOn w:val="Fuentedeprrafopredeter"/>
    <w:uiPriority w:val="99"/>
    <w:semiHidden/>
    <w:rsid w:val="00E662E0"/>
    <w:rPr>
      <w:rFonts w:ascii="Times New Roman" w:eastAsia="Times New Roman" w:hAnsi="Times New Roman" w:cs="Times New Roman"/>
      <w:kern w:val="0"/>
      <w:sz w:val="20"/>
      <w:szCs w:val="20"/>
      <w:lang w:eastAsia="es-MX"/>
    </w:rPr>
  </w:style>
  <w:style w:type="character" w:styleId="Refdenotaalpie">
    <w:name w:val="footnote reference"/>
    <w:aliases w:val="Texto de nota al pie,Footnotes refss,Appel note de bas de page,referencia nota al pie,Footnote number,BVI fnr,f,Texto nota pie Car Car1,texto de nota al pie Car Car,Texto nota pie Car Car Car,Ref. de nota al pie 2,4_G,16 Point,FC,F,R"/>
    <w:link w:val="Piedepagina"/>
    <w:uiPriority w:val="99"/>
    <w:qFormat/>
    <w:rsid w:val="00E662E0"/>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Footnote Text Char Char Char Char Char Char Char Char Car"/>
    <w:link w:val="Textonotapie"/>
    <w:qFormat/>
    <w:locked/>
    <w:rsid w:val="00E662E0"/>
    <w:rPr>
      <w:rFonts w:ascii="Times New Roman" w:eastAsia="Times New Roman" w:hAnsi="Times New Roman" w:cs="Times New Roman"/>
      <w:kern w:val="0"/>
      <w:sz w:val="20"/>
      <w:szCs w:val="20"/>
      <w:lang w:val="es-ES" w:eastAsia="es-ES"/>
    </w:rPr>
  </w:style>
  <w:style w:type="paragraph" w:customStyle="1" w:styleId="Style2">
    <w:name w:val="Style2"/>
    <w:basedOn w:val="Normal"/>
    <w:uiPriority w:val="99"/>
    <w:rsid w:val="00E662E0"/>
    <w:pPr>
      <w:widowControl w:val="0"/>
      <w:autoSpaceDE w:val="0"/>
      <w:autoSpaceDN w:val="0"/>
      <w:adjustRightInd w:val="0"/>
      <w:spacing w:line="322" w:lineRule="exact"/>
      <w:jc w:val="center"/>
    </w:pPr>
    <w:rPr>
      <w:lang w:val="es-ES" w:eastAsia="es-ES"/>
    </w:rPr>
  </w:style>
  <w:style w:type="paragraph" w:customStyle="1" w:styleId="Style6">
    <w:name w:val="Style6"/>
    <w:basedOn w:val="Normal"/>
    <w:uiPriority w:val="99"/>
    <w:rsid w:val="00E662E0"/>
    <w:pPr>
      <w:widowControl w:val="0"/>
      <w:autoSpaceDE w:val="0"/>
      <w:autoSpaceDN w:val="0"/>
      <w:adjustRightInd w:val="0"/>
      <w:spacing w:line="322" w:lineRule="exact"/>
      <w:jc w:val="both"/>
    </w:pPr>
    <w:rPr>
      <w:lang w:val="es-ES" w:eastAsia="es-ES"/>
    </w:rPr>
  </w:style>
  <w:style w:type="character" w:customStyle="1" w:styleId="FontStyle11">
    <w:name w:val="Font Style11"/>
    <w:uiPriority w:val="99"/>
    <w:rsid w:val="00E662E0"/>
    <w:rPr>
      <w:rFonts w:ascii="Times New Roman" w:hAnsi="Times New Roman" w:cs="Times New Roman"/>
      <w:b/>
      <w:bCs/>
      <w:sz w:val="26"/>
      <w:szCs w:val="26"/>
    </w:rPr>
  </w:style>
  <w:style w:type="character" w:customStyle="1" w:styleId="FontStyle12">
    <w:name w:val="Font Style12"/>
    <w:uiPriority w:val="99"/>
    <w:rsid w:val="00E662E0"/>
    <w:rPr>
      <w:rFonts w:ascii="Times New Roman" w:hAnsi="Times New Roman" w:cs="Times New Roman"/>
      <w:sz w:val="26"/>
      <w:szCs w:val="26"/>
    </w:rPr>
  </w:style>
  <w:style w:type="paragraph" w:customStyle="1" w:styleId="Piedepagina">
    <w:name w:val="Pie de pagina"/>
    <w:aliases w:val="Ref. de nota al pie2,Nota de pie"/>
    <w:basedOn w:val="Normal"/>
    <w:link w:val="Refdenotaalpie"/>
    <w:rsid w:val="00E662E0"/>
    <w:pPr>
      <w:spacing w:after="160" w:line="240" w:lineRule="exact"/>
    </w:pPr>
    <w:rPr>
      <w:rFonts w:asciiTheme="minorHAnsi" w:eastAsiaTheme="minorHAnsi" w:hAnsiTheme="minorHAnsi" w:cstheme="minorBidi"/>
      <w:kern w:val="2"/>
      <w:sz w:val="22"/>
      <w:szCs w:val="22"/>
      <w:vertAlign w:val="superscript"/>
      <w:lang w:eastAsia="en-US"/>
    </w:rPr>
  </w:style>
  <w:style w:type="paragraph" w:styleId="Prrafodelista">
    <w:name w:val="List Paragraph"/>
    <w:aliases w:val="Footnote,Colorful List - Accent 11,List Paragraph2,List Paragraph1,Ha,lp1"/>
    <w:basedOn w:val="Normal"/>
    <w:link w:val="PrrafodelistaCar"/>
    <w:uiPriority w:val="34"/>
    <w:qFormat/>
    <w:rsid w:val="00E662E0"/>
    <w:pPr>
      <w:ind w:left="720"/>
      <w:contextualSpacing/>
    </w:pPr>
    <w:rPr>
      <w:sz w:val="28"/>
      <w:szCs w:val="28"/>
      <w:lang w:val="es-ES" w:eastAsia="es-ES"/>
    </w:rPr>
  </w:style>
  <w:style w:type="paragraph" w:customStyle="1" w:styleId="Listavistosa-nfasis11">
    <w:name w:val="Lista vistosa - Énfasis 11"/>
    <w:basedOn w:val="Normal"/>
    <w:uiPriority w:val="34"/>
    <w:qFormat/>
    <w:rsid w:val="00E662E0"/>
    <w:pPr>
      <w:spacing w:after="160" w:line="259" w:lineRule="auto"/>
      <w:ind w:left="720"/>
      <w:contextualSpacing/>
    </w:pPr>
    <w:rPr>
      <w:rFonts w:eastAsia="Calibri"/>
      <w:sz w:val="28"/>
      <w:szCs w:val="22"/>
      <w:lang w:val="es-ES" w:eastAsia="en-US"/>
    </w:rPr>
  </w:style>
  <w:style w:type="paragraph" w:styleId="Encabezado">
    <w:name w:val="header"/>
    <w:basedOn w:val="Normal"/>
    <w:link w:val="EncabezadoCar"/>
    <w:uiPriority w:val="99"/>
    <w:unhideWhenUsed/>
    <w:rsid w:val="00E662E0"/>
    <w:pPr>
      <w:tabs>
        <w:tab w:val="center" w:pos="4419"/>
        <w:tab w:val="right" w:pos="8838"/>
      </w:tabs>
    </w:pPr>
    <w:rPr>
      <w:sz w:val="28"/>
      <w:szCs w:val="28"/>
      <w:lang w:val="es-ES" w:eastAsia="es-ES"/>
    </w:rPr>
  </w:style>
  <w:style w:type="character" w:customStyle="1" w:styleId="EncabezadoCar">
    <w:name w:val="Encabezado Car"/>
    <w:basedOn w:val="Fuentedeprrafopredeter"/>
    <w:link w:val="Encabezado"/>
    <w:uiPriority w:val="99"/>
    <w:rsid w:val="00E662E0"/>
    <w:rPr>
      <w:rFonts w:ascii="Times New Roman" w:eastAsia="Times New Roman" w:hAnsi="Times New Roman" w:cs="Times New Roman"/>
      <w:kern w:val="0"/>
      <w:sz w:val="28"/>
      <w:szCs w:val="28"/>
      <w:lang w:val="es-ES" w:eastAsia="es-ES"/>
    </w:rPr>
  </w:style>
  <w:style w:type="paragraph" w:styleId="Piedepgina">
    <w:name w:val="footer"/>
    <w:basedOn w:val="Normal"/>
    <w:link w:val="PiedepginaCar"/>
    <w:uiPriority w:val="99"/>
    <w:unhideWhenUsed/>
    <w:rsid w:val="00E662E0"/>
    <w:pPr>
      <w:tabs>
        <w:tab w:val="center" w:pos="4419"/>
        <w:tab w:val="right" w:pos="8838"/>
      </w:tabs>
    </w:pPr>
    <w:rPr>
      <w:sz w:val="28"/>
      <w:szCs w:val="28"/>
      <w:lang w:val="es-ES" w:eastAsia="es-ES"/>
    </w:rPr>
  </w:style>
  <w:style w:type="character" w:customStyle="1" w:styleId="PiedepginaCar">
    <w:name w:val="Pie de página Car"/>
    <w:basedOn w:val="Fuentedeprrafopredeter"/>
    <w:link w:val="Piedepgina"/>
    <w:uiPriority w:val="99"/>
    <w:rsid w:val="00E662E0"/>
    <w:rPr>
      <w:rFonts w:ascii="Times New Roman" w:eastAsia="Times New Roman" w:hAnsi="Times New Roman" w:cs="Times New Roman"/>
      <w:kern w:val="0"/>
      <w:sz w:val="28"/>
      <w:szCs w:val="28"/>
      <w:lang w:val="es-ES" w:eastAsia="es-ES"/>
    </w:rPr>
  </w:style>
  <w:style w:type="character" w:customStyle="1" w:styleId="PrrafodelistaCar">
    <w:name w:val="Párrafo de lista Car"/>
    <w:aliases w:val="Footnote Car,Colorful List - Accent 11 Car,List Paragraph2 Car,List Paragraph1 Car,Ha Car,lp1 Car"/>
    <w:basedOn w:val="Fuentedeprrafopredeter"/>
    <w:link w:val="Prrafodelista"/>
    <w:uiPriority w:val="34"/>
    <w:locked/>
    <w:rsid w:val="00E662E0"/>
    <w:rPr>
      <w:rFonts w:ascii="Times New Roman" w:eastAsia="Times New Roman" w:hAnsi="Times New Roman" w:cs="Times New Roman"/>
      <w:kern w:val="0"/>
      <w:sz w:val="28"/>
      <w:szCs w:val="28"/>
      <w:lang w:val="es-ES" w:eastAsia="es-ES"/>
    </w:rPr>
  </w:style>
  <w:style w:type="table" w:styleId="Tablaconcuadrcula">
    <w:name w:val="Table Grid"/>
    <w:basedOn w:val="Tablanormal"/>
    <w:uiPriority w:val="39"/>
    <w:rsid w:val="00E66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E662E0"/>
  </w:style>
  <w:style w:type="character" w:styleId="Hipervnculo">
    <w:name w:val="Hyperlink"/>
    <w:basedOn w:val="Fuentedeprrafopredeter"/>
    <w:uiPriority w:val="99"/>
    <w:unhideWhenUsed/>
    <w:rsid w:val="00162268"/>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D62FA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62FA9"/>
    <w:rPr>
      <w:rFonts w:ascii="Lucida Grande" w:hAnsi="Lucida Grande" w:cs="Lucida Grande"/>
      <w:sz w:val="18"/>
      <w:szCs w:val="18"/>
      <w:lang w:eastAsia="es-MX"/>
    </w:rPr>
  </w:style>
  <w:style w:type="character" w:styleId="Refdecomentario">
    <w:name w:val="annotation reference"/>
    <w:basedOn w:val="Fuentedeprrafopredeter"/>
    <w:uiPriority w:val="99"/>
    <w:semiHidden/>
    <w:unhideWhenUsed/>
    <w:rsid w:val="005F697F"/>
    <w:rPr>
      <w:sz w:val="18"/>
      <w:szCs w:val="18"/>
    </w:rPr>
  </w:style>
  <w:style w:type="paragraph" w:styleId="Textocomentario">
    <w:name w:val="annotation text"/>
    <w:basedOn w:val="Normal"/>
    <w:link w:val="TextocomentarioCar"/>
    <w:uiPriority w:val="99"/>
    <w:semiHidden/>
    <w:unhideWhenUsed/>
    <w:rsid w:val="005F697F"/>
  </w:style>
  <w:style w:type="character" w:customStyle="1" w:styleId="TextocomentarioCar">
    <w:name w:val="Texto comentario Car"/>
    <w:basedOn w:val="Fuentedeprrafopredeter"/>
    <w:link w:val="Textocomentario"/>
    <w:uiPriority w:val="99"/>
    <w:semiHidden/>
    <w:rsid w:val="005F697F"/>
    <w:rPr>
      <w:lang w:eastAsia="es-MX"/>
    </w:rPr>
  </w:style>
  <w:style w:type="paragraph" w:styleId="Asuntodelcomentario">
    <w:name w:val="annotation subject"/>
    <w:basedOn w:val="Textocomentario"/>
    <w:next w:val="Textocomentario"/>
    <w:link w:val="AsuntodelcomentarioCar"/>
    <w:uiPriority w:val="99"/>
    <w:semiHidden/>
    <w:unhideWhenUsed/>
    <w:rsid w:val="005F697F"/>
    <w:rPr>
      <w:b/>
      <w:bCs/>
      <w:sz w:val="20"/>
      <w:szCs w:val="20"/>
    </w:rPr>
  </w:style>
  <w:style w:type="character" w:customStyle="1" w:styleId="AsuntodelcomentarioCar">
    <w:name w:val="Asunto del comentario Car"/>
    <w:basedOn w:val="TextocomentarioCar"/>
    <w:link w:val="Asuntodelcomentario"/>
    <w:uiPriority w:val="99"/>
    <w:semiHidden/>
    <w:rsid w:val="005F697F"/>
    <w:rPr>
      <w:b/>
      <w:bCs/>
      <w:sz w:val="20"/>
      <w:szCs w:val="20"/>
      <w:lang w:eastAsia="es-MX"/>
    </w:rPr>
  </w:style>
  <w:style w:type="paragraph" w:styleId="Revisin">
    <w:name w:val="Revision"/>
    <w:hidden/>
    <w:uiPriority w:val="99"/>
    <w:semiHidden/>
    <w:rsid w:val="00394E97"/>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b42281e-1a4b-441f-8857-ed647e2da93a"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2TMgMDFYNNdF/0fcfNWdXnQ2Pw==">CgMxLjAyCGguZ2pkZ3hzMgloLjMwajB6bGw4AHIhMXJId1FYNnZkM2VWdm0tdmtmdnU3d2M1Y21IMFo1YW5p</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D02C57C87F72F9419B14933B0B027C6B" ma:contentTypeVersion="14" ma:contentTypeDescription="Crear nuevo documento." ma:contentTypeScope="" ma:versionID="6b5347b7ccc7cd270167da50dcc2c66c">
  <xsd:schema xmlns:xsd="http://www.w3.org/2001/XMLSchema" xmlns:xs="http://www.w3.org/2001/XMLSchema" xmlns:p="http://schemas.microsoft.com/office/2006/metadata/properties" xmlns:ns3="cb42281e-1a4b-441f-8857-ed647e2da93a" xmlns:ns4="be5811a2-d95d-46a9-81cd-b03d3645c029" targetNamespace="http://schemas.microsoft.com/office/2006/metadata/properties" ma:root="true" ma:fieldsID="74455e1c63926434e321b600450f2494" ns3:_="" ns4:_="">
    <xsd:import namespace="cb42281e-1a4b-441f-8857-ed647e2da93a"/>
    <xsd:import namespace="be5811a2-d95d-46a9-81cd-b03d3645c0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2281e-1a4b-441f-8857-ed647e2da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5811a2-d95d-46a9-81cd-b03d3645c029"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2416E-E613-4FA5-8FD1-B4F50EFF09CB}">
  <ds:schemaRefs>
    <ds:schemaRef ds:uri="http://schemas.microsoft.com/sharepoint/v3/contenttype/forms"/>
  </ds:schemaRefs>
</ds:datastoreItem>
</file>

<file path=customXml/itemProps2.xml><?xml version="1.0" encoding="utf-8"?>
<ds:datastoreItem xmlns:ds="http://schemas.openxmlformats.org/officeDocument/2006/customXml" ds:itemID="{53676B8A-C614-4F1F-A1E3-A676285482A2}">
  <ds:schemaRefs>
    <ds:schemaRef ds:uri="http://schemas.microsoft.com/office/2006/metadata/properties"/>
    <ds:schemaRef ds:uri="http://schemas.microsoft.com/office/infopath/2007/PartnerControls"/>
    <ds:schemaRef ds:uri="cb42281e-1a4b-441f-8857-ed647e2da93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FBA46AA-229B-4CF7-8F21-03E47C713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2281e-1a4b-441f-8857-ed647e2da93a"/>
    <ds:schemaRef ds:uri="be5811a2-d95d-46a9-81cd-b03d3645c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2342</Words>
  <Characters>12883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Alfredo Cadena Reyes</dc:creator>
  <cp:lastModifiedBy>Marleny Aldana Sandoval</cp:lastModifiedBy>
  <cp:revision>2</cp:revision>
  <dcterms:created xsi:type="dcterms:W3CDTF">2023-12-20T13:49:00Z</dcterms:created>
  <dcterms:modified xsi:type="dcterms:W3CDTF">2023-12-20T13:49:00Z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0x010100D02C57C87F72F9419B14933B0B027C6B</vt:lpwstr>
  </property>
</Properties>
</file>