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61211" w14:textId="77777777" w:rsidR="002D3135" w:rsidRPr="005122A9" w:rsidRDefault="0093084E" w:rsidP="009552CB">
      <w:pPr>
        <w:spacing w:after="0" w:line="360" w:lineRule="auto"/>
        <w:jc w:val="center"/>
        <w:rPr>
          <w:rFonts w:ascii="Arial" w:hAnsi="Arial" w:cs="Arial"/>
          <w:b/>
        </w:rPr>
      </w:pPr>
      <w:r w:rsidRPr="005122A9">
        <w:rPr>
          <w:rFonts w:ascii="Arial" w:hAnsi="Arial" w:cs="Arial"/>
          <w:b/>
        </w:rPr>
        <w:t>AN</w:t>
      </w:r>
      <w:r w:rsidR="000523E1" w:rsidRPr="005122A9">
        <w:rPr>
          <w:rFonts w:ascii="Arial" w:hAnsi="Arial" w:cs="Arial"/>
          <w:b/>
        </w:rPr>
        <w:t>Á</w:t>
      </w:r>
      <w:r w:rsidRPr="005122A9">
        <w:rPr>
          <w:rFonts w:ascii="Arial" w:hAnsi="Arial" w:cs="Arial"/>
          <w:b/>
        </w:rPr>
        <w:t>LISIS DE CALIFICACIÓN DE CONTIGENCIA</w:t>
      </w:r>
    </w:p>
    <w:p w14:paraId="03400E4A" w14:textId="77777777" w:rsidR="0093084E" w:rsidRPr="005122A9" w:rsidRDefault="0093084E" w:rsidP="009552CB">
      <w:pPr>
        <w:spacing w:after="0" w:line="360" w:lineRule="auto"/>
        <w:rPr>
          <w:rFonts w:ascii="Arial" w:hAnsi="Arial" w:cs="Arial"/>
          <w:b/>
        </w:rPr>
      </w:pPr>
    </w:p>
    <w:tbl>
      <w:tblPr>
        <w:tblStyle w:val="Tablaconcuadrcula"/>
        <w:tblW w:w="0" w:type="auto"/>
        <w:tblLook w:val="04A0" w:firstRow="1" w:lastRow="0" w:firstColumn="1" w:lastColumn="0" w:noHBand="0" w:noVBand="1"/>
      </w:tblPr>
      <w:tblGrid>
        <w:gridCol w:w="3256"/>
        <w:gridCol w:w="5572"/>
      </w:tblGrid>
      <w:tr w:rsidR="00174AF2" w:rsidRPr="005122A9" w14:paraId="7A5AAB57" w14:textId="77777777" w:rsidTr="00174AF2">
        <w:tc>
          <w:tcPr>
            <w:tcW w:w="3256" w:type="dxa"/>
          </w:tcPr>
          <w:p w14:paraId="4B70E6E0" w14:textId="77777777" w:rsidR="0093084E" w:rsidRPr="005122A9" w:rsidRDefault="00174AF2" w:rsidP="009552CB">
            <w:pPr>
              <w:spacing w:line="360" w:lineRule="auto"/>
              <w:rPr>
                <w:rFonts w:ascii="Arial" w:hAnsi="Arial" w:cs="Arial"/>
                <w:b/>
              </w:rPr>
            </w:pPr>
            <w:r w:rsidRPr="005122A9">
              <w:rPr>
                <w:rFonts w:ascii="Arial" w:hAnsi="Arial" w:cs="Arial"/>
                <w:b/>
              </w:rPr>
              <w:t>DEMANDANTE</w:t>
            </w:r>
          </w:p>
        </w:tc>
        <w:tc>
          <w:tcPr>
            <w:tcW w:w="5572" w:type="dxa"/>
          </w:tcPr>
          <w:p w14:paraId="5CDF3755" w14:textId="0C60C93C" w:rsidR="0093084E" w:rsidRPr="005122A9" w:rsidRDefault="00942D79" w:rsidP="009552CB">
            <w:pPr>
              <w:spacing w:line="360" w:lineRule="auto"/>
              <w:rPr>
                <w:rFonts w:ascii="Arial" w:hAnsi="Arial" w:cs="Arial"/>
              </w:rPr>
            </w:pPr>
            <w:r w:rsidRPr="005122A9">
              <w:rPr>
                <w:rFonts w:ascii="Arial" w:hAnsi="Arial" w:cs="Arial"/>
              </w:rPr>
              <w:t>MARÍA RUTH MORALES BAHAMÓN</w:t>
            </w:r>
          </w:p>
        </w:tc>
      </w:tr>
      <w:tr w:rsidR="00174AF2" w:rsidRPr="005122A9" w14:paraId="1E64F98B" w14:textId="77777777" w:rsidTr="00174AF2">
        <w:tc>
          <w:tcPr>
            <w:tcW w:w="3256" w:type="dxa"/>
          </w:tcPr>
          <w:p w14:paraId="036C254A" w14:textId="77777777" w:rsidR="0093084E" w:rsidRPr="005122A9" w:rsidRDefault="00174AF2">
            <w:pPr>
              <w:spacing w:line="360" w:lineRule="auto"/>
              <w:rPr>
                <w:rFonts w:ascii="Arial" w:hAnsi="Arial" w:cs="Arial"/>
                <w:b/>
              </w:rPr>
            </w:pPr>
            <w:r w:rsidRPr="005122A9">
              <w:rPr>
                <w:rFonts w:ascii="Arial" w:hAnsi="Arial" w:cs="Arial"/>
                <w:b/>
              </w:rPr>
              <w:t>DEMANDADO</w:t>
            </w:r>
          </w:p>
        </w:tc>
        <w:tc>
          <w:tcPr>
            <w:tcW w:w="5572" w:type="dxa"/>
          </w:tcPr>
          <w:p w14:paraId="66DF44F3" w14:textId="77777777" w:rsidR="0093084E" w:rsidRPr="005122A9" w:rsidRDefault="00174AF2">
            <w:pPr>
              <w:spacing w:line="360" w:lineRule="auto"/>
              <w:rPr>
                <w:rFonts w:ascii="Arial" w:hAnsi="Arial" w:cs="Arial"/>
              </w:rPr>
            </w:pPr>
            <w:r w:rsidRPr="005122A9">
              <w:rPr>
                <w:rFonts w:ascii="Arial" w:hAnsi="Arial" w:cs="Arial"/>
                <w:spacing w:val="2"/>
                <w:shd w:val="clear" w:color="auto" w:fill="FFFFFF"/>
              </w:rPr>
              <w:t>BBVA SEGUROS DE VIDA S.A.</w:t>
            </w:r>
          </w:p>
        </w:tc>
      </w:tr>
      <w:tr w:rsidR="00174AF2" w:rsidRPr="005122A9" w14:paraId="77617809" w14:textId="77777777" w:rsidTr="00174AF2">
        <w:tc>
          <w:tcPr>
            <w:tcW w:w="3256" w:type="dxa"/>
          </w:tcPr>
          <w:p w14:paraId="22C6061D" w14:textId="77777777" w:rsidR="0093084E" w:rsidRPr="005122A9" w:rsidRDefault="00174AF2">
            <w:pPr>
              <w:spacing w:line="360" w:lineRule="auto"/>
              <w:rPr>
                <w:rFonts w:ascii="Arial" w:hAnsi="Arial" w:cs="Arial"/>
                <w:b/>
              </w:rPr>
            </w:pPr>
            <w:r w:rsidRPr="005122A9">
              <w:rPr>
                <w:rFonts w:ascii="Arial" w:hAnsi="Arial" w:cs="Arial"/>
                <w:b/>
              </w:rPr>
              <w:t>LITISCONSORTE</w:t>
            </w:r>
          </w:p>
        </w:tc>
        <w:tc>
          <w:tcPr>
            <w:tcW w:w="5572" w:type="dxa"/>
          </w:tcPr>
          <w:p w14:paraId="21E55E5A" w14:textId="77777777" w:rsidR="0093084E" w:rsidRPr="005122A9" w:rsidRDefault="00174AF2">
            <w:pPr>
              <w:spacing w:line="360" w:lineRule="auto"/>
              <w:rPr>
                <w:rFonts w:ascii="Arial" w:hAnsi="Arial" w:cs="Arial"/>
                <w:spacing w:val="2"/>
                <w:shd w:val="clear" w:color="auto" w:fill="FFFFFF"/>
              </w:rPr>
            </w:pPr>
            <w:r w:rsidRPr="005122A9">
              <w:rPr>
                <w:rFonts w:ascii="Arial" w:hAnsi="Arial" w:cs="Arial"/>
              </w:rPr>
              <w:t xml:space="preserve">BANCO BBVA COLOMBIA S.A.  </w:t>
            </w:r>
          </w:p>
        </w:tc>
      </w:tr>
      <w:tr w:rsidR="00174AF2" w:rsidRPr="005122A9" w14:paraId="1F6DA5EE" w14:textId="77777777" w:rsidTr="00174AF2">
        <w:tc>
          <w:tcPr>
            <w:tcW w:w="3256" w:type="dxa"/>
          </w:tcPr>
          <w:p w14:paraId="7146ED33" w14:textId="77777777" w:rsidR="0093084E" w:rsidRPr="005122A9" w:rsidRDefault="00174AF2">
            <w:pPr>
              <w:spacing w:line="360" w:lineRule="auto"/>
              <w:rPr>
                <w:rFonts w:ascii="Arial" w:hAnsi="Arial" w:cs="Arial"/>
                <w:b/>
              </w:rPr>
            </w:pPr>
            <w:r w:rsidRPr="005122A9">
              <w:rPr>
                <w:rFonts w:ascii="Arial" w:hAnsi="Arial" w:cs="Arial"/>
                <w:b/>
              </w:rPr>
              <w:t>JUZGADO</w:t>
            </w:r>
          </w:p>
        </w:tc>
        <w:tc>
          <w:tcPr>
            <w:tcW w:w="5572" w:type="dxa"/>
          </w:tcPr>
          <w:p w14:paraId="4906A826" w14:textId="77777777" w:rsidR="0093084E" w:rsidRPr="005122A9" w:rsidRDefault="00174AF2">
            <w:pPr>
              <w:spacing w:line="360" w:lineRule="auto"/>
              <w:rPr>
                <w:rFonts w:ascii="Arial" w:hAnsi="Arial" w:cs="Arial"/>
              </w:rPr>
            </w:pPr>
            <w:r w:rsidRPr="005122A9">
              <w:rPr>
                <w:rFonts w:ascii="Arial" w:hAnsi="Arial" w:cs="Arial"/>
                <w:spacing w:val="2"/>
                <w:shd w:val="clear" w:color="auto" w:fill="FFFFFF"/>
              </w:rPr>
              <w:t>JUZGADO 031 CIVIL MUNICIPAL DE CALI</w:t>
            </w:r>
          </w:p>
        </w:tc>
      </w:tr>
      <w:tr w:rsidR="00174AF2" w:rsidRPr="005122A9" w14:paraId="2065774D" w14:textId="77777777" w:rsidTr="00174AF2">
        <w:tc>
          <w:tcPr>
            <w:tcW w:w="3256" w:type="dxa"/>
          </w:tcPr>
          <w:p w14:paraId="4C83530F" w14:textId="77777777" w:rsidR="0093084E" w:rsidRPr="005122A9" w:rsidRDefault="00174AF2">
            <w:pPr>
              <w:spacing w:line="360" w:lineRule="auto"/>
              <w:rPr>
                <w:rFonts w:ascii="Arial" w:hAnsi="Arial" w:cs="Arial"/>
                <w:b/>
              </w:rPr>
            </w:pPr>
            <w:r w:rsidRPr="005122A9">
              <w:rPr>
                <w:rFonts w:ascii="Arial" w:hAnsi="Arial" w:cs="Arial"/>
                <w:b/>
              </w:rPr>
              <w:t>RADICADO</w:t>
            </w:r>
          </w:p>
        </w:tc>
        <w:tc>
          <w:tcPr>
            <w:tcW w:w="5572" w:type="dxa"/>
          </w:tcPr>
          <w:p w14:paraId="651637BF" w14:textId="3F7064F7" w:rsidR="0093084E" w:rsidRPr="005122A9" w:rsidRDefault="00174AF2">
            <w:pPr>
              <w:spacing w:line="360" w:lineRule="auto"/>
              <w:rPr>
                <w:rFonts w:ascii="Arial" w:hAnsi="Arial" w:cs="Arial"/>
              </w:rPr>
            </w:pPr>
            <w:r w:rsidRPr="005122A9">
              <w:rPr>
                <w:rFonts w:ascii="Arial" w:hAnsi="Arial" w:cs="Arial"/>
                <w:bCs/>
                <w:spacing w:val="2"/>
                <w:shd w:val="clear" w:color="auto" w:fill="F9FAFB"/>
              </w:rPr>
              <w:t>760014003031</w:t>
            </w:r>
            <w:r w:rsidR="00D9688A" w:rsidRPr="005122A9">
              <w:rPr>
                <w:rFonts w:ascii="Arial" w:hAnsi="Arial" w:cs="Arial"/>
                <w:bCs/>
                <w:spacing w:val="2"/>
                <w:shd w:val="clear" w:color="auto" w:fill="F9FAFB"/>
              </w:rPr>
              <w:t>-</w:t>
            </w:r>
            <w:r w:rsidR="00942D79" w:rsidRPr="005122A9">
              <w:rPr>
                <w:rFonts w:ascii="Arial" w:hAnsi="Arial" w:cs="Arial"/>
                <w:bCs/>
                <w:spacing w:val="2"/>
                <w:shd w:val="clear" w:color="auto" w:fill="F9FAFB"/>
              </w:rPr>
              <w:t>2020-00402-00</w:t>
            </w:r>
          </w:p>
        </w:tc>
      </w:tr>
      <w:tr w:rsidR="00174AF2" w:rsidRPr="005122A9" w14:paraId="45FCA932" w14:textId="77777777" w:rsidTr="00174AF2">
        <w:tc>
          <w:tcPr>
            <w:tcW w:w="3256" w:type="dxa"/>
          </w:tcPr>
          <w:p w14:paraId="6F9E8170" w14:textId="77777777" w:rsidR="0093084E" w:rsidRPr="005122A9" w:rsidRDefault="00174AF2">
            <w:pPr>
              <w:spacing w:line="360" w:lineRule="auto"/>
              <w:rPr>
                <w:rFonts w:ascii="Arial" w:hAnsi="Arial" w:cs="Arial"/>
                <w:b/>
              </w:rPr>
            </w:pPr>
            <w:r w:rsidRPr="005122A9">
              <w:rPr>
                <w:rFonts w:ascii="Arial" w:hAnsi="Arial" w:cs="Arial"/>
                <w:b/>
              </w:rPr>
              <w:t>CASE</w:t>
            </w:r>
          </w:p>
        </w:tc>
        <w:tc>
          <w:tcPr>
            <w:tcW w:w="5572" w:type="dxa"/>
          </w:tcPr>
          <w:p w14:paraId="2ED895EE" w14:textId="55DE2CCF" w:rsidR="0093084E" w:rsidRPr="005122A9" w:rsidRDefault="00942D79">
            <w:pPr>
              <w:pStyle w:val="Ttulo3"/>
              <w:shd w:val="clear" w:color="auto" w:fill="F9FAFB"/>
              <w:spacing w:before="0" w:beforeAutospacing="0" w:after="0" w:afterAutospacing="0" w:line="360" w:lineRule="auto"/>
              <w:ind w:right="300"/>
              <w:rPr>
                <w:rFonts w:ascii="Arial" w:hAnsi="Arial" w:cs="Arial"/>
                <w:b w:val="0"/>
                <w:bCs w:val="0"/>
                <w:spacing w:val="2"/>
                <w:sz w:val="22"/>
                <w:szCs w:val="22"/>
              </w:rPr>
            </w:pPr>
            <w:r w:rsidRPr="005122A9">
              <w:rPr>
                <w:rFonts w:ascii="Arial" w:hAnsi="Arial" w:cs="Arial"/>
                <w:b w:val="0"/>
                <w:bCs w:val="0"/>
                <w:spacing w:val="2"/>
                <w:sz w:val="22"/>
                <w:szCs w:val="22"/>
              </w:rPr>
              <w:t>11823</w:t>
            </w:r>
          </w:p>
        </w:tc>
      </w:tr>
    </w:tbl>
    <w:p w14:paraId="08F3C5EC" w14:textId="77777777" w:rsidR="0093084E" w:rsidRPr="005122A9" w:rsidRDefault="0093084E">
      <w:pPr>
        <w:spacing w:after="0" w:line="360" w:lineRule="auto"/>
        <w:rPr>
          <w:rFonts w:ascii="Arial" w:hAnsi="Arial" w:cs="Arial"/>
          <w:b/>
        </w:rPr>
      </w:pPr>
    </w:p>
    <w:p w14:paraId="0AFCB1A6" w14:textId="650CE713" w:rsidR="0093084E" w:rsidRPr="005122A9" w:rsidRDefault="009552CB">
      <w:pPr>
        <w:pStyle w:val="Prrafodelista"/>
        <w:numPr>
          <w:ilvl w:val="0"/>
          <w:numId w:val="4"/>
        </w:numPr>
        <w:spacing w:after="0" w:line="360" w:lineRule="auto"/>
        <w:jc w:val="both"/>
        <w:rPr>
          <w:rFonts w:ascii="Arial" w:eastAsia="Times New Roman" w:hAnsi="Arial" w:cs="Arial"/>
          <w:b/>
          <w:bCs/>
          <w:lang w:eastAsia="es-CO"/>
        </w:rPr>
      </w:pPr>
      <w:r w:rsidRPr="005122A9">
        <w:rPr>
          <w:rFonts w:ascii="Arial" w:hAnsi="Arial" w:cs="Arial"/>
          <w:b/>
        </w:rPr>
        <w:t xml:space="preserve">HECHOS DE LA DEMANDA </w:t>
      </w:r>
    </w:p>
    <w:p w14:paraId="1B37E8A7" w14:textId="77777777" w:rsidR="0093084E" w:rsidRPr="005122A9" w:rsidRDefault="0093084E">
      <w:pPr>
        <w:pStyle w:val="Prrafodelista"/>
        <w:spacing w:after="0" w:line="360" w:lineRule="auto"/>
        <w:jc w:val="both"/>
        <w:rPr>
          <w:rFonts w:ascii="Arial" w:eastAsia="Times New Roman" w:hAnsi="Arial" w:cs="Arial"/>
          <w:b/>
          <w:bCs/>
          <w:lang w:eastAsia="es-CO"/>
        </w:rPr>
      </w:pPr>
    </w:p>
    <w:p w14:paraId="0724CF1A" w14:textId="77777777" w:rsidR="00942D79" w:rsidRPr="005122A9" w:rsidRDefault="00942D79">
      <w:pPr>
        <w:spacing w:after="0" w:line="360" w:lineRule="auto"/>
        <w:jc w:val="both"/>
        <w:rPr>
          <w:rFonts w:ascii="Arial" w:hAnsi="Arial" w:cs="Arial"/>
        </w:rPr>
      </w:pPr>
      <w:r w:rsidRPr="005122A9">
        <w:rPr>
          <w:rFonts w:ascii="Arial" w:hAnsi="Arial" w:cs="Arial"/>
        </w:rPr>
        <w:t xml:space="preserve">De conformidad con los hechos de la demanda el 29 de enero de 2016, el señor Jairo Giraldo Quiceno (q.e.p.d.) tomó un seguro de vida con la sociedad BBVA Seguros Colombia S.A. que ampara el riesgo de muerte y cubre el “saldo insoluto” del crédito respaldado por garantía real hipotecaria que grava los inmuebles con matrícula inmobiliaria No. 370-847965 (apartamento) y 370-848133 (parqueadero) de la Oficina de registro de Instrumentos Públicos de Cali. </w:t>
      </w:r>
    </w:p>
    <w:p w14:paraId="3642C62D" w14:textId="77777777" w:rsidR="00942D79" w:rsidRPr="005122A9" w:rsidRDefault="00942D79">
      <w:pPr>
        <w:spacing w:after="0" w:line="360" w:lineRule="auto"/>
        <w:jc w:val="both"/>
        <w:rPr>
          <w:rFonts w:ascii="Arial" w:hAnsi="Arial" w:cs="Arial"/>
        </w:rPr>
      </w:pPr>
    </w:p>
    <w:p w14:paraId="11847E0A" w14:textId="77777777" w:rsidR="00942D79" w:rsidRPr="005122A9" w:rsidRDefault="00942D79">
      <w:pPr>
        <w:spacing w:after="0" w:line="360" w:lineRule="auto"/>
        <w:jc w:val="both"/>
        <w:rPr>
          <w:rFonts w:ascii="Arial" w:hAnsi="Arial" w:cs="Arial"/>
        </w:rPr>
      </w:pPr>
      <w:r w:rsidRPr="005122A9">
        <w:rPr>
          <w:rFonts w:ascii="Arial" w:hAnsi="Arial" w:cs="Arial"/>
        </w:rPr>
        <w:t xml:space="preserve">En el seguro se designan como beneficiarios al Banco BBVA Colombia S.A. y a la señora María Ruth Morales Bahamón. </w:t>
      </w:r>
    </w:p>
    <w:p w14:paraId="51B6E189" w14:textId="77777777" w:rsidR="00942D79" w:rsidRPr="005122A9" w:rsidRDefault="00942D79">
      <w:pPr>
        <w:spacing w:after="0" w:line="360" w:lineRule="auto"/>
        <w:jc w:val="both"/>
        <w:rPr>
          <w:rFonts w:ascii="Arial" w:hAnsi="Arial" w:cs="Arial"/>
        </w:rPr>
      </w:pPr>
    </w:p>
    <w:p w14:paraId="42D0687B" w14:textId="77777777" w:rsidR="00942D79" w:rsidRPr="005122A9" w:rsidRDefault="00942D79">
      <w:pPr>
        <w:spacing w:after="0" w:line="360" w:lineRule="auto"/>
        <w:jc w:val="both"/>
        <w:rPr>
          <w:rFonts w:ascii="Arial" w:hAnsi="Arial" w:cs="Arial"/>
        </w:rPr>
      </w:pPr>
      <w:r w:rsidRPr="005122A9">
        <w:rPr>
          <w:rFonts w:ascii="Arial" w:hAnsi="Arial" w:cs="Arial"/>
        </w:rPr>
        <w:t xml:space="preserve">Indicó la parte actora que al momento de tomar el crédito hipotecario de marras, al señor Jairo Giraldo Quiceno le fueron entregados una serie de documentos, algunos con el logo de “BBVA Seguros”, que no diligenció en su totalidad, solo los firmó y fueron funcionarios del banco BBVA Colombia S.A. quienes se encargaron de llenar dichos formularios de forma “apresurada”, “burda” y con “graves inconsistencias”, de tal forma que el asegurado no pudo incurrir en reticencia o inexactitud en el diligenciamiento de la solicitud del seguro. </w:t>
      </w:r>
    </w:p>
    <w:p w14:paraId="69E62E81" w14:textId="77777777" w:rsidR="00942D79" w:rsidRPr="005122A9" w:rsidRDefault="00942D79">
      <w:pPr>
        <w:spacing w:after="0" w:line="360" w:lineRule="auto"/>
        <w:jc w:val="both"/>
        <w:rPr>
          <w:rFonts w:ascii="Arial" w:hAnsi="Arial" w:cs="Arial"/>
        </w:rPr>
      </w:pPr>
    </w:p>
    <w:p w14:paraId="597B96B6" w14:textId="77777777" w:rsidR="00942D79" w:rsidRPr="005122A9" w:rsidRDefault="00942D79">
      <w:pPr>
        <w:spacing w:after="0" w:line="360" w:lineRule="auto"/>
        <w:jc w:val="both"/>
        <w:rPr>
          <w:rFonts w:ascii="Arial" w:hAnsi="Arial" w:cs="Arial"/>
        </w:rPr>
      </w:pPr>
      <w:r w:rsidRPr="005122A9">
        <w:rPr>
          <w:rFonts w:ascii="Arial" w:hAnsi="Arial" w:cs="Arial"/>
        </w:rPr>
        <w:t>Manifestó el demandante que al señor Jairo Giraldo Quiceno no se le practicó ningún examen médico al momento de tomar el seguro, a pesar de contar con 60 años. El 17 de agosto de 2018 fallece el señor Jairo Giraldo Quiceno a raíz de una bronconeumonía específica.</w:t>
      </w:r>
    </w:p>
    <w:p w14:paraId="0A6C49DF" w14:textId="77777777" w:rsidR="00942D79" w:rsidRPr="005122A9" w:rsidRDefault="00942D79">
      <w:pPr>
        <w:spacing w:after="0" w:line="360" w:lineRule="auto"/>
        <w:jc w:val="both"/>
        <w:rPr>
          <w:rFonts w:ascii="Arial" w:hAnsi="Arial" w:cs="Arial"/>
        </w:rPr>
      </w:pPr>
    </w:p>
    <w:p w14:paraId="5912894C" w14:textId="4A7B5058" w:rsidR="00942D79" w:rsidRPr="005122A9" w:rsidRDefault="00942D79">
      <w:pPr>
        <w:spacing w:after="0" w:line="360" w:lineRule="auto"/>
        <w:jc w:val="both"/>
        <w:rPr>
          <w:rFonts w:ascii="Arial" w:hAnsi="Arial" w:cs="Arial"/>
        </w:rPr>
      </w:pPr>
      <w:r w:rsidRPr="005122A9">
        <w:rPr>
          <w:rFonts w:ascii="Arial" w:hAnsi="Arial" w:cs="Arial"/>
        </w:rPr>
        <w:lastRenderedPageBreak/>
        <w:t>Adujo el demandante que el Banco BBVA Colombia S.A. eleva reclamación a la aseguradora para obtener el pago del saldo insoluto del crédito hipotecario, la cual fue objetada por BBVA Seguros de Vida Colombia S.A. mediante carta fechada del 30 de agosto de 2018, así: “</w:t>
      </w:r>
      <w:r w:rsidRPr="005122A9">
        <w:rPr>
          <w:rFonts w:ascii="Arial" w:hAnsi="Arial" w:cs="Arial"/>
          <w:i/>
          <w:iCs/>
        </w:rPr>
        <w:t xml:space="preserve">De acuerdo con la historia clínica del Hospital Universitario del Valle de julio 16 de 2018, encontramos que el señor Jairo Giraldo Quiceno tenía antecedentes médicos y patologías previas que afectaban su </w:t>
      </w:r>
      <w:proofErr w:type="spellStart"/>
      <w:r w:rsidRPr="005122A9">
        <w:rPr>
          <w:rFonts w:ascii="Arial" w:hAnsi="Arial" w:cs="Arial"/>
          <w:i/>
          <w:iCs/>
        </w:rPr>
        <w:t>pre-sanidad</w:t>
      </w:r>
      <w:proofErr w:type="spellEnd"/>
      <w:r w:rsidRPr="005122A9">
        <w:rPr>
          <w:rFonts w:ascii="Arial" w:hAnsi="Arial" w:cs="Arial"/>
          <w:i/>
          <w:iCs/>
        </w:rPr>
        <w:t>, como son Cáncer de Tiroides hace 10 años con tiroidectomía total manejada con radioterapia. Esta alteración y patología es un hecho relevante que no fue declarado y que motivó la objeción al pago del respectivo seguro</w:t>
      </w:r>
      <w:r w:rsidRPr="005122A9">
        <w:rPr>
          <w:rFonts w:ascii="Arial" w:hAnsi="Arial" w:cs="Arial"/>
        </w:rPr>
        <w:t>”.</w:t>
      </w:r>
    </w:p>
    <w:p w14:paraId="5FBE3B58" w14:textId="77777777" w:rsidR="00942D79" w:rsidRPr="005122A9" w:rsidRDefault="00942D79">
      <w:pPr>
        <w:spacing w:after="0" w:line="360" w:lineRule="auto"/>
        <w:jc w:val="both"/>
        <w:rPr>
          <w:rFonts w:ascii="Arial" w:hAnsi="Arial" w:cs="Arial"/>
        </w:rPr>
      </w:pPr>
    </w:p>
    <w:p w14:paraId="1F03B2DB" w14:textId="77777777" w:rsidR="0093084E" w:rsidRPr="005122A9" w:rsidRDefault="0093084E">
      <w:pPr>
        <w:spacing w:after="0" w:line="360" w:lineRule="auto"/>
        <w:jc w:val="both"/>
        <w:rPr>
          <w:rFonts w:ascii="Arial" w:hAnsi="Arial" w:cs="Arial"/>
        </w:rPr>
      </w:pPr>
    </w:p>
    <w:p w14:paraId="6BF150E6" w14:textId="3B09ABFA" w:rsidR="0093084E" w:rsidRPr="005122A9" w:rsidRDefault="009552CB">
      <w:pPr>
        <w:pStyle w:val="Prrafodelista"/>
        <w:numPr>
          <w:ilvl w:val="0"/>
          <w:numId w:val="4"/>
        </w:numPr>
        <w:spacing w:after="0" w:line="360" w:lineRule="auto"/>
        <w:jc w:val="both"/>
        <w:rPr>
          <w:rFonts w:ascii="Arial" w:hAnsi="Arial" w:cs="Arial"/>
          <w:b/>
        </w:rPr>
      </w:pPr>
      <w:r w:rsidRPr="005122A9">
        <w:rPr>
          <w:rFonts w:ascii="Arial" w:hAnsi="Arial" w:cs="Arial"/>
          <w:b/>
        </w:rPr>
        <w:t>PRETENSIONES</w:t>
      </w:r>
    </w:p>
    <w:p w14:paraId="23B9837D" w14:textId="77777777" w:rsidR="0093084E" w:rsidRPr="005122A9" w:rsidRDefault="0093084E">
      <w:pPr>
        <w:spacing w:after="0" w:line="360" w:lineRule="auto"/>
        <w:jc w:val="both"/>
        <w:rPr>
          <w:rFonts w:ascii="Arial" w:hAnsi="Arial" w:cs="Arial"/>
          <w:b/>
        </w:rPr>
      </w:pPr>
    </w:p>
    <w:p w14:paraId="3117CFBB" w14:textId="4A217B4D" w:rsidR="00942D79" w:rsidRPr="005122A9" w:rsidRDefault="00942D79">
      <w:pPr>
        <w:spacing w:after="0" w:line="360" w:lineRule="auto"/>
        <w:jc w:val="both"/>
        <w:rPr>
          <w:rFonts w:ascii="Arial" w:hAnsi="Arial" w:cs="Arial"/>
        </w:rPr>
      </w:pPr>
      <w:r w:rsidRPr="005122A9">
        <w:rPr>
          <w:rFonts w:ascii="Arial" w:hAnsi="Arial" w:cs="Arial"/>
        </w:rPr>
        <w:t>Las pretensiones de la demanda van encaminadas al reconocimiento de $104.478.450 por concepto de INDEMNIZACIÓN DEL SINIESTRO, las sumas debidamente indexadas, más las costas procesales.</w:t>
      </w:r>
    </w:p>
    <w:p w14:paraId="1F3E7185" w14:textId="77777777" w:rsidR="00942D79" w:rsidRPr="005122A9" w:rsidRDefault="00942D79">
      <w:pPr>
        <w:spacing w:after="0" w:line="360" w:lineRule="auto"/>
        <w:jc w:val="both"/>
        <w:rPr>
          <w:rFonts w:ascii="Arial" w:hAnsi="Arial" w:cs="Arial"/>
        </w:rPr>
      </w:pPr>
    </w:p>
    <w:p w14:paraId="256969C9" w14:textId="27870136" w:rsidR="00942D79" w:rsidRPr="005122A9" w:rsidRDefault="00942D79">
      <w:pPr>
        <w:spacing w:after="0" w:line="360" w:lineRule="auto"/>
        <w:jc w:val="both"/>
        <w:rPr>
          <w:rFonts w:ascii="Arial" w:hAnsi="Arial" w:cs="Arial"/>
          <w:b/>
          <w:i/>
          <w:u w:val="single"/>
        </w:rPr>
      </w:pPr>
      <w:r w:rsidRPr="005122A9">
        <w:rPr>
          <w:rFonts w:ascii="Arial" w:hAnsi="Arial" w:cs="Arial"/>
          <w:b/>
          <w:i/>
          <w:u w:val="single"/>
        </w:rPr>
        <w:t xml:space="preserve">Nota: no se solicitaron intereses moratorios. </w:t>
      </w:r>
    </w:p>
    <w:p w14:paraId="18516A9E" w14:textId="77777777" w:rsidR="0093084E" w:rsidRPr="005122A9" w:rsidRDefault="0093084E">
      <w:pPr>
        <w:spacing w:after="0" w:line="360" w:lineRule="auto"/>
        <w:jc w:val="both"/>
        <w:rPr>
          <w:rFonts w:ascii="Arial" w:hAnsi="Arial" w:cs="Arial"/>
        </w:rPr>
      </w:pPr>
    </w:p>
    <w:p w14:paraId="0673DE75" w14:textId="458A27F0" w:rsidR="0093084E" w:rsidRPr="005122A9" w:rsidRDefault="0093084E">
      <w:pPr>
        <w:spacing w:after="0" w:line="360" w:lineRule="auto"/>
        <w:jc w:val="both"/>
        <w:rPr>
          <w:rFonts w:ascii="Arial" w:hAnsi="Arial" w:cs="Arial"/>
          <w:b/>
        </w:rPr>
      </w:pPr>
      <w:r w:rsidRPr="005122A9">
        <w:rPr>
          <w:rFonts w:ascii="Arial" w:hAnsi="Arial" w:cs="Arial"/>
          <w:b/>
        </w:rPr>
        <w:t xml:space="preserve">TOTAL: $ </w:t>
      </w:r>
      <w:r w:rsidR="00942D79" w:rsidRPr="005122A9">
        <w:rPr>
          <w:rFonts w:ascii="Arial" w:hAnsi="Arial" w:cs="Arial"/>
          <w:b/>
        </w:rPr>
        <w:t>104.478.450</w:t>
      </w:r>
    </w:p>
    <w:p w14:paraId="2629E4AE" w14:textId="2A345D07" w:rsidR="0093084E" w:rsidRPr="005122A9" w:rsidRDefault="0093084E">
      <w:pPr>
        <w:spacing w:after="0" w:line="360" w:lineRule="auto"/>
        <w:jc w:val="both"/>
        <w:rPr>
          <w:rFonts w:ascii="Arial" w:hAnsi="Arial" w:cs="Arial"/>
          <w:b/>
        </w:rPr>
      </w:pPr>
    </w:p>
    <w:p w14:paraId="35E19DC6" w14:textId="77777777" w:rsidR="009552CB" w:rsidRPr="005122A9" w:rsidRDefault="009552CB">
      <w:pPr>
        <w:spacing w:after="0" w:line="360" w:lineRule="auto"/>
        <w:jc w:val="both"/>
        <w:rPr>
          <w:rFonts w:ascii="Arial" w:hAnsi="Arial" w:cs="Arial"/>
          <w:b/>
        </w:rPr>
      </w:pPr>
    </w:p>
    <w:p w14:paraId="00F31BF2" w14:textId="5ED746E9" w:rsidR="009552CB" w:rsidRPr="005122A9" w:rsidRDefault="009552CB">
      <w:pPr>
        <w:pStyle w:val="Prrafodelista"/>
        <w:numPr>
          <w:ilvl w:val="0"/>
          <w:numId w:val="4"/>
        </w:numPr>
        <w:spacing w:after="0" w:line="360" w:lineRule="auto"/>
        <w:jc w:val="both"/>
        <w:rPr>
          <w:rFonts w:ascii="Arial" w:hAnsi="Arial" w:cs="Arial"/>
          <w:b/>
        </w:rPr>
      </w:pPr>
      <w:r w:rsidRPr="005122A9">
        <w:rPr>
          <w:rFonts w:ascii="Arial" w:hAnsi="Arial" w:cs="Arial"/>
          <w:b/>
        </w:rPr>
        <w:t xml:space="preserve">ACTUALIZACIÓN CALIFICACIÓN </w:t>
      </w:r>
    </w:p>
    <w:p w14:paraId="49422EB8" w14:textId="77777777" w:rsidR="009552CB" w:rsidRPr="005122A9" w:rsidRDefault="009552CB" w:rsidP="005122A9">
      <w:pPr>
        <w:spacing w:after="0" w:line="360" w:lineRule="auto"/>
        <w:jc w:val="both"/>
        <w:rPr>
          <w:rFonts w:ascii="Arial" w:hAnsi="Arial" w:cs="Arial"/>
          <w:b/>
        </w:rPr>
      </w:pPr>
    </w:p>
    <w:p w14:paraId="3036A733" w14:textId="3EB1F3BD" w:rsidR="0093084E" w:rsidRPr="005122A9" w:rsidRDefault="009552CB" w:rsidP="005122A9">
      <w:pPr>
        <w:spacing w:after="0" w:line="360" w:lineRule="auto"/>
        <w:jc w:val="both"/>
        <w:rPr>
          <w:rFonts w:ascii="Arial" w:hAnsi="Arial" w:cs="Arial"/>
        </w:rPr>
      </w:pPr>
      <w:r w:rsidRPr="005122A9">
        <w:rPr>
          <w:rFonts w:ascii="Arial" w:hAnsi="Arial" w:cs="Arial"/>
        </w:rPr>
        <w:t xml:space="preserve">La calificación </w:t>
      </w:r>
      <w:r w:rsidR="0093084E" w:rsidRPr="005122A9">
        <w:rPr>
          <w:rFonts w:ascii="Arial" w:hAnsi="Arial" w:cs="Arial"/>
        </w:rPr>
        <w:t xml:space="preserve">de </w:t>
      </w:r>
      <w:r w:rsidRPr="005122A9">
        <w:rPr>
          <w:rFonts w:ascii="Arial" w:hAnsi="Arial" w:cs="Arial"/>
        </w:rPr>
        <w:t xml:space="preserve">la </w:t>
      </w:r>
      <w:r w:rsidR="0093084E" w:rsidRPr="005122A9">
        <w:rPr>
          <w:rFonts w:ascii="Arial" w:hAnsi="Arial" w:cs="Arial"/>
        </w:rPr>
        <w:t xml:space="preserve">contingencia </w:t>
      </w:r>
      <w:r w:rsidR="00DB0055" w:rsidRPr="005122A9">
        <w:rPr>
          <w:rFonts w:ascii="Arial" w:hAnsi="Arial" w:cs="Arial"/>
        </w:rPr>
        <w:t xml:space="preserve">se mantiene como </w:t>
      </w:r>
      <w:r w:rsidR="00BC44C2" w:rsidRPr="005122A9">
        <w:rPr>
          <w:rFonts w:ascii="Arial" w:hAnsi="Arial" w:cs="Arial"/>
        </w:rPr>
        <w:t>EVENTUAL,</w:t>
      </w:r>
      <w:r w:rsidR="00DB0055" w:rsidRPr="005122A9">
        <w:rPr>
          <w:rFonts w:ascii="Arial" w:hAnsi="Arial" w:cs="Arial"/>
        </w:rPr>
        <w:t xml:space="preserve"> pero difieren las razones, del siguiente modo</w:t>
      </w:r>
      <w:r w:rsidR="0093084E" w:rsidRPr="005122A9">
        <w:rPr>
          <w:rFonts w:ascii="Arial" w:hAnsi="Arial" w:cs="Arial"/>
        </w:rPr>
        <w:t xml:space="preserve">: </w:t>
      </w:r>
    </w:p>
    <w:p w14:paraId="3BB92E03" w14:textId="77777777" w:rsidR="00503AA7" w:rsidRPr="005122A9" w:rsidRDefault="00503AA7">
      <w:pPr>
        <w:pStyle w:val="Prrafodelista"/>
        <w:spacing w:after="0" w:line="360" w:lineRule="auto"/>
        <w:rPr>
          <w:rFonts w:ascii="Arial" w:hAnsi="Arial" w:cs="Arial"/>
          <w:b/>
        </w:rPr>
      </w:pPr>
    </w:p>
    <w:p w14:paraId="7611E701" w14:textId="2FB25B5F" w:rsidR="0093084E" w:rsidRPr="005122A9" w:rsidRDefault="00336C50" w:rsidP="005122A9">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sidRPr="005122A9">
        <w:rPr>
          <w:rFonts w:ascii="Arial" w:hAnsi="Arial" w:cs="Arial"/>
          <w:sz w:val="22"/>
          <w:szCs w:val="22"/>
          <w:bdr w:val="none" w:sz="0" w:space="0" w:color="auto" w:frame="1"/>
        </w:rPr>
        <w:t>S</w:t>
      </w:r>
      <w:r w:rsidR="004B66CA" w:rsidRPr="005122A9">
        <w:rPr>
          <w:rFonts w:ascii="Arial" w:hAnsi="Arial" w:cs="Arial"/>
          <w:sz w:val="22"/>
          <w:szCs w:val="22"/>
          <w:bdr w:val="none" w:sz="0" w:space="0" w:color="auto" w:frame="1"/>
        </w:rPr>
        <w:t xml:space="preserve">e precisa </w:t>
      </w:r>
      <w:r w:rsidRPr="005122A9">
        <w:rPr>
          <w:rFonts w:ascii="Arial" w:hAnsi="Arial" w:cs="Arial"/>
          <w:sz w:val="22"/>
          <w:szCs w:val="22"/>
          <w:bdr w:val="none" w:sz="0" w:space="0" w:color="auto" w:frame="1"/>
        </w:rPr>
        <w:t xml:space="preserve">en primer lugar </w:t>
      </w:r>
      <w:r w:rsidR="004B66CA" w:rsidRPr="005122A9">
        <w:rPr>
          <w:rFonts w:ascii="Arial" w:hAnsi="Arial" w:cs="Arial"/>
          <w:sz w:val="22"/>
          <w:szCs w:val="22"/>
          <w:bdr w:val="none" w:sz="0" w:space="0" w:color="auto" w:frame="1"/>
        </w:rPr>
        <w:t xml:space="preserve">que </w:t>
      </w:r>
      <w:r w:rsidR="00DB0055" w:rsidRPr="005122A9">
        <w:rPr>
          <w:rFonts w:ascii="Arial" w:hAnsi="Arial" w:cs="Arial"/>
          <w:sz w:val="22"/>
          <w:szCs w:val="22"/>
          <w:bdr w:val="none" w:sz="0" w:space="0" w:color="auto" w:frame="1"/>
        </w:rPr>
        <w:t>la Póliza de Seguro Vida Individual Deudores Premium No. 02 322 0000000519, certificado No. 0013-0556-51-4000062149</w:t>
      </w:r>
      <w:r w:rsidR="0093084E" w:rsidRPr="005122A9">
        <w:rPr>
          <w:rFonts w:ascii="Arial" w:hAnsi="Arial" w:cs="Arial"/>
          <w:sz w:val="22"/>
          <w:szCs w:val="22"/>
          <w:bdr w:val="none" w:sz="0" w:space="0" w:color="auto" w:frame="1"/>
        </w:rPr>
        <w:t>, presta cobertura material y temporal, de conformidad con los hechos y pretensiones expuestas en el líbelo de la demanda. Frente a la cobertura temporal, debe señalarse que la muerte del asegurado ocurrió el día</w:t>
      </w:r>
      <w:r w:rsidR="00DB0055" w:rsidRPr="005122A9">
        <w:rPr>
          <w:rFonts w:ascii="Arial" w:hAnsi="Arial" w:cs="Arial"/>
          <w:sz w:val="22"/>
          <w:szCs w:val="22"/>
          <w:bdr w:val="none" w:sz="0" w:space="0" w:color="auto" w:frame="1"/>
        </w:rPr>
        <w:t xml:space="preserve"> 17 de agosto de 2018</w:t>
      </w:r>
      <w:r w:rsidR="0093084E" w:rsidRPr="005122A9">
        <w:rPr>
          <w:rFonts w:ascii="Arial" w:hAnsi="Arial" w:cs="Arial"/>
          <w:sz w:val="22"/>
          <w:szCs w:val="22"/>
          <w:bdr w:val="none" w:sz="0" w:space="0" w:color="auto" w:frame="1"/>
        </w:rPr>
        <w:t xml:space="preserve">, esto es, dentro de la vigencia de la póliza de Seguro Grupo Vida Deudores, pues la misma fue </w:t>
      </w:r>
      <w:r w:rsidR="00B86702" w:rsidRPr="005122A9">
        <w:rPr>
          <w:rFonts w:ascii="Arial" w:hAnsi="Arial" w:cs="Arial"/>
          <w:sz w:val="22"/>
          <w:szCs w:val="22"/>
          <w:bdr w:val="none" w:sz="0" w:space="0" w:color="auto" w:frame="1"/>
        </w:rPr>
        <w:t xml:space="preserve">emitida </w:t>
      </w:r>
      <w:r w:rsidR="0093084E" w:rsidRPr="005122A9">
        <w:rPr>
          <w:rFonts w:ascii="Arial" w:hAnsi="Arial" w:cs="Arial"/>
          <w:sz w:val="22"/>
          <w:szCs w:val="22"/>
          <w:bdr w:val="none" w:sz="0" w:space="0" w:color="auto" w:frame="1"/>
        </w:rPr>
        <w:t xml:space="preserve">el </w:t>
      </w:r>
      <w:r w:rsidR="00DB0055" w:rsidRPr="005122A9">
        <w:rPr>
          <w:rFonts w:ascii="Arial" w:hAnsi="Arial" w:cs="Arial"/>
          <w:sz w:val="22"/>
          <w:szCs w:val="22"/>
          <w:bdr w:val="none" w:sz="0" w:space="0" w:color="auto" w:frame="1"/>
        </w:rPr>
        <w:t xml:space="preserve">29 de enero de 2016 </w:t>
      </w:r>
      <w:r w:rsidR="0093084E" w:rsidRPr="005122A9">
        <w:rPr>
          <w:rFonts w:ascii="Arial" w:hAnsi="Arial" w:cs="Arial"/>
          <w:sz w:val="22"/>
          <w:szCs w:val="22"/>
          <w:bdr w:val="none" w:sz="0" w:space="0" w:color="auto" w:frame="1"/>
        </w:rPr>
        <w:t>y</w:t>
      </w:r>
      <w:r w:rsidR="00DB0055" w:rsidRPr="005122A9">
        <w:rPr>
          <w:rFonts w:ascii="Arial" w:hAnsi="Arial" w:cs="Arial"/>
          <w:sz w:val="22"/>
          <w:szCs w:val="22"/>
          <w:bdr w:val="none" w:sz="0" w:space="0" w:color="auto" w:frame="1"/>
        </w:rPr>
        <w:t xml:space="preserve"> finalizó su vigencia el 28 de marzo de 2021</w:t>
      </w:r>
      <w:r w:rsidR="0093084E" w:rsidRPr="005122A9">
        <w:rPr>
          <w:rFonts w:ascii="Arial" w:hAnsi="Arial" w:cs="Arial"/>
          <w:sz w:val="22"/>
          <w:szCs w:val="22"/>
          <w:bdr w:val="none" w:sz="0" w:space="0" w:color="auto" w:frame="1"/>
        </w:rPr>
        <w:t xml:space="preserve">. Aunado a ello, presta cobertura material en tanto ampara </w:t>
      </w:r>
      <w:r w:rsidR="0093084E" w:rsidRPr="005122A9">
        <w:rPr>
          <w:rFonts w:ascii="Arial" w:hAnsi="Arial" w:cs="Arial"/>
          <w:sz w:val="22"/>
          <w:szCs w:val="22"/>
          <w:bdr w:val="none" w:sz="0" w:space="0" w:color="auto" w:frame="1"/>
        </w:rPr>
        <w:lastRenderedPageBreak/>
        <w:t>la “</w:t>
      </w:r>
      <w:r w:rsidR="0093084E" w:rsidRPr="005122A9">
        <w:rPr>
          <w:rFonts w:ascii="Arial" w:hAnsi="Arial" w:cs="Arial"/>
          <w:i/>
          <w:sz w:val="22"/>
          <w:szCs w:val="22"/>
          <w:bdr w:val="none" w:sz="0" w:space="0" w:color="auto" w:frame="1"/>
        </w:rPr>
        <w:t>muerte por cualquier causa</w:t>
      </w:r>
      <w:r w:rsidR="0093084E" w:rsidRPr="005122A9">
        <w:rPr>
          <w:rFonts w:ascii="Arial" w:hAnsi="Arial" w:cs="Arial"/>
          <w:sz w:val="22"/>
          <w:szCs w:val="22"/>
          <w:bdr w:val="none" w:sz="0" w:space="0" w:color="auto" w:frame="1"/>
        </w:rPr>
        <w:t xml:space="preserve">” del asegurado, riesgo que se encuentra amparado en las coberturas de la póliza.  </w:t>
      </w:r>
    </w:p>
    <w:p w14:paraId="27D80F52" w14:textId="133D47DE" w:rsidR="000732B8" w:rsidRPr="005122A9" w:rsidRDefault="000732B8">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0CDC73BA" w14:textId="6BE0B4E8" w:rsidR="00336C50" w:rsidRPr="005122A9" w:rsidRDefault="00336C50" w:rsidP="00336C5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sidRPr="005122A9">
        <w:rPr>
          <w:rFonts w:ascii="Arial" w:hAnsi="Arial" w:cs="Arial"/>
          <w:sz w:val="22"/>
          <w:szCs w:val="22"/>
          <w:bdr w:val="none" w:sz="0" w:space="0" w:color="auto" w:frame="1"/>
        </w:rPr>
        <w:t xml:space="preserve">Ahora, dicho lo anterior, debe indicarse que la contingencia estaba calificada como EVENTUAL habida cuenta del estudio de la configuración </w:t>
      </w:r>
      <w:r w:rsidR="00C66727" w:rsidRPr="005122A9">
        <w:rPr>
          <w:rFonts w:ascii="Arial" w:hAnsi="Arial" w:cs="Arial"/>
          <w:sz w:val="22"/>
          <w:szCs w:val="22"/>
          <w:bdr w:val="none" w:sz="0" w:space="0" w:color="auto" w:frame="1"/>
        </w:rPr>
        <w:t>de la prescripción</w:t>
      </w:r>
      <w:r w:rsidR="0095352D" w:rsidRPr="005122A9">
        <w:rPr>
          <w:rFonts w:ascii="Arial" w:hAnsi="Arial" w:cs="Arial"/>
          <w:sz w:val="22"/>
          <w:szCs w:val="22"/>
          <w:bdr w:val="none" w:sz="0" w:space="0" w:color="auto" w:frame="1"/>
        </w:rPr>
        <w:t xml:space="preserve"> respecto de la oportunidad para formular como medio exceptivo la nulidad relativa del aseguramiento</w:t>
      </w:r>
      <w:r w:rsidR="00F113E8" w:rsidRPr="005122A9">
        <w:rPr>
          <w:rFonts w:ascii="Arial" w:hAnsi="Arial" w:cs="Arial"/>
          <w:sz w:val="22"/>
          <w:szCs w:val="22"/>
          <w:bdr w:val="none" w:sz="0" w:space="0" w:color="auto" w:frame="1"/>
        </w:rPr>
        <w:t>. Inicialmente,</w:t>
      </w:r>
      <w:r w:rsidRPr="005122A9">
        <w:rPr>
          <w:rFonts w:ascii="Arial" w:hAnsi="Arial" w:cs="Arial"/>
          <w:sz w:val="22"/>
          <w:szCs w:val="22"/>
          <w:bdr w:val="none" w:sz="0" w:space="0" w:color="auto" w:frame="1"/>
        </w:rPr>
        <w:t xml:space="preserve"> se concluyó que la posibilidad de alegar la nulidad relativa por reticencia por parte de la Compañía Aseguradora </w:t>
      </w:r>
      <w:r w:rsidR="00BD7ED5" w:rsidRPr="005122A9">
        <w:rPr>
          <w:rFonts w:ascii="Arial" w:hAnsi="Arial" w:cs="Arial"/>
          <w:sz w:val="22"/>
          <w:szCs w:val="22"/>
          <w:bdr w:val="none" w:sz="0" w:space="0" w:color="auto" w:frame="1"/>
        </w:rPr>
        <w:t xml:space="preserve">dependía del pronunciamiento que efectuara la activa frente a dicha excepción pues, efectuando el análisis de los hitos temporales, se observaba que la oportunidad </w:t>
      </w:r>
      <w:r w:rsidRPr="005122A9">
        <w:rPr>
          <w:rFonts w:ascii="Arial" w:hAnsi="Arial" w:cs="Arial"/>
          <w:sz w:val="22"/>
          <w:szCs w:val="22"/>
          <w:bdr w:val="none" w:sz="0" w:space="0" w:color="auto" w:frame="1"/>
        </w:rPr>
        <w:t>se en</w:t>
      </w:r>
      <w:r w:rsidR="00F113E8" w:rsidRPr="005122A9">
        <w:rPr>
          <w:rFonts w:ascii="Arial" w:hAnsi="Arial" w:cs="Arial"/>
          <w:sz w:val="22"/>
          <w:szCs w:val="22"/>
          <w:bdr w:val="none" w:sz="0" w:space="0" w:color="auto" w:frame="1"/>
        </w:rPr>
        <w:t xml:space="preserve">contraba </w:t>
      </w:r>
      <w:r w:rsidRPr="005122A9">
        <w:rPr>
          <w:rFonts w:ascii="Arial" w:hAnsi="Arial" w:cs="Arial"/>
          <w:sz w:val="22"/>
          <w:szCs w:val="22"/>
          <w:bdr w:val="none" w:sz="0" w:space="0" w:color="auto" w:frame="1"/>
        </w:rPr>
        <w:t>prescrita</w:t>
      </w:r>
      <w:r w:rsidR="00BD7ED5" w:rsidRPr="005122A9">
        <w:rPr>
          <w:rFonts w:ascii="Arial" w:hAnsi="Arial" w:cs="Arial"/>
          <w:sz w:val="22"/>
          <w:szCs w:val="22"/>
          <w:bdr w:val="none" w:sz="0" w:space="0" w:color="auto" w:frame="1"/>
        </w:rPr>
        <w:t>.</w:t>
      </w:r>
      <w:r w:rsidRPr="005122A9">
        <w:rPr>
          <w:rFonts w:ascii="Arial" w:hAnsi="Arial" w:cs="Arial"/>
          <w:sz w:val="22"/>
          <w:szCs w:val="22"/>
          <w:bdr w:val="none" w:sz="0" w:space="0" w:color="auto" w:frame="1"/>
        </w:rPr>
        <w:t xml:space="preserve"> </w:t>
      </w:r>
      <w:r w:rsidR="00BD7ED5" w:rsidRPr="005122A9">
        <w:rPr>
          <w:rFonts w:ascii="Arial" w:hAnsi="Arial" w:cs="Arial"/>
          <w:sz w:val="22"/>
          <w:szCs w:val="22"/>
          <w:bdr w:val="none" w:sz="0" w:space="0" w:color="auto" w:frame="1"/>
        </w:rPr>
        <w:t>N</w:t>
      </w:r>
      <w:r w:rsidRPr="005122A9">
        <w:rPr>
          <w:rFonts w:ascii="Arial" w:hAnsi="Arial" w:cs="Arial"/>
          <w:sz w:val="22"/>
          <w:szCs w:val="22"/>
          <w:bdr w:val="none" w:sz="0" w:space="0" w:color="auto" w:frame="1"/>
        </w:rPr>
        <w:t xml:space="preserve">o obstante, se </w:t>
      </w:r>
      <w:r w:rsidR="00BD7ED5" w:rsidRPr="005122A9">
        <w:rPr>
          <w:rFonts w:ascii="Arial" w:hAnsi="Arial" w:cs="Arial"/>
          <w:sz w:val="22"/>
          <w:szCs w:val="22"/>
          <w:bdr w:val="none" w:sz="0" w:space="0" w:color="auto" w:frame="1"/>
        </w:rPr>
        <w:t xml:space="preserve">evidencia que a pesar de que se </w:t>
      </w:r>
      <w:r w:rsidRPr="005122A9">
        <w:rPr>
          <w:rFonts w:ascii="Arial" w:hAnsi="Arial" w:cs="Arial"/>
          <w:sz w:val="22"/>
          <w:szCs w:val="22"/>
          <w:bdr w:val="none" w:sz="0" w:space="0" w:color="auto" w:frame="1"/>
        </w:rPr>
        <w:t xml:space="preserve">corrió traslado a la parte demandante de las excepciones de </w:t>
      </w:r>
      <w:r w:rsidR="00BD7ED5" w:rsidRPr="005122A9">
        <w:rPr>
          <w:rFonts w:ascii="Arial" w:hAnsi="Arial" w:cs="Arial"/>
          <w:sz w:val="22"/>
          <w:szCs w:val="22"/>
          <w:bdr w:val="none" w:sz="0" w:space="0" w:color="auto" w:frame="1"/>
        </w:rPr>
        <w:t xml:space="preserve">la Compañía, </w:t>
      </w:r>
      <w:r w:rsidRPr="005122A9">
        <w:rPr>
          <w:rFonts w:ascii="Arial" w:hAnsi="Arial" w:cs="Arial"/>
          <w:sz w:val="22"/>
          <w:szCs w:val="22"/>
          <w:bdr w:val="none" w:sz="0" w:space="0" w:color="auto" w:frame="1"/>
        </w:rPr>
        <w:t xml:space="preserve">el apoderado </w:t>
      </w:r>
      <w:r w:rsidR="00BD7ED5" w:rsidRPr="005122A9">
        <w:rPr>
          <w:rFonts w:ascii="Arial" w:hAnsi="Arial" w:cs="Arial"/>
          <w:sz w:val="22"/>
          <w:szCs w:val="22"/>
          <w:bdr w:val="none" w:sz="0" w:space="0" w:color="auto" w:frame="1"/>
        </w:rPr>
        <w:t>de los actores allegó</w:t>
      </w:r>
      <w:r w:rsidRPr="005122A9">
        <w:rPr>
          <w:rFonts w:ascii="Arial" w:hAnsi="Arial" w:cs="Arial"/>
          <w:sz w:val="22"/>
          <w:szCs w:val="22"/>
          <w:bdr w:val="none" w:sz="0" w:space="0" w:color="auto" w:frame="1"/>
        </w:rPr>
        <w:t xml:space="preserve"> el descorre </w:t>
      </w:r>
      <w:r w:rsidR="00BD7ED5" w:rsidRPr="005122A9">
        <w:rPr>
          <w:rFonts w:ascii="Arial" w:hAnsi="Arial" w:cs="Arial"/>
          <w:sz w:val="22"/>
          <w:szCs w:val="22"/>
          <w:bdr w:val="none" w:sz="0" w:space="0" w:color="auto" w:frame="1"/>
        </w:rPr>
        <w:t>SIN</w:t>
      </w:r>
      <w:r w:rsidRPr="005122A9">
        <w:rPr>
          <w:rFonts w:ascii="Arial" w:hAnsi="Arial" w:cs="Arial"/>
          <w:sz w:val="22"/>
          <w:szCs w:val="22"/>
          <w:bdr w:val="none" w:sz="0" w:space="0" w:color="auto" w:frame="1"/>
        </w:rPr>
        <w:t xml:space="preserve"> alega</w:t>
      </w:r>
      <w:r w:rsidR="00BD7ED5" w:rsidRPr="005122A9">
        <w:rPr>
          <w:rFonts w:ascii="Arial" w:hAnsi="Arial" w:cs="Arial"/>
          <w:sz w:val="22"/>
          <w:szCs w:val="22"/>
          <w:bdr w:val="none" w:sz="0" w:space="0" w:color="auto" w:frame="1"/>
        </w:rPr>
        <w:t>r</w:t>
      </w:r>
      <w:r w:rsidRPr="005122A9">
        <w:rPr>
          <w:rFonts w:ascii="Arial" w:hAnsi="Arial" w:cs="Arial"/>
          <w:sz w:val="22"/>
          <w:szCs w:val="22"/>
          <w:bdr w:val="none" w:sz="0" w:space="0" w:color="auto" w:frame="1"/>
        </w:rPr>
        <w:t xml:space="preserve"> la referida prescripción, por ende, en virtud del artículo 282 del Código General del proceso la prescripción NO puede ser declarada de oficio en la sentencia. </w:t>
      </w:r>
      <w:r w:rsidR="00BD7ED5" w:rsidRPr="005122A9">
        <w:rPr>
          <w:rFonts w:ascii="Arial" w:hAnsi="Arial" w:cs="Arial"/>
          <w:sz w:val="22"/>
          <w:szCs w:val="22"/>
          <w:bdr w:val="none" w:sz="0" w:space="0" w:color="auto" w:frame="1"/>
        </w:rPr>
        <w:t>Ahora bien</w:t>
      </w:r>
      <w:r w:rsidRPr="005122A9">
        <w:rPr>
          <w:rFonts w:ascii="Arial" w:hAnsi="Arial" w:cs="Arial"/>
          <w:sz w:val="22"/>
          <w:szCs w:val="22"/>
          <w:bdr w:val="none" w:sz="0" w:space="0" w:color="auto" w:frame="1"/>
        </w:rPr>
        <w:t xml:space="preserve">, dependerá del acápite probatorio establecer si la solicitud de la nulidad relativa del contrato de seguro por reticencia prosperará, y concretamente si se encuentran acreditados los presupuestos jurisprudenciales para que dicho fenómeno jurídico sea declarado. </w:t>
      </w:r>
    </w:p>
    <w:p w14:paraId="3179130C" w14:textId="77777777" w:rsidR="00336C50" w:rsidRPr="005122A9" w:rsidRDefault="00336C5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26D07D4E" w14:textId="1B1644C7" w:rsidR="00503AA7" w:rsidRPr="005122A9" w:rsidRDefault="007D251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sidRPr="005122A9">
        <w:rPr>
          <w:rFonts w:ascii="Arial" w:hAnsi="Arial" w:cs="Arial"/>
          <w:sz w:val="22"/>
          <w:szCs w:val="22"/>
          <w:bdr w:val="none" w:sz="0" w:space="0" w:color="auto" w:frame="1"/>
        </w:rPr>
        <w:t xml:space="preserve">En este orden de ideas, </w:t>
      </w:r>
      <w:r w:rsidR="00503AA7" w:rsidRPr="005122A9">
        <w:rPr>
          <w:rFonts w:ascii="Arial" w:hAnsi="Arial" w:cs="Arial"/>
          <w:sz w:val="22"/>
          <w:szCs w:val="22"/>
          <w:bdr w:val="none" w:sz="0" w:space="0" w:color="auto" w:frame="1"/>
        </w:rPr>
        <w:t>respecto de la obligación indemnizatoria de la compañía</w:t>
      </w:r>
      <w:r w:rsidR="00DB0055" w:rsidRPr="005122A9">
        <w:rPr>
          <w:rFonts w:ascii="Arial" w:hAnsi="Arial" w:cs="Arial"/>
          <w:sz w:val="22"/>
          <w:szCs w:val="22"/>
          <w:bdr w:val="none" w:sz="0" w:space="0" w:color="auto" w:frame="1"/>
        </w:rPr>
        <w:t xml:space="preserve"> </w:t>
      </w:r>
      <w:r w:rsidR="00023193" w:rsidRPr="005122A9">
        <w:rPr>
          <w:rFonts w:ascii="Arial" w:hAnsi="Arial" w:cs="Arial"/>
          <w:sz w:val="22"/>
          <w:szCs w:val="22"/>
          <w:bdr w:val="none" w:sz="0" w:space="0" w:color="auto" w:frame="1"/>
        </w:rPr>
        <w:t xml:space="preserve">no se puede desconocer </w:t>
      </w:r>
      <w:r w:rsidR="004B66CA" w:rsidRPr="005122A9">
        <w:rPr>
          <w:rFonts w:ascii="Arial" w:hAnsi="Arial" w:cs="Arial"/>
          <w:sz w:val="22"/>
          <w:szCs w:val="22"/>
          <w:bdr w:val="none" w:sz="0" w:space="0" w:color="auto" w:frame="1"/>
        </w:rPr>
        <w:t>que,</w:t>
      </w:r>
      <w:r w:rsidR="00023193" w:rsidRPr="005122A9">
        <w:rPr>
          <w:rFonts w:ascii="Arial" w:hAnsi="Arial" w:cs="Arial"/>
          <w:sz w:val="22"/>
          <w:szCs w:val="22"/>
          <w:bdr w:val="none" w:sz="0" w:space="0" w:color="auto" w:frame="1"/>
        </w:rPr>
        <w:t xml:space="preserve"> para la declaración judicial de dicho fenómeno jurídico, el precedente jurisprudencial de los Tribunales y de la Corte se ha vuelto cada vez más exigente, requiriendo a las aseguradoras la acreditación de una serie de requisitos que en este caso </w:t>
      </w:r>
      <w:r w:rsidR="007C7DF6" w:rsidRPr="005122A9">
        <w:rPr>
          <w:rFonts w:ascii="Arial" w:hAnsi="Arial" w:cs="Arial"/>
          <w:sz w:val="22"/>
          <w:szCs w:val="22"/>
          <w:bdr w:val="none" w:sz="0" w:space="0" w:color="auto" w:frame="1"/>
        </w:rPr>
        <w:t>deben ser probados a lo largo del proceso</w:t>
      </w:r>
      <w:r w:rsidR="00023193" w:rsidRPr="005122A9">
        <w:rPr>
          <w:rFonts w:ascii="Arial" w:hAnsi="Arial" w:cs="Arial"/>
          <w:sz w:val="22"/>
          <w:szCs w:val="22"/>
          <w:bdr w:val="none" w:sz="0" w:space="0" w:color="auto" w:frame="1"/>
        </w:rPr>
        <w:t>, como se pasa a explicar</w:t>
      </w:r>
      <w:r w:rsidR="00503AA7" w:rsidRPr="005122A9">
        <w:rPr>
          <w:rFonts w:ascii="Arial" w:hAnsi="Arial" w:cs="Arial"/>
          <w:sz w:val="22"/>
          <w:szCs w:val="22"/>
          <w:bdr w:val="none" w:sz="0" w:space="0" w:color="auto" w:frame="1"/>
        </w:rPr>
        <w:t xml:space="preserve">: </w:t>
      </w:r>
    </w:p>
    <w:p w14:paraId="2763DBE0" w14:textId="77777777" w:rsidR="000140F0" w:rsidRPr="005122A9" w:rsidRDefault="000140F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0B02650D" w14:textId="4FF18499" w:rsidR="00A93FF5" w:rsidRPr="005122A9" w:rsidRDefault="000140F0" w:rsidP="005122A9">
      <w:pPr>
        <w:pStyle w:val="NormalWeb"/>
        <w:numPr>
          <w:ilvl w:val="0"/>
          <w:numId w:val="9"/>
        </w:numPr>
        <w:shd w:val="clear" w:color="auto" w:fill="FFFFFF"/>
        <w:spacing w:before="0" w:beforeAutospacing="0" w:after="0" w:afterAutospacing="0" w:line="360" w:lineRule="auto"/>
        <w:jc w:val="both"/>
        <w:rPr>
          <w:rFonts w:ascii="Arial" w:hAnsi="Arial" w:cs="Arial"/>
          <w:b/>
          <w:sz w:val="22"/>
          <w:szCs w:val="22"/>
          <w:bdr w:val="none" w:sz="0" w:space="0" w:color="auto" w:frame="1"/>
        </w:rPr>
      </w:pPr>
      <w:r w:rsidRPr="005122A9">
        <w:rPr>
          <w:rFonts w:ascii="Arial" w:hAnsi="Arial" w:cs="Arial"/>
          <w:b/>
          <w:sz w:val="22"/>
          <w:szCs w:val="22"/>
          <w:bdr w:val="none" w:sz="0" w:space="0" w:color="auto" w:frame="1"/>
        </w:rPr>
        <w:t xml:space="preserve">El nexo de causalidad entre el siniestro y los hechos no declarados: </w:t>
      </w:r>
      <w:r w:rsidRPr="005122A9">
        <w:rPr>
          <w:rFonts w:ascii="Arial" w:hAnsi="Arial" w:cs="Arial"/>
          <w:sz w:val="22"/>
          <w:szCs w:val="22"/>
          <w:bdr w:val="none" w:sz="0" w:space="0" w:color="auto" w:frame="1"/>
        </w:rPr>
        <w:t>Los últimos postulados jurisprudenciales establecen</w:t>
      </w:r>
      <w:r w:rsidRPr="005122A9">
        <w:rPr>
          <w:rFonts w:ascii="Arial" w:hAnsi="Arial" w:cs="Arial"/>
          <w:b/>
          <w:sz w:val="22"/>
          <w:szCs w:val="22"/>
          <w:bdr w:val="none" w:sz="0" w:space="0" w:color="auto" w:frame="1"/>
        </w:rPr>
        <w:t xml:space="preserve"> </w:t>
      </w:r>
      <w:r w:rsidRPr="005122A9">
        <w:rPr>
          <w:rFonts w:ascii="Arial" w:hAnsi="Arial" w:cs="Arial"/>
          <w:sz w:val="22"/>
          <w:szCs w:val="22"/>
          <w:bdr w:val="none" w:sz="0" w:space="0" w:color="auto" w:frame="1"/>
        </w:rPr>
        <w:t>l</w:t>
      </w:r>
      <w:r w:rsidRPr="005122A9">
        <w:rPr>
          <w:rFonts w:ascii="Arial" w:hAnsi="Arial" w:cs="Arial"/>
          <w:sz w:val="22"/>
          <w:szCs w:val="22"/>
        </w:rPr>
        <w:t xml:space="preserve">a necesidad de que la reticencia o inexactitud tenga relación de causalidad con el siniestro que haya podido sobrevenir, justamente porque lo que se pretende es restablecer o tutelar un equilibrio contractual roto ab initio, en el momento de celebrar el contrato de seguro, y no al acaecer el siniestro. La relación causal que importa y que, para estos efectos, ata el error o el dolo con el consentimiento del asegurador. </w:t>
      </w:r>
      <w:proofErr w:type="gramStart"/>
      <w:r w:rsidRPr="005122A9">
        <w:rPr>
          <w:rFonts w:ascii="Arial" w:hAnsi="Arial" w:cs="Arial"/>
          <w:sz w:val="22"/>
          <w:szCs w:val="22"/>
        </w:rPr>
        <w:t>En relación a</w:t>
      </w:r>
      <w:proofErr w:type="gramEnd"/>
      <w:r w:rsidRPr="005122A9">
        <w:rPr>
          <w:rFonts w:ascii="Arial" w:hAnsi="Arial" w:cs="Arial"/>
          <w:sz w:val="22"/>
          <w:szCs w:val="22"/>
        </w:rPr>
        <w:t xml:space="preserve"> ello es indispensable establecer que la causa de muerte del asegurado fue </w:t>
      </w:r>
      <w:r w:rsidR="007F2944" w:rsidRPr="005122A9">
        <w:rPr>
          <w:rFonts w:ascii="Arial" w:hAnsi="Arial" w:cs="Arial"/>
          <w:sz w:val="22"/>
          <w:szCs w:val="22"/>
        </w:rPr>
        <w:t>bronconeumonía específica</w:t>
      </w:r>
      <w:r w:rsidR="00BC44C2" w:rsidRPr="005122A9">
        <w:rPr>
          <w:rFonts w:ascii="Arial" w:hAnsi="Arial" w:cs="Arial"/>
          <w:sz w:val="22"/>
          <w:szCs w:val="22"/>
        </w:rPr>
        <w:t xml:space="preserve"> que es un tipo de neumonía que afecta los bronquios de los pulmones comúnmente como resultado de una infección bacteriana</w:t>
      </w:r>
      <w:r w:rsidR="007F2944" w:rsidRPr="005122A9">
        <w:rPr>
          <w:rFonts w:ascii="Arial" w:hAnsi="Arial" w:cs="Arial"/>
          <w:sz w:val="22"/>
          <w:szCs w:val="22"/>
        </w:rPr>
        <w:t xml:space="preserve">. </w:t>
      </w:r>
      <w:r w:rsidRPr="005122A9">
        <w:rPr>
          <w:rFonts w:ascii="Arial" w:hAnsi="Arial" w:cs="Arial"/>
          <w:sz w:val="22"/>
          <w:szCs w:val="22"/>
          <w:bdr w:val="none" w:sz="0" w:space="0" w:color="auto" w:frame="1"/>
        </w:rPr>
        <w:t xml:space="preserve">De manera que, </w:t>
      </w:r>
      <w:r w:rsidR="00A93FF5" w:rsidRPr="005122A9">
        <w:rPr>
          <w:rFonts w:ascii="Arial" w:hAnsi="Arial" w:cs="Arial"/>
          <w:sz w:val="22"/>
          <w:szCs w:val="22"/>
          <w:bdr w:val="none" w:sz="0" w:space="0" w:color="auto" w:frame="1"/>
        </w:rPr>
        <w:t xml:space="preserve">dependerá del acervo probatorio establecer el nexo de </w:t>
      </w:r>
      <w:r w:rsidR="00A93FF5" w:rsidRPr="005122A9">
        <w:rPr>
          <w:rFonts w:ascii="Arial" w:hAnsi="Arial" w:cs="Arial"/>
          <w:sz w:val="22"/>
          <w:szCs w:val="22"/>
          <w:bdr w:val="none" w:sz="0" w:space="0" w:color="auto" w:frame="1"/>
        </w:rPr>
        <w:lastRenderedPageBreak/>
        <w:t xml:space="preserve">causalidad entre esta enfermedad y </w:t>
      </w:r>
      <w:r w:rsidR="00A93FF5" w:rsidRPr="005122A9">
        <w:rPr>
          <w:rFonts w:ascii="Arial" w:hAnsi="Arial" w:cs="Arial"/>
          <w:sz w:val="22"/>
          <w:szCs w:val="22"/>
        </w:rPr>
        <w:t>la patología de cáncer de tiroides</w:t>
      </w:r>
      <w:r w:rsidR="00A12365" w:rsidRPr="005122A9">
        <w:rPr>
          <w:rFonts w:ascii="Arial" w:hAnsi="Arial" w:cs="Arial"/>
          <w:sz w:val="22"/>
          <w:szCs w:val="22"/>
        </w:rPr>
        <w:t xml:space="preserve"> que se omitió declarar</w:t>
      </w:r>
      <w:r w:rsidR="00A93FF5" w:rsidRPr="005122A9">
        <w:rPr>
          <w:rFonts w:ascii="Arial" w:hAnsi="Arial" w:cs="Arial"/>
          <w:sz w:val="22"/>
          <w:szCs w:val="22"/>
        </w:rPr>
        <w:t xml:space="preserve">, ya que, de conformidad a la historia clínica </w:t>
      </w:r>
      <w:r w:rsidR="00B21EA8" w:rsidRPr="005122A9">
        <w:rPr>
          <w:rFonts w:ascii="Arial" w:hAnsi="Arial" w:cs="Arial"/>
          <w:sz w:val="22"/>
          <w:szCs w:val="22"/>
        </w:rPr>
        <w:t>l</w:t>
      </w:r>
      <w:r w:rsidR="00B21EA8" w:rsidRPr="005122A9">
        <w:rPr>
          <w:rFonts w:ascii="Arial" w:hAnsi="Arial" w:cs="Arial"/>
          <w:sz w:val="22"/>
          <w:szCs w:val="22"/>
          <w:bdr w:val="none" w:sz="0" w:space="0" w:color="auto" w:frame="1"/>
        </w:rPr>
        <w:t xml:space="preserve">a </w:t>
      </w:r>
      <w:r w:rsidR="00B21EA8" w:rsidRPr="005122A9">
        <w:rPr>
          <w:rFonts w:ascii="Arial" w:hAnsi="Arial" w:cs="Arial"/>
          <w:sz w:val="22"/>
          <w:szCs w:val="22"/>
        </w:rPr>
        <w:t xml:space="preserve">bronconeumonía </w:t>
      </w:r>
      <w:r w:rsidR="00A12365" w:rsidRPr="005122A9">
        <w:rPr>
          <w:rFonts w:ascii="Arial" w:hAnsi="Arial" w:cs="Arial"/>
          <w:sz w:val="22"/>
          <w:szCs w:val="22"/>
        </w:rPr>
        <w:t>específica fue</w:t>
      </w:r>
      <w:r w:rsidR="00B21EA8" w:rsidRPr="005122A9">
        <w:rPr>
          <w:rFonts w:ascii="Arial" w:hAnsi="Arial" w:cs="Arial"/>
          <w:sz w:val="22"/>
          <w:szCs w:val="22"/>
        </w:rPr>
        <w:t xml:space="preserve"> causada por una mala </w:t>
      </w:r>
      <w:proofErr w:type="spellStart"/>
      <w:r w:rsidR="00B21EA8" w:rsidRPr="005122A9">
        <w:rPr>
          <w:rFonts w:ascii="Arial" w:hAnsi="Arial" w:cs="Arial"/>
          <w:sz w:val="22"/>
          <w:szCs w:val="22"/>
        </w:rPr>
        <w:t>paxis</w:t>
      </w:r>
      <w:proofErr w:type="spellEnd"/>
      <w:r w:rsidR="00B21EA8" w:rsidRPr="005122A9">
        <w:rPr>
          <w:rFonts w:ascii="Arial" w:hAnsi="Arial" w:cs="Arial"/>
          <w:sz w:val="22"/>
          <w:szCs w:val="22"/>
        </w:rPr>
        <w:t xml:space="preserve"> en la inducción </w:t>
      </w:r>
      <w:r w:rsidR="00A12365" w:rsidRPr="005122A9">
        <w:rPr>
          <w:rFonts w:ascii="Arial" w:hAnsi="Arial" w:cs="Arial"/>
          <w:sz w:val="22"/>
          <w:szCs w:val="22"/>
        </w:rPr>
        <w:t>anestésica</w:t>
      </w:r>
      <w:r w:rsidR="00B21EA8" w:rsidRPr="005122A9">
        <w:rPr>
          <w:rFonts w:ascii="Arial" w:hAnsi="Arial" w:cs="Arial"/>
          <w:sz w:val="22"/>
          <w:szCs w:val="22"/>
        </w:rPr>
        <w:t>, cuando se le iba a realizar una intervención quirúrgica por una gastroenteritis</w:t>
      </w:r>
      <w:r w:rsidR="00F12A5B" w:rsidRPr="005122A9">
        <w:rPr>
          <w:rFonts w:ascii="Arial" w:hAnsi="Arial" w:cs="Arial"/>
          <w:sz w:val="22"/>
          <w:szCs w:val="22"/>
        </w:rPr>
        <w:t xml:space="preserve"> la cual puede ser causada por el cáncer de tiroides y su tratamiento de radioterapia</w:t>
      </w:r>
      <w:r w:rsidR="00B21EA8" w:rsidRPr="005122A9">
        <w:rPr>
          <w:rFonts w:ascii="Arial" w:hAnsi="Arial" w:cs="Arial"/>
          <w:sz w:val="22"/>
          <w:szCs w:val="22"/>
        </w:rPr>
        <w:t xml:space="preserve">. </w:t>
      </w:r>
    </w:p>
    <w:p w14:paraId="65DF1035" w14:textId="77777777" w:rsidR="005E428B" w:rsidRPr="005122A9" w:rsidRDefault="005E428B">
      <w:pPr>
        <w:pStyle w:val="NormalWeb"/>
        <w:shd w:val="clear" w:color="auto" w:fill="FFFFFF"/>
        <w:spacing w:before="0" w:beforeAutospacing="0" w:after="0" w:afterAutospacing="0" w:line="360" w:lineRule="auto"/>
        <w:ind w:left="360"/>
        <w:jc w:val="both"/>
        <w:rPr>
          <w:rFonts w:ascii="Arial" w:hAnsi="Arial" w:cs="Arial"/>
          <w:b/>
          <w:sz w:val="22"/>
          <w:szCs w:val="22"/>
          <w:bdr w:val="none" w:sz="0" w:space="0" w:color="auto" w:frame="1"/>
        </w:rPr>
      </w:pPr>
    </w:p>
    <w:p w14:paraId="397DB46B" w14:textId="2D0FE658" w:rsidR="005E428B" w:rsidRPr="005122A9" w:rsidRDefault="00D64FDA">
      <w:pPr>
        <w:pStyle w:val="NormalWeb"/>
        <w:numPr>
          <w:ilvl w:val="0"/>
          <w:numId w:val="9"/>
        </w:numPr>
        <w:shd w:val="clear" w:color="auto" w:fill="FFFFFF"/>
        <w:spacing w:before="0" w:beforeAutospacing="0" w:after="0" w:afterAutospacing="0" w:line="360" w:lineRule="auto"/>
        <w:jc w:val="both"/>
        <w:rPr>
          <w:rFonts w:ascii="Arial" w:hAnsi="Arial" w:cs="Arial"/>
          <w:b/>
          <w:sz w:val="22"/>
          <w:szCs w:val="22"/>
          <w:bdr w:val="none" w:sz="0" w:space="0" w:color="auto" w:frame="1"/>
        </w:rPr>
      </w:pPr>
      <w:r w:rsidRPr="005122A9">
        <w:rPr>
          <w:rFonts w:ascii="Arial" w:hAnsi="Arial" w:cs="Arial"/>
          <w:b/>
          <w:sz w:val="22"/>
          <w:szCs w:val="22"/>
        </w:rPr>
        <w:t>Respecto de la mala fe</w:t>
      </w:r>
      <w:r w:rsidR="005E428B" w:rsidRPr="005122A9">
        <w:rPr>
          <w:rFonts w:ascii="Arial" w:hAnsi="Arial" w:cs="Arial"/>
          <w:b/>
          <w:sz w:val="22"/>
          <w:szCs w:val="22"/>
        </w:rPr>
        <w:t xml:space="preserve"> y su prueba: </w:t>
      </w:r>
      <w:r w:rsidR="005E428B" w:rsidRPr="005122A9">
        <w:rPr>
          <w:rFonts w:ascii="Arial" w:hAnsi="Arial" w:cs="Arial"/>
          <w:sz w:val="22"/>
          <w:szCs w:val="22"/>
        </w:rPr>
        <w:t>en relación a lo anterior</w:t>
      </w:r>
      <w:r w:rsidR="005E428B" w:rsidRPr="005122A9">
        <w:rPr>
          <w:rFonts w:ascii="Arial" w:hAnsi="Arial" w:cs="Arial"/>
          <w:b/>
          <w:sz w:val="22"/>
          <w:szCs w:val="22"/>
        </w:rPr>
        <w:t xml:space="preserve"> </w:t>
      </w:r>
      <w:r w:rsidR="005E428B" w:rsidRPr="005122A9">
        <w:rPr>
          <w:rFonts w:ascii="Arial" w:hAnsi="Arial" w:cs="Arial"/>
          <w:sz w:val="22"/>
          <w:szCs w:val="22"/>
        </w:rPr>
        <w:t xml:space="preserve">es de recordar que tanto la Corte Constitucional como la Corte Suprema de Justicia </w:t>
      </w:r>
      <w:r w:rsidR="005E428B" w:rsidRPr="005122A9">
        <w:rPr>
          <w:rFonts w:ascii="Arial" w:hAnsi="Arial" w:cs="Arial"/>
          <w:b/>
          <w:sz w:val="22"/>
          <w:szCs w:val="22"/>
        </w:rPr>
        <w:t xml:space="preserve"> </w:t>
      </w:r>
      <w:r w:rsidR="005E428B" w:rsidRPr="005122A9">
        <w:rPr>
          <w:rFonts w:ascii="Arial" w:hAnsi="Arial" w:cs="Arial"/>
          <w:sz w:val="22"/>
          <w:szCs w:val="22"/>
        </w:rPr>
        <w:t>han afirmado la existencia de una regla según la cual las aseguradoras tienen que demostrar la mala fe de la tomadora para que proceda la objeción por reticencia</w:t>
      </w:r>
      <w:r w:rsidR="005E428B" w:rsidRPr="005122A9">
        <w:rPr>
          <w:rStyle w:val="Refdenotaalpie"/>
          <w:rFonts w:ascii="Arial" w:hAnsi="Arial" w:cs="Arial"/>
          <w:sz w:val="22"/>
          <w:szCs w:val="22"/>
        </w:rPr>
        <w:footnoteReference w:id="1"/>
      </w:r>
      <w:r w:rsidR="005E428B" w:rsidRPr="005122A9">
        <w:rPr>
          <w:rFonts w:ascii="Arial" w:hAnsi="Arial" w:cs="Arial"/>
          <w:sz w:val="22"/>
          <w:szCs w:val="22"/>
        </w:rPr>
        <w:t>, además de que ante la duda sobre el conocimiento de una preexistencia por parte de la peticionaria al momento de declarar, debe adoptarse la posibilidad hermenéutica de la situación fáctica que le conceda un mayor rango de eficacia a sus derechos (principio pro homine). Como la nulidad relativa del contrato pretende castigar la mala fe en el comportamiento del tomador, motivo por el cual la relación contractual no podrá ser declarada nula por la sola omisión en el suministro de cualquier información, pues lo que se exige es que la inexactitud en la declaratoria se origine en un actuar contrario a los postulados de la buena fe, que tenga la entidad de retraer el negocio celebrado o que, de ser conocida por el asegurador, hubiese llevado a estipular condiciones más onerosas.</w:t>
      </w:r>
      <w:r w:rsidRPr="005122A9">
        <w:rPr>
          <w:rFonts w:ascii="Arial" w:hAnsi="Arial" w:cs="Arial"/>
          <w:b/>
          <w:sz w:val="22"/>
          <w:szCs w:val="22"/>
          <w:bdr w:val="none" w:sz="0" w:space="0" w:color="auto" w:frame="1"/>
        </w:rPr>
        <w:t xml:space="preserve"> </w:t>
      </w:r>
      <w:r w:rsidR="005E428B" w:rsidRPr="005122A9">
        <w:rPr>
          <w:rFonts w:ascii="Arial" w:hAnsi="Arial" w:cs="Arial"/>
          <w:sz w:val="22"/>
          <w:szCs w:val="22"/>
        </w:rPr>
        <w:t>En el presente caso, no es posible establecer que el tomador h</w:t>
      </w:r>
      <w:r w:rsidRPr="005122A9">
        <w:rPr>
          <w:rFonts w:ascii="Arial" w:hAnsi="Arial" w:cs="Arial"/>
          <w:sz w:val="22"/>
          <w:szCs w:val="22"/>
        </w:rPr>
        <w:t>aya actuado de mala fe</w:t>
      </w:r>
      <w:r w:rsidR="005E428B" w:rsidRPr="005122A9">
        <w:rPr>
          <w:rFonts w:ascii="Arial" w:hAnsi="Arial" w:cs="Arial"/>
          <w:sz w:val="22"/>
          <w:szCs w:val="22"/>
        </w:rPr>
        <w:t xml:space="preserve"> ya que es claro que para el día </w:t>
      </w:r>
      <w:r w:rsidR="00B21EA8" w:rsidRPr="005122A9">
        <w:rPr>
          <w:rFonts w:ascii="Arial" w:hAnsi="Arial" w:cs="Arial"/>
          <w:sz w:val="22"/>
          <w:szCs w:val="22"/>
          <w:bdr w:val="none" w:sz="0" w:space="0" w:color="auto" w:frame="1"/>
        </w:rPr>
        <w:t xml:space="preserve">17 de agosto de 2018 </w:t>
      </w:r>
      <w:r w:rsidR="005E428B" w:rsidRPr="005122A9">
        <w:rPr>
          <w:rFonts w:ascii="Arial" w:hAnsi="Arial" w:cs="Arial"/>
          <w:sz w:val="22"/>
          <w:szCs w:val="22"/>
        </w:rPr>
        <w:t xml:space="preserve">cuando el señor </w:t>
      </w:r>
      <w:r w:rsidR="007F2944" w:rsidRPr="005122A9">
        <w:rPr>
          <w:rFonts w:ascii="Arial" w:hAnsi="Arial" w:cs="Arial"/>
          <w:sz w:val="22"/>
          <w:szCs w:val="22"/>
        </w:rPr>
        <w:t>Jairo Giraldo</w:t>
      </w:r>
      <w:r w:rsidR="005E428B" w:rsidRPr="005122A9">
        <w:rPr>
          <w:rFonts w:ascii="Arial" w:hAnsi="Arial" w:cs="Arial"/>
          <w:sz w:val="22"/>
          <w:szCs w:val="22"/>
        </w:rPr>
        <w:t xml:space="preserve"> suscribió el seguro no</w:t>
      </w:r>
      <w:r w:rsidR="00B21EA8" w:rsidRPr="005122A9">
        <w:rPr>
          <w:rFonts w:ascii="Arial" w:hAnsi="Arial" w:cs="Arial"/>
          <w:sz w:val="22"/>
          <w:szCs w:val="22"/>
        </w:rPr>
        <w:t xml:space="preserve"> padecía de la bronconeumonía específica</w:t>
      </w:r>
      <w:r w:rsidR="005E428B" w:rsidRPr="005122A9">
        <w:rPr>
          <w:rFonts w:ascii="Arial" w:hAnsi="Arial" w:cs="Arial"/>
          <w:sz w:val="22"/>
          <w:szCs w:val="22"/>
        </w:rPr>
        <w:t>.</w:t>
      </w:r>
    </w:p>
    <w:p w14:paraId="63185F4D" w14:textId="77777777" w:rsidR="005122A9" w:rsidRPr="005122A9" w:rsidRDefault="005122A9" w:rsidP="005122A9">
      <w:pPr>
        <w:pStyle w:val="NormalWeb"/>
        <w:shd w:val="clear" w:color="auto" w:fill="FFFFFF"/>
        <w:spacing w:before="0" w:beforeAutospacing="0" w:after="0" w:afterAutospacing="0" w:line="360" w:lineRule="auto"/>
        <w:ind w:left="360"/>
        <w:jc w:val="both"/>
        <w:rPr>
          <w:rFonts w:ascii="Arial" w:hAnsi="Arial" w:cs="Arial"/>
          <w:b/>
          <w:sz w:val="22"/>
          <w:szCs w:val="22"/>
        </w:rPr>
      </w:pPr>
    </w:p>
    <w:p w14:paraId="1F41BC5C" w14:textId="5EBAD0C6" w:rsidR="005122A9" w:rsidRPr="005122A9" w:rsidRDefault="005122A9" w:rsidP="005122A9">
      <w:pPr>
        <w:pStyle w:val="NormalWeb"/>
        <w:shd w:val="clear" w:color="auto" w:fill="FFFFFF"/>
        <w:spacing w:before="0" w:beforeAutospacing="0" w:after="0" w:afterAutospacing="0" w:line="360" w:lineRule="auto"/>
        <w:ind w:left="360"/>
        <w:jc w:val="both"/>
        <w:rPr>
          <w:rFonts w:ascii="Arial" w:hAnsi="Arial" w:cs="Arial"/>
          <w:bCs/>
          <w:sz w:val="22"/>
          <w:szCs w:val="22"/>
          <w:bdr w:val="none" w:sz="0" w:space="0" w:color="auto" w:frame="1"/>
        </w:rPr>
      </w:pPr>
      <w:r w:rsidRPr="005122A9">
        <w:rPr>
          <w:rFonts w:ascii="Arial" w:hAnsi="Arial" w:cs="Arial"/>
          <w:bCs/>
          <w:sz w:val="22"/>
          <w:szCs w:val="22"/>
          <w:bdr w:val="none" w:sz="0" w:space="0" w:color="auto" w:frame="1"/>
        </w:rPr>
        <w:t>N</w:t>
      </w:r>
      <w:r w:rsidRPr="005122A9">
        <w:rPr>
          <w:rFonts w:ascii="Arial" w:hAnsi="Arial" w:cs="Arial"/>
          <w:bCs/>
          <w:sz w:val="22"/>
          <w:szCs w:val="22"/>
          <w:bdr w:val="none" w:sz="0" w:space="0" w:color="auto" w:frame="1"/>
        </w:rPr>
        <w:t>o obstante, la enfermedad omitida, esto es, el cáncer, reviste de una relevancia significativa respecto de la condición de salud de una persona, por lo que el hecho de sufrirla, por las reglas de la experiencia y la sana crítica</w:t>
      </w:r>
      <w:r w:rsidRPr="005122A9">
        <w:rPr>
          <w:rFonts w:ascii="Arial" w:hAnsi="Arial" w:cs="Arial"/>
          <w:bCs/>
          <w:sz w:val="22"/>
          <w:szCs w:val="22"/>
          <w:bdr w:val="none" w:sz="0" w:space="0" w:color="auto" w:frame="1"/>
        </w:rPr>
        <w:t xml:space="preserve"> permite </w:t>
      </w:r>
      <w:proofErr w:type="gramStart"/>
      <w:r w:rsidRPr="005122A9">
        <w:rPr>
          <w:rFonts w:ascii="Arial" w:hAnsi="Arial" w:cs="Arial"/>
          <w:bCs/>
          <w:sz w:val="22"/>
          <w:szCs w:val="22"/>
          <w:bdr w:val="none" w:sz="0" w:space="0" w:color="auto" w:frame="1"/>
        </w:rPr>
        <w:t>inferir</w:t>
      </w:r>
      <w:r w:rsidRPr="005122A9">
        <w:rPr>
          <w:rFonts w:ascii="Arial" w:hAnsi="Arial" w:cs="Arial"/>
          <w:bCs/>
          <w:sz w:val="22"/>
          <w:szCs w:val="22"/>
          <w:bdr w:val="none" w:sz="0" w:space="0" w:color="auto" w:frame="1"/>
        </w:rPr>
        <w:t xml:space="preserve">  que</w:t>
      </w:r>
      <w:proofErr w:type="gramEnd"/>
      <w:r w:rsidRPr="005122A9">
        <w:rPr>
          <w:rFonts w:ascii="Arial" w:hAnsi="Arial" w:cs="Arial"/>
          <w:bCs/>
          <w:sz w:val="22"/>
          <w:szCs w:val="22"/>
          <w:bdr w:val="none" w:sz="0" w:space="0" w:color="auto" w:frame="1"/>
        </w:rPr>
        <w:t xml:space="preserve"> quien la padece sabe de la magnitud de las consecuencias de la misma. De manera que para el asegurado debió haber sido claro de que se trataba de una enfermedad relevante que debía ser declarada, y por lo tanto haberla omitido puede reflejar la mala fe</w:t>
      </w:r>
      <w:r w:rsidRPr="005122A9">
        <w:rPr>
          <w:rFonts w:ascii="Arial" w:hAnsi="Arial" w:cs="Arial"/>
          <w:bCs/>
          <w:sz w:val="22"/>
          <w:szCs w:val="22"/>
          <w:bdr w:val="none" w:sz="0" w:space="0" w:color="auto" w:frame="1"/>
        </w:rPr>
        <w:t xml:space="preserve">. </w:t>
      </w:r>
    </w:p>
    <w:p w14:paraId="267F4DAE" w14:textId="77777777" w:rsidR="005E522A" w:rsidRPr="005122A9" w:rsidRDefault="005E522A" w:rsidP="005122A9">
      <w:pPr>
        <w:pStyle w:val="NormalWeb"/>
        <w:shd w:val="clear" w:color="auto" w:fill="FFFFFF"/>
        <w:spacing w:before="0" w:beforeAutospacing="0" w:after="0" w:afterAutospacing="0" w:line="360" w:lineRule="auto"/>
        <w:jc w:val="both"/>
        <w:rPr>
          <w:rFonts w:ascii="Arial" w:hAnsi="Arial" w:cs="Arial"/>
          <w:b/>
          <w:sz w:val="22"/>
          <w:szCs w:val="22"/>
          <w:bdr w:val="none" w:sz="0" w:space="0" w:color="auto" w:frame="1"/>
        </w:rPr>
      </w:pPr>
    </w:p>
    <w:p w14:paraId="34071C61" w14:textId="064B08D6" w:rsidR="007517A6" w:rsidRPr="005122A9" w:rsidRDefault="007517A6" w:rsidP="005122A9">
      <w:pPr>
        <w:pStyle w:val="NormalWeb"/>
        <w:numPr>
          <w:ilvl w:val="0"/>
          <w:numId w:val="6"/>
        </w:numPr>
        <w:shd w:val="clear" w:color="auto" w:fill="FFFFFF"/>
        <w:spacing w:before="0" w:beforeAutospacing="0" w:after="0" w:afterAutospacing="0" w:line="360" w:lineRule="auto"/>
        <w:jc w:val="both"/>
        <w:rPr>
          <w:rFonts w:ascii="Arial" w:hAnsi="Arial" w:cs="Arial"/>
          <w:sz w:val="22"/>
          <w:szCs w:val="22"/>
          <w:bdr w:val="none" w:sz="0" w:space="0" w:color="auto" w:frame="1"/>
        </w:rPr>
      </w:pPr>
      <w:r w:rsidRPr="005122A9">
        <w:rPr>
          <w:rFonts w:ascii="Arial" w:hAnsi="Arial" w:cs="Arial"/>
          <w:b/>
          <w:sz w:val="22"/>
          <w:szCs w:val="22"/>
        </w:rPr>
        <w:lastRenderedPageBreak/>
        <w:t xml:space="preserve">Elemento subjetivo – relevancia de lo no declarado: </w:t>
      </w:r>
      <w:r w:rsidRPr="005122A9">
        <w:rPr>
          <w:rFonts w:ascii="Arial" w:hAnsi="Arial" w:cs="Arial"/>
          <w:sz w:val="22"/>
          <w:szCs w:val="22"/>
        </w:rPr>
        <w:t>la Corte Suprema de Justicia</w:t>
      </w:r>
      <w:r w:rsidRPr="005122A9">
        <w:rPr>
          <w:rStyle w:val="Refdenotaalpie"/>
          <w:rFonts w:ascii="Arial" w:hAnsi="Arial" w:cs="Arial"/>
          <w:sz w:val="22"/>
          <w:szCs w:val="22"/>
        </w:rPr>
        <w:footnoteReference w:id="2"/>
      </w:r>
      <w:r w:rsidRPr="005122A9">
        <w:rPr>
          <w:rFonts w:ascii="Arial" w:hAnsi="Arial" w:cs="Arial"/>
          <w:sz w:val="22"/>
          <w:szCs w:val="22"/>
        </w:rPr>
        <w:t xml:space="preserve"> ha establecido que le</w:t>
      </w:r>
      <w:r w:rsidRPr="005122A9">
        <w:rPr>
          <w:rFonts w:ascii="Arial" w:hAnsi="Arial" w:cs="Arial"/>
          <w:b/>
          <w:sz w:val="22"/>
          <w:szCs w:val="22"/>
        </w:rPr>
        <w:t xml:space="preserve"> </w:t>
      </w:r>
      <w:r w:rsidRPr="005122A9">
        <w:rPr>
          <w:rFonts w:ascii="Arial" w:hAnsi="Arial" w:cs="Arial"/>
          <w:sz w:val="22"/>
          <w:szCs w:val="22"/>
        </w:rPr>
        <w:t xml:space="preserve">incumbe a las partes probar los supuestos de hecho de las normas que consagran el efecto jurídico que ellas persiguen en virtud del artículo 167 del Código General del Proceso, es de mencionar que en el presente caso se considera que BBVA Seguros de Vida S.A. SI podrá lograr probar este elemento subjetivo a través de los siguientes: (a) </w:t>
      </w:r>
      <w:r w:rsidRPr="005122A9">
        <w:rPr>
          <w:rFonts w:ascii="Arial" w:hAnsi="Arial" w:cs="Arial"/>
          <w:sz w:val="22"/>
          <w:szCs w:val="22"/>
          <w:bdr w:val="none" w:sz="0" w:space="0" w:color="auto" w:frame="1"/>
        </w:rPr>
        <w:t xml:space="preserve">testimonio del Dr. CESAR AUGUSTO CARRASCAL, profesional medico adscrito a la Compañía Aseguradora; (b) Testimonio de ALEXANDER SAAVEDRA VASQUEZ, miembro del equipo Técnico de Suscripción de </w:t>
      </w:r>
      <w:proofErr w:type="spellStart"/>
      <w:r w:rsidRPr="005122A9">
        <w:rPr>
          <w:rFonts w:ascii="Arial" w:hAnsi="Arial" w:cs="Arial"/>
          <w:sz w:val="22"/>
          <w:szCs w:val="22"/>
          <w:bdr w:val="none" w:sz="0" w:space="0" w:color="auto" w:frame="1"/>
        </w:rPr>
        <w:t>Bancaseguros</w:t>
      </w:r>
      <w:proofErr w:type="spellEnd"/>
      <w:r w:rsidRPr="005122A9">
        <w:rPr>
          <w:rFonts w:ascii="Arial" w:hAnsi="Arial" w:cs="Arial"/>
          <w:sz w:val="22"/>
          <w:szCs w:val="22"/>
          <w:bdr w:val="none" w:sz="0" w:space="0" w:color="auto" w:frame="1"/>
        </w:rPr>
        <w:t xml:space="preserve"> de la Compañía Aseguradora. (c)</w:t>
      </w:r>
      <w:r w:rsidR="005122A9" w:rsidRPr="005122A9">
        <w:rPr>
          <w:rFonts w:ascii="Arial" w:hAnsi="Arial" w:cs="Arial"/>
          <w:sz w:val="22"/>
          <w:szCs w:val="22"/>
          <w:bdr w:val="none" w:sz="0" w:space="0" w:color="auto" w:frame="1"/>
        </w:rPr>
        <w:t xml:space="preserve"> En la declaración de asegurabilidad se pregunto clara y expresamente por padecimientos relacionados con cáncer y enfermedades de los pulmones o del sistema respiratorio. </w:t>
      </w:r>
    </w:p>
    <w:p w14:paraId="0FD890A7" w14:textId="77777777" w:rsidR="007517A6" w:rsidRPr="005122A9" w:rsidRDefault="007517A6" w:rsidP="007517A6">
      <w:pPr>
        <w:pStyle w:val="NormalWeb"/>
        <w:shd w:val="clear" w:color="auto" w:fill="FFFFFF"/>
        <w:spacing w:before="0" w:beforeAutospacing="0" w:after="0" w:afterAutospacing="0" w:line="360" w:lineRule="auto"/>
        <w:jc w:val="both"/>
        <w:rPr>
          <w:rFonts w:ascii="Arial" w:hAnsi="Arial" w:cs="Arial"/>
          <w:sz w:val="22"/>
          <w:szCs w:val="22"/>
        </w:rPr>
      </w:pPr>
    </w:p>
    <w:p w14:paraId="0232213A" w14:textId="76AA0A84" w:rsidR="007517A6" w:rsidRPr="005122A9" w:rsidRDefault="005122A9" w:rsidP="007517A6">
      <w:pPr>
        <w:pStyle w:val="NormalWeb"/>
        <w:shd w:val="clear" w:color="auto" w:fill="FFFFFF"/>
        <w:spacing w:before="0" w:beforeAutospacing="0" w:after="0" w:afterAutospacing="0" w:line="360" w:lineRule="auto"/>
        <w:ind w:left="360"/>
        <w:jc w:val="both"/>
        <w:rPr>
          <w:rFonts w:ascii="Arial" w:hAnsi="Arial" w:cs="Arial"/>
          <w:sz w:val="22"/>
          <w:szCs w:val="22"/>
        </w:rPr>
      </w:pPr>
      <w:r w:rsidRPr="005122A9">
        <w:rPr>
          <w:rFonts w:ascii="Arial" w:hAnsi="Arial" w:cs="Arial"/>
          <w:sz w:val="22"/>
          <w:szCs w:val="22"/>
        </w:rPr>
        <w:t>En relación con</w:t>
      </w:r>
      <w:r w:rsidR="007517A6" w:rsidRPr="005122A9">
        <w:rPr>
          <w:rFonts w:ascii="Arial" w:hAnsi="Arial" w:cs="Arial"/>
          <w:sz w:val="22"/>
          <w:szCs w:val="22"/>
        </w:rPr>
        <w:t xml:space="preserve"> lo anterior la Corte Suprema sí sostuvo que se presumía relevante aquello por lo que preguntara la aseguradora en la declaración de asegurabilidad, y que procedía anular el contrato cuando la respuesta de la parte tomadora era inexacta o reticente. </w:t>
      </w:r>
    </w:p>
    <w:p w14:paraId="1F1B47EE" w14:textId="77777777" w:rsidR="007517A6" w:rsidRPr="005122A9" w:rsidRDefault="007517A6" w:rsidP="007517A6">
      <w:pPr>
        <w:pStyle w:val="NormalWeb"/>
        <w:shd w:val="clear" w:color="auto" w:fill="FFFFFF"/>
        <w:spacing w:before="0" w:beforeAutospacing="0" w:after="0" w:afterAutospacing="0" w:line="360" w:lineRule="auto"/>
        <w:ind w:left="360"/>
        <w:jc w:val="both"/>
        <w:rPr>
          <w:rFonts w:ascii="Arial" w:hAnsi="Arial" w:cs="Arial"/>
          <w:sz w:val="22"/>
          <w:szCs w:val="22"/>
          <w:bdr w:val="none" w:sz="0" w:space="0" w:color="auto" w:frame="1"/>
        </w:rPr>
      </w:pPr>
    </w:p>
    <w:p w14:paraId="7CD3D9C2" w14:textId="4DF6833A" w:rsidR="005E522A" w:rsidRPr="005122A9" w:rsidRDefault="005E522A">
      <w:pPr>
        <w:pStyle w:val="NormalWeb"/>
        <w:numPr>
          <w:ilvl w:val="0"/>
          <w:numId w:val="9"/>
        </w:numPr>
        <w:shd w:val="clear" w:color="auto" w:fill="FFFFFF"/>
        <w:spacing w:before="0" w:beforeAutospacing="0" w:after="0" w:afterAutospacing="0" w:line="360" w:lineRule="auto"/>
        <w:jc w:val="both"/>
        <w:rPr>
          <w:rFonts w:ascii="Arial" w:hAnsi="Arial" w:cs="Arial"/>
          <w:sz w:val="22"/>
          <w:szCs w:val="22"/>
          <w:bdr w:val="none" w:sz="0" w:space="0" w:color="auto" w:frame="1"/>
        </w:rPr>
      </w:pPr>
      <w:r w:rsidRPr="005122A9">
        <w:rPr>
          <w:rFonts w:ascii="Arial" w:hAnsi="Arial" w:cs="Arial"/>
          <w:b/>
          <w:sz w:val="22"/>
          <w:szCs w:val="22"/>
          <w:bdr w:val="none" w:sz="0" w:space="0" w:color="auto" w:frame="1"/>
        </w:rPr>
        <w:t>Respecto de la realización de exámenes médicos por parte de la compañía aseguradora:</w:t>
      </w:r>
      <w:r w:rsidRPr="005122A9">
        <w:rPr>
          <w:rFonts w:ascii="Arial" w:hAnsi="Arial" w:cs="Arial"/>
          <w:sz w:val="22"/>
          <w:szCs w:val="22"/>
          <w:bdr w:val="none" w:sz="0" w:space="0" w:color="auto" w:frame="1"/>
        </w:rPr>
        <w:t xml:space="preserve"> es de recordar que las sentencias de la Corte Constitucional han establecido que la compañía aseguradora </w:t>
      </w:r>
      <w:r w:rsidRPr="005122A9">
        <w:rPr>
          <w:rFonts w:ascii="Arial" w:hAnsi="Arial" w:cs="Arial"/>
          <w:sz w:val="22"/>
          <w:szCs w:val="22"/>
        </w:rPr>
        <w:t>tiene un deber de diligencia superior por ser la experta en seguros y quien ostenta la posición dominante en la relación jurídica por lo que debe verificar la información entregada por las tomadoras, y que, tratándose de seguros de personas, a estas debe practicarles exámenes médicos o solicitarlos y revisar sus historias clínicas, con el fin de que prosperen las excepciones de nulidad relativa por reticencia o inexactitud.</w:t>
      </w:r>
      <w:r w:rsidRPr="005122A9">
        <w:rPr>
          <w:rStyle w:val="Refdenotaalpie"/>
          <w:rFonts w:ascii="Arial" w:hAnsi="Arial" w:cs="Arial"/>
          <w:sz w:val="22"/>
          <w:szCs w:val="22"/>
        </w:rPr>
        <w:footnoteReference w:id="3"/>
      </w:r>
      <w:r w:rsidRPr="005122A9">
        <w:rPr>
          <w:rFonts w:ascii="Arial" w:hAnsi="Arial" w:cs="Arial"/>
          <w:sz w:val="22"/>
          <w:szCs w:val="22"/>
          <w:bdr w:val="none" w:sz="0" w:space="0" w:color="auto" w:frame="1"/>
        </w:rPr>
        <w:t>, sin que en el presente caso se encuentre probado que la compañía aseguradora haya solicitado exámenes médicos</w:t>
      </w:r>
      <w:r w:rsidR="005122A9" w:rsidRPr="005122A9">
        <w:rPr>
          <w:rFonts w:ascii="Arial" w:hAnsi="Arial" w:cs="Arial"/>
          <w:sz w:val="22"/>
          <w:szCs w:val="22"/>
          <w:bdr w:val="none" w:sz="0" w:space="0" w:color="auto" w:frame="1"/>
        </w:rPr>
        <w:t xml:space="preserve">, sin embargo los demás elementos tienen mayor peso sobre la declaratoria de la nulidad. </w:t>
      </w:r>
    </w:p>
    <w:p w14:paraId="6655E79A" w14:textId="77777777" w:rsidR="00E44C15" w:rsidRPr="005122A9" w:rsidRDefault="00E44C15">
      <w:pPr>
        <w:pStyle w:val="NormalWeb"/>
        <w:shd w:val="clear" w:color="auto" w:fill="FFFFFF"/>
        <w:spacing w:before="0" w:beforeAutospacing="0" w:after="0" w:afterAutospacing="0" w:line="360" w:lineRule="auto"/>
        <w:jc w:val="both"/>
        <w:rPr>
          <w:rFonts w:ascii="Arial" w:hAnsi="Arial" w:cs="Arial"/>
          <w:sz w:val="22"/>
          <w:szCs w:val="22"/>
        </w:rPr>
      </w:pPr>
    </w:p>
    <w:p w14:paraId="4A3F4F15" w14:textId="25D05082" w:rsidR="000F1413" w:rsidRPr="005122A9" w:rsidRDefault="00D76E55">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sidRPr="005122A9">
        <w:rPr>
          <w:rFonts w:ascii="Arial" w:hAnsi="Arial" w:cs="Arial"/>
          <w:sz w:val="22"/>
          <w:szCs w:val="22"/>
          <w:bdr w:val="none" w:sz="0" w:space="0" w:color="auto" w:frame="1"/>
        </w:rPr>
        <w:t xml:space="preserve">Con fundamento en lo anterior, </w:t>
      </w:r>
      <w:r w:rsidR="000F1413" w:rsidRPr="005122A9">
        <w:rPr>
          <w:rFonts w:ascii="Arial" w:hAnsi="Arial" w:cs="Arial"/>
          <w:sz w:val="22"/>
          <w:szCs w:val="22"/>
          <w:bdr w:val="none" w:sz="0" w:space="0" w:color="auto" w:frame="1"/>
        </w:rPr>
        <w:t xml:space="preserve">se concluye, de conformidad a la sentencia SC3791 de 2021 </w:t>
      </w:r>
      <w:r w:rsidRPr="005122A9">
        <w:rPr>
          <w:rFonts w:ascii="Arial" w:hAnsi="Arial" w:cs="Arial"/>
          <w:sz w:val="22"/>
          <w:szCs w:val="22"/>
          <w:bdr w:val="none" w:sz="0" w:space="0" w:color="auto" w:frame="1"/>
        </w:rPr>
        <w:t>con ponencia del</w:t>
      </w:r>
      <w:r w:rsidR="000F1413" w:rsidRPr="005122A9">
        <w:rPr>
          <w:rFonts w:ascii="Arial" w:hAnsi="Arial" w:cs="Arial"/>
          <w:sz w:val="22"/>
          <w:szCs w:val="22"/>
          <w:bdr w:val="none" w:sz="0" w:space="0" w:color="auto" w:frame="1"/>
        </w:rPr>
        <w:t xml:space="preserve"> Magistrado Luis Armando Tolosa </w:t>
      </w:r>
      <w:r w:rsidRPr="005122A9">
        <w:rPr>
          <w:rFonts w:ascii="Arial" w:hAnsi="Arial" w:cs="Arial"/>
          <w:sz w:val="22"/>
          <w:szCs w:val="22"/>
          <w:bdr w:val="none" w:sz="0" w:space="0" w:color="auto" w:frame="1"/>
        </w:rPr>
        <w:t xml:space="preserve">(en el cual se discutió </w:t>
      </w:r>
      <w:r w:rsidR="000F1413" w:rsidRPr="005122A9">
        <w:rPr>
          <w:rFonts w:ascii="Arial" w:hAnsi="Arial" w:cs="Arial"/>
          <w:sz w:val="22"/>
          <w:szCs w:val="22"/>
          <w:bdr w:val="none" w:sz="0" w:space="0" w:color="auto" w:frame="1"/>
        </w:rPr>
        <w:t xml:space="preserve">un caso muy similar al de objeto de debate y </w:t>
      </w:r>
      <w:r w:rsidRPr="005122A9">
        <w:rPr>
          <w:rFonts w:ascii="Arial" w:hAnsi="Arial" w:cs="Arial"/>
          <w:sz w:val="22"/>
          <w:szCs w:val="22"/>
          <w:bdr w:val="none" w:sz="0" w:space="0" w:color="auto" w:frame="1"/>
        </w:rPr>
        <w:t xml:space="preserve">en el </w:t>
      </w:r>
      <w:r w:rsidR="000F1413" w:rsidRPr="005122A9">
        <w:rPr>
          <w:rFonts w:ascii="Arial" w:hAnsi="Arial" w:cs="Arial"/>
          <w:sz w:val="22"/>
          <w:szCs w:val="22"/>
          <w:bdr w:val="none" w:sz="0" w:space="0" w:color="auto" w:frame="1"/>
        </w:rPr>
        <w:t>que</w:t>
      </w:r>
      <w:r w:rsidRPr="005122A9">
        <w:rPr>
          <w:rFonts w:ascii="Arial" w:hAnsi="Arial" w:cs="Arial"/>
          <w:sz w:val="22"/>
          <w:szCs w:val="22"/>
          <w:bdr w:val="none" w:sz="0" w:space="0" w:color="auto" w:frame="1"/>
        </w:rPr>
        <w:t xml:space="preserve"> se</w:t>
      </w:r>
      <w:r w:rsidR="000F1413" w:rsidRPr="005122A9">
        <w:rPr>
          <w:rFonts w:ascii="Arial" w:hAnsi="Arial" w:cs="Arial"/>
          <w:sz w:val="22"/>
          <w:szCs w:val="22"/>
          <w:bdr w:val="none" w:sz="0" w:space="0" w:color="auto" w:frame="1"/>
        </w:rPr>
        <w:t xml:space="preserve"> condena a la BBVA Seguros de Vida S.A. al reconocimiento y pago del saldo insoluto de la deuda en virtud de las </w:t>
      </w:r>
      <w:r w:rsidR="004B6DC4" w:rsidRPr="005122A9">
        <w:rPr>
          <w:rFonts w:ascii="Arial" w:hAnsi="Arial" w:cs="Arial"/>
          <w:sz w:val="22"/>
          <w:szCs w:val="22"/>
          <w:bdr w:val="none" w:sz="0" w:space="0" w:color="auto" w:frame="1"/>
        </w:rPr>
        <w:t>pólizas</w:t>
      </w:r>
      <w:r w:rsidR="000F1413" w:rsidRPr="005122A9">
        <w:rPr>
          <w:rFonts w:ascii="Arial" w:hAnsi="Arial" w:cs="Arial"/>
          <w:sz w:val="22"/>
          <w:szCs w:val="22"/>
          <w:bdr w:val="none" w:sz="0" w:space="0" w:color="auto" w:frame="1"/>
        </w:rPr>
        <w:t xml:space="preserve"> de vida grupo</w:t>
      </w:r>
      <w:r w:rsidRPr="005122A9">
        <w:rPr>
          <w:rFonts w:ascii="Arial" w:hAnsi="Arial" w:cs="Arial"/>
          <w:sz w:val="22"/>
          <w:szCs w:val="22"/>
          <w:bdr w:val="none" w:sz="0" w:space="0" w:color="auto" w:frame="1"/>
        </w:rPr>
        <w:t>)</w:t>
      </w:r>
      <w:r w:rsidR="000F1413" w:rsidRPr="005122A9">
        <w:rPr>
          <w:rFonts w:ascii="Arial" w:hAnsi="Arial" w:cs="Arial"/>
          <w:sz w:val="22"/>
          <w:szCs w:val="22"/>
          <w:bdr w:val="none" w:sz="0" w:space="0" w:color="auto" w:frame="1"/>
        </w:rPr>
        <w:t xml:space="preserve">, </w:t>
      </w:r>
      <w:r w:rsidR="004B6DC4" w:rsidRPr="005122A9">
        <w:rPr>
          <w:rFonts w:ascii="Arial" w:hAnsi="Arial" w:cs="Arial"/>
          <w:sz w:val="22"/>
          <w:szCs w:val="22"/>
          <w:bdr w:val="none" w:sz="0" w:space="0" w:color="auto" w:frame="1"/>
        </w:rPr>
        <w:lastRenderedPageBreak/>
        <w:t xml:space="preserve">que en el presente caso el riesgo de condena </w:t>
      </w:r>
      <w:r w:rsidR="00877470" w:rsidRPr="005122A9">
        <w:rPr>
          <w:rFonts w:ascii="Arial" w:hAnsi="Arial" w:cs="Arial"/>
          <w:sz w:val="22"/>
          <w:szCs w:val="22"/>
          <w:bdr w:val="none" w:sz="0" w:space="0" w:color="auto" w:frame="1"/>
        </w:rPr>
        <w:t>será</w:t>
      </w:r>
      <w:r w:rsidR="004B6DC4" w:rsidRPr="005122A9">
        <w:rPr>
          <w:rFonts w:ascii="Arial" w:hAnsi="Arial" w:cs="Arial"/>
          <w:sz w:val="22"/>
          <w:szCs w:val="22"/>
          <w:bdr w:val="none" w:sz="0" w:space="0" w:color="auto" w:frame="1"/>
        </w:rPr>
        <w:t xml:space="preserve"> alto</w:t>
      </w:r>
      <w:r w:rsidRPr="005122A9">
        <w:rPr>
          <w:rFonts w:ascii="Arial" w:hAnsi="Arial" w:cs="Arial"/>
          <w:sz w:val="22"/>
          <w:szCs w:val="22"/>
          <w:bdr w:val="none" w:sz="0" w:space="0" w:color="auto" w:frame="1"/>
        </w:rPr>
        <w:t xml:space="preserve">, </w:t>
      </w:r>
      <w:r w:rsidR="00877470" w:rsidRPr="005122A9">
        <w:rPr>
          <w:rFonts w:ascii="Arial" w:hAnsi="Arial" w:cs="Arial"/>
          <w:sz w:val="22"/>
          <w:szCs w:val="22"/>
          <w:bdr w:val="none" w:sz="0" w:space="0" w:color="auto" w:frame="1"/>
        </w:rPr>
        <w:t xml:space="preserve">sino se logra acreditar el nexo de causalidad entre la patología causa de deceso y las dejadas de reportar a la compañía, ya que no tendríamos acreditados </w:t>
      </w:r>
      <w:r w:rsidRPr="005122A9">
        <w:rPr>
          <w:rFonts w:ascii="Arial" w:hAnsi="Arial" w:cs="Arial"/>
          <w:sz w:val="22"/>
          <w:szCs w:val="22"/>
          <w:bdr w:val="none" w:sz="0" w:space="0" w:color="auto" w:frame="1"/>
        </w:rPr>
        <w:t>la totalidad de los requisitos que ha decantado la jurisprudencia para la viabilidad de la declaración de nulidad relativa del aseguramiento por reticencia.</w:t>
      </w:r>
    </w:p>
    <w:p w14:paraId="79C9C798" w14:textId="77777777" w:rsidR="00E44C15" w:rsidRPr="005122A9" w:rsidRDefault="00E44C15">
      <w:pPr>
        <w:pStyle w:val="NormalWeb"/>
        <w:shd w:val="clear" w:color="auto" w:fill="FFFFFF"/>
        <w:spacing w:before="0" w:beforeAutospacing="0" w:after="0" w:afterAutospacing="0" w:line="360" w:lineRule="auto"/>
        <w:ind w:left="1080"/>
        <w:jc w:val="both"/>
        <w:rPr>
          <w:rFonts w:ascii="Arial" w:hAnsi="Arial" w:cs="Arial"/>
          <w:sz w:val="22"/>
          <w:szCs w:val="22"/>
          <w:bdr w:val="none" w:sz="0" w:space="0" w:color="auto" w:frame="1"/>
        </w:rPr>
      </w:pPr>
    </w:p>
    <w:p w14:paraId="4A19A531" w14:textId="4F540A8D" w:rsidR="00900CE4" w:rsidRPr="005122A9" w:rsidRDefault="00CF32E3">
      <w:pPr>
        <w:spacing w:after="0" w:line="360" w:lineRule="auto"/>
        <w:jc w:val="both"/>
        <w:rPr>
          <w:rFonts w:ascii="Arial" w:hAnsi="Arial" w:cs="Arial"/>
          <w:b/>
        </w:rPr>
      </w:pPr>
      <w:r w:rsidRPr="005122A9">
        <w:rPr>
          <w:rFonts w:ascii="Arial" w:hAnsi="Arial" w:cs="Arial"/>
          <w:b/>
        </w:rPr>
        <w:t xml:space="preserve"> </w:t>
      </w:r>
    </w:p>
    <w:sectPr w:rsidR="00900CE4" w:rsidRPr="005122A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2A42D" w14:textId="77777777" w:rsidR="005843B7" w:rsidRPr="00B21EA8" w:rsidRDefault="005843B7" w:rsidP="00E44C15">
      <w:pPr>
        <w:spacing w:after="0" w:line="240" w:lineRule="auto"/>
      </w:pPr>
      <w:r w:rsidRPr="00B21EA8">
        <w:separator/>
      </w:r>
    </w:p>
  </w:endnote>
  <w:endnote w:type="continuationSeparator" w:id="0">
    <w:p w14:paraId="026C3C28" w14:textId="77777777" w:rsidR="005843B7" w:rsidRPr="00B21EA8" w:rsidRDefault="005843B7" w:rsidP="00E44C15">
      <w:pPr>
        <w:spacing w:after="0" w:line="240" w:lineRule="auto"/>
      </w:pPr>
      <w:r w:rsidRPr="00B21EA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59706" w14:textId="77777777" w:rsidR="005843B7" w:rsidRPr="00B21EA8" w:rsidRDefault="005843B7" w:rsidP="00E44C15">
      <w:pPr>
        <w:spacing w:after="0" w:line="240" w:lineRule="auto"/>
      </w:pPr>
      <w:r w:rsidRPr="00B21EA8">
        <w:separator/>
      </w:r>
    </w:p>
  </w:footnote>
  <w:footnote w:type="continuationSeparator" w:id="0">
    <w:p w14:paraId="55D8B90F" w14:textId="77777777" w:rsidR="005843B7" w:rsidRPr="00B21EA8" w:rsidRDefault="005843B7" w:rsidP="00E44C15">
      <w:pPr>
        <w:spacing w:after="0" w:line="240" w:lineRule="auto"/>
      </w:pPr>
      <w:r w:rsidRPr="00B21EA8">
        <w:continuationSeparator/>
      </w:r>
    </w:p>
  </w:footnote>
  <w:footnote w:id="1">
    <w:p w14:paraId="7AEA4737" w14:textId="77777777" w:rsidR="005E428B" w:rsidRPr="00B21EA8" w:rsidRDefault="005E428B" w:rsidP="005E428B">
      <w:pPr>
        <w:pStyle w:val="Textonotapie"/>
      </w:pPr>
      <w:r w:rsidRPr="00B21EA8">
        <w:rPr>
          <w:rStyle w:val="Refdenotaalpie"/>
        </w:rPr>
        <w:footnoteRef/>
      </w:r>
      <w:r w:rsidRPr="00B21EA8">
        <w:t xml:space="preserve"> T-830 de 2014, T-919 de 2014, T-393 de 2015, T-316 de 2015, T-684 de 2015, T-570 de 2015, T-058 de 2016, T-240 de 2016, T-609 de 2016, T-501 de 2016, T-670 de 2016, T-282 de 2016, T-571 de 2017, T-658 de 2017, T-027 de 2019 y T-061 de 2020.</w:t>
      </w:r>
    </w:p>
  </w:footnote>
  <w:footnote w:id="2">
    <w:p w14:paraId="58315748" w14:textId="77777777" w:rsidR="007517A6" w:rsidRPr="00174AF2" w:rsidRDefault="007517A6" w:rsidP="007517A6">
      <w:pPr>
        <w:pStyle w:val="Textonotapie"/>
      </w:pPr>
      <w:r w:rsidRPr="00B21EA8">
        <w:rPr>
          <w:rStyle w:val="Refdenotaalpie"/>
        </w:rPr>
        <w:footnoteRef/>
      </w:r>
      <w:r w:rsidRPr="00B21EA8">
        <w:t xml:space="preserve"> SC3791-2021</w:t>
      </w:r>
    </w:p>
  </w:footnote>
  <w:footnote w:id="3">
    <w:p w14:paraId="08BAF781" w14:textId="77777777" w:rsidR="005E522A" w:rsidRPr="00B21EA8" w:rsidRDefault="005E522A" w:rsidP="005E522A">
      <w:pPr>
        <w:pStyle w:val="Textonotapie"/>
      </w:pPr>
      <w:r w:rsidRPr="00B21EA8">
        <w:rPr>
          <w:rStyle w:val="Refdenotaalpie"/>
        </w:rPr>
        <w:footnoteRef/>
      </w:r>
      <w:r w:rsidRPr="00B21EA8">
        <w:t xml:space="preserve"> T-533 de 1996, la T-117 de 1997 y la T-290 de 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757D"/>
    <w:multiLevelType w:val="hybridMultilevel"/>
    <w:tmpl w:val="9FCE08BC"/>
    <w:lvl w:ilvl="0" w:tplc="04A6A2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D198F"/>
    <w:multiLevelType w:val="hybridMultilevel"/>
    <w:tmpl w:val="47A015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97B5C48"/>
    <w:multiLevelType w:val="hybridMultilevel"/>
    <w:tmpl w:val="9B2C9734"/>
    <w:lvl w:ilvl="0" w:tplc="081A13DE">
      <w:start w:val="5"/>
      <w:numFmt w:val="bullet"/>
      <w:lvlText w:val="-"/>
      <w:lvlJc w:val="left"/>
      <w:pPr>
        <w:ind w:left="786" w:hanging="360"/>
      </w:pPr>
      <w:rPr>
        <w:rFonts w:ascii="Arial" w:eastAsia="Times New Roman" w:hAnsi="Arial" w:cs="Arial"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76F3A26"/>
    <w:multiLevelType w:val="hybridMultilevel"/>
    <w:tmpl w:val="8A3ED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11C8F"/>
    <w:multiLevelType w:val="hybridMultilevel"/>
    <w:tmpl w:val="887687D8"/>
    <w:lvl w:ilvl="0" w:tplc="153E5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227B4"/>
    <w:multiLevelType w:val="hybridMultilevel"/>
    <w:tmpl w:val="21A40470"/>
    <w:lvl w:ilvl="0" w:tplc="5A96A1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64331"/>
    <w:multiLevelType w:val="hybridMultilevel"/>
    <w:tmpl w:val="58005874"/>
    <w:lvl w:ilvl="0" w:tplc="240A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1D2CD0"/>
    <w:multiLevelType w:val="hybridMultilevel"/>
    <w:tmpl w:val="D1E4B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FED581B"/>
    <w:multiLevelType w:val="hybridMultilevel"/>
    <w:tmpl w:val="109ECAE6"/>
    <w:lvl w:ilvl="0" w:tplc="72A0CBE2">
      <w:start w:val="1"/>
      <w:numFmt w:val="upperRoman"/>
      <w:lvlText w:val="%1."/>
      <w:lvlJc w:val="left"/>
      <w:pPr>
        <w:ind w:left="1080" w:hanging="72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664018">
    <w:abstractNumId w:val="5"/>
  </w:num>
  <w:num w:numId="2" w16cid:durableId="1794861875">
    <w:abstractNumId w:val="4"/>
  </w:num>
  <w:num w:numId="3" w16cid:durableId="1996882972">
    <w:abstractNumId w:val="3"/>
  </w:num>
  <w:num w:numId="4" w16cid:durableId="2070300826">
    <w:abstractNumId w:val="8"/>
  </w:num>
  <w:num w:numId="5" w16cid:durableId="1589999891">
    <w:abstractNumId w:val="0"/>
  </w:num>
  <w:num w:numId="6" w16cid:durableId="472011">
    <w:abstractNumId w:val="6"/>
  </w:num>
  <w:num w:numId="7" w16cid:durableId="410199943">
    <w:abstractNumId w:val="2"/>
  </w:num>
  <w:num w:numId="8" w16cid:durableId="1681007988">
    <w:abstractNumId w:val="7"/>
  </w:num>
  <w:num w:numId="9" w16cid:durableId="1065496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4E"/>
    <w:rsid w:val="000140F0"/>
    <w:rsid w:val="00023193"/>
    <w:rsid w:val="000523E1"/>
    <w:rsid w:val="000732B8"/>
    <w:rsid w:val="000A7340"/>
    <w:rsid w:val="000F1413"/>
    <w:rsid w:val="00132AD6"/>
    <w:rsid w:val="0013511B"/>
    <w:rsid w:val="00174AF2"/>
    <w:rsid w:val="001A4A4B"/>
    <w:rsid w:val="00215A5F"/>
    <w:rsid w:val="002D0A1F"/>
    <w:rsid w:val="002D3135"/>
    <w:rsid w:val="00331C6F"/>
    <w:rsid w:val="00336C50"/>
    <w:rsid w:val="00390840"/>
    <w:rsid w:val="003C3A30"/>
    <w:rsid w:val="003F2CA5"/>
    <w:rsid w:val="00414C98"/>
    <w:rsid w:val="004B4225"/>
    <w:rsid w:val="004B66CA"/>
    <w:rsid w:val="004B6DC4"/>
    <w:rsid w:val="00503AA7"/>
    <w:rsid w:val="005122A9"/>
    <w:rsid w:val="005843B7"/>
    <w:rsid w:val="00594285"/>
    <w:rsid w:val="005B719B"/>
    <w:rsid w:val="005E428B"/>
    <w:rsid w:val="005E522A"/>
    <w:rsid w:val="00600B42"/>
    <w:rsid w:val="00655DFE"/>
    <w:rsid w:val="006779C1"/>
    <w:rsid w:val="006804DD"/>
    <w:rsid w:val="007517A6"/>
    <w:rsid w:val="00766242"/>
    <w:rsid w:val="007C7DF6"/>
    <w:rsid w:val="007D2511"/>
    <w:rsid w:val="007F2944"/>
    <w:rsid w:val="00811C4B"/>
    <w:rsid w:val="008561CB"/>
    <w:rsid w:val="00860B11"/>
    <w:rsid w:val="00877470"/>
    <w:rsid w:val="008941BB"/>
    <w:rsid w:val="008E4D7F"/>
    <w:rsid w:val="008E7C61"/>
    <w:rsid w:val="00900CE4"/>
    <w:rsid w:val="0093084E"/>
    <w:rsid w:val="00942D79"/>
    <w:rsid w:val="0095352D"/>
    <w:rsid w:val="009552CB"/>
    <w:rsid w:val="00A12365"/>
    <w:rsid w:val="00A70347"/>
    <w:rsid w:val="00A93FF5"/>
    <w:rsid w:val="00AE4BE7"/>
    <w:rsid w:val="00B21EA8"/>
    <w:rsid w:val="00B86702"/>
    <w:rsid w:val="00BC44C2"/>
    <w:rsid w:val="00BD7ED5"/>
    <w:rsid w:val="00C66727"/>
    <w:rsid w:val="00C97D2E"/>
    <w:rsid w:val="00CA1B29"/>
    <w:rsid w:val="00CE7078"/>
    <w:rsid w:val="00CF32E3"/>
    <w:rsid w:val="00D17F4C"/>
    <w:rsid w:val="00D64FDA"/>
    <w:rsid w:val="00D76E55"/>
    <w:rsid w:val="00D9688A"/>
    <w:rsid w:val="00DB0055"/>
    <w:rsid w:val="00DC2FB3"/>
    <w:rsid w:val="00DD6DD7"/>
    <w:rsid w:val="00E44C15"/>
    <w:rsid w:val="00E80983"/>
    <w:rsid w:val="00F113E8"/>
    <w:rsid w:val="00F12A5B"/>
    <w:rsid w:val="00F6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22F7"/>
  <w15:chartTrackingRefBased/>
  <w15:docId w15:val="{EA77D767-D5BB-4CD2-8414-359F82C5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Ttulo3">
    <w:name w:val="heading 3"/>
    <w:basedOn w:val="Normal"/>
    <w:link w:val="Ttulo3Car"/>
    <w:uiPriority w:val="9"/>
    <w:qFormat/>
    <w:rsid w:val="009308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3084E"/>
    <w:rPr>
      <w:rFonts w:ascii="Times New Roman" w:eastAsia="Times New Roman" w:hAnsi="Times New Roman" w:cs="Times New Roman"/>
      <w:b/>
      <w:bCs/>
      <w:sz w:val="27"/>
      <w:szCs w:val="27"/>
    </w:rPr>
  </w:style>
  <w:style w:type="paragraph" w:styleId="Prrafodelista">
    <w:name w:val="List Paragraph"/>
    <w:basedOn w:val="Normal"/>
    <w:uiPriority w:val="34"/>
    <w:qFormat/>
    <w:rsid w:val="0093084E"/>
    <w:pPr>
      <w:ind w:left="720"/>
      <w:contextualSpacing/>
    </w:pPr>
  </w:style>
  <w:style w:type="paragraph" w:styleId="NormalWeb">
    <w:name w:val="Normal (Web)"/>
    <w:basedOn w:val="Normal"/>
    <w:uiPriority w:val="99"/>
    <w:unhideWhenUsed/>
    <w:rsid w:val="0093084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E44C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4C15"/>
    <w:rPr>
      <w:sz w:val="20"/>
      <w:szCs w:val="20"/>
    </w:rPr>
  </w:style>
  <w:style w:type="character" w:styleId="Refdenotaalpie">
    <w:name w:val="footnote reference"/>
    <w:basedOn w:val="Fuentedeprrafopredeter"/>
    <w:uiPriority w:val="99"/>
    <w:semiHidden/>
    <w:unhideWhenUsed/>
    <w:rsid w:val="00E44C15"/>
    <w:rPr>
      <w:vertAlign w:val="superscript"/>
    </w:rPr>
  </w:style>
  <w:style w:type="paragraph" w:styleId="Textodeglobo">
    <w:name w:val="Balloon Text"/>
    <w:basedOn w:val="Normal"/>
    <w:link w:val="TextodegloboCar"/>
    <w:uiPriority w:val="99"/>
    <w:semiHidden/>
    <w:unhideWhenUsed/>
    <w:rsid w:val="00331C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C6F"/>
    <w:rPr>
      <w:rFonts w:ascii="Segoe UI" w:hAnsi="Segoe UI" w:cs="Segoe UI"/>
      <w:sz w:val="18"/>
      <w:szCs w:val="18"/>
    </w:rPr>
  </w:style>
  <w:style w:type="paragraph" w:styleId="Revisin">
    <w:name w:val="Revision"/>
    <w:hidden/>
    <w:uiPriority w:val="99"/>
    <w:semiHidden/>
    <w:rsid w:val="00942D79"/>
    <w:pPr>
      <w:spacing w:after="0" w:line="240" w:lineRule="auto"/>
    </w:pPr>
  </w:style>
  <w:style w:type="character" w:styleId="Refdecomentario">
    <w:name w:val="annotation reference"/>
    <w:basedOn w:val="Fuentedeprrafopredeter"/>
    <w:uiPriority w:val="99"/>
    <w:semiHidden/>
    <w:unhideWhenUsed/>
    <w:rsid w:val="002D0A1F"/>
    <w:rPr>
      <w:sz w:val="16"/>
      <w:szCs w:val="16"/>
    </w:rPr>
  </w:style>
  <w:style w:type="paragraph" w:styleId="Textocomentario">
    <w:name w:val="annotation text"/>
    <w:basedOn w:val="Normal"/>
    <w:link w:val="TextocomentarioCar"/>
    <w:uiPriority w:val="99"/>
    <w:semiHidden/>
    <w:unhideWhenUsed/>
    <w:rsid w:val="002D0A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0A1F"/>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2D0A1F"/>
    <w:rPr>
      <w:b/>
      <w:bCs/>
    </w:rPr>
  </w:style>
  <w:style w:type="character" w:customStyle="1" w:styleId="AsuntodelcomentarioCar">
    <w:name w:val="Asunto del comentario Car"/>
    <w:basedOn w:val="TextocomentarioCar"/>
    <w:link w:val="Asuntodelcomentario"/>
    <w:uiPriority w:val="99"/>
    <w:semiHidden/>
    <w:rsid w:val="002D0A1F"/>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364466">
      <w:bodyDiv w:val="1"/>
      <w:marLeft w:val="0"/>
      <w:marRight w:val="0"/>
      <w:marTop w:val="0"/>
      <w:marBottom w:val="0"/>
      <w:divBdr>
        <w:top w:val="none" w:sz="0" w:space="0" w:color="auto"/>
        <w:left w:val="none" w:sz="0" w:space="0" w:color="auto"/>
        <w:bottom w:val="none" w:sz="0" w:space="0" w:color="auto"/>
        <w:right w:val="none" w:sz="0" w:space="0" w:color="auto"/>
      </w:divBdr>
    </w:div>
    <w:div w:id="1028680683">
      <w:bodyDiv w:val="1"/>
      <w:marLeft w:val="0"/>
      <w:marRight w:val="0"/>
      <w:marTop w:val="0"/>
      <w:marBottom w:val="0"/>
      <w:divBdr>
        <w:top w:val="none" w:sz="0" w:space="0" w:color="auto"/>
        <w:left w:val="none" w:sz="0" w:space="0" w:color="auto"/>
        <w:bottom w:val="none" w:sz="0" w:space="0" w:color="auto"/>
        <w:right w:val="none" w:sz="0" w:space="0" w:color="auto"/>
      </w:divBdr>
    </w:div>
    <w:div w:id="1095245595">
      <w:bodyDiv w:val="1"/>
      <w:marLeft w:val="0"/>
      <w:marRight w:val="0"/>
      <w:marTop w:val="0"/>
      <w:marBottom w:val="0"/>
      <w:divBdr>
        <w:top w:val="none" w:sz="0" w:space="0" w:color="auto"/>
        <w:left w:val="none" w:sz="0" w:space="0" w:color="auto"/>
        <w:bottom w:val="none" w:sz="0" w:space="0" w:color="auto"/>
        <w:right w:val="none" w:sz="0" w:space="0" w:color="auto"/>
      </w:divBdr>
    </w:div>
    <w:div w:id="1391684817">
      <w:bodyDiv w:val="1"/>
      <w:marLeft w:val="0"/>
      <w:marRight w:val="0"/>
      <w:marTop w:val="0"/>
      <w:marBottom w:val="0"/>
      <w:divBdr>
        <w:top w:val="none" w:sz="0" w:space="0" w:color="auto"/>
        <w:left w:val="none" w:sz="0" w:space="0" w:color="auto"/>
        <w:bottom w:val="none" w:sz="0" w:space="0" w:color="auto"/>
        <w:right w:val="none" w:sz="0" w:space="0" w:color="auto"/>
      </w:divBdr>
    </w:div>
    <w:div w:id="20546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70C00-1975-44D2-94FB-9F4A6EBA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1669</Words>
  <Characters>9185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juana carolina pernia osorio</cp:lastModifiedBy>
  <cp:revision>7</cp:revision>
  <cp:lastPrinted>2024-03-12T19:57:00Z</cp:lastPrinted>
  <dcterms:created xsi:type="dcterms:W3CDTF">2024-07-26T15:57:00Z</dcterms:created>
  <dcterms:modified xsi:type="dcterms:W3CDTF">2024-07-26T16:06:00Z</dcterms:modified>
</cp:coreProperties>
</file>