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495EBD1B" w:rsidR="00A06D0B" w:rsidRPr="00B94ABF" w:rsidRDefault="00096244">
            <w:pPr>
              <w:spacing w:after="0" w:line="267" w:lineRule="exact"/>
              <w:ind w:left="59" w:right="-20"/>
              <w:rPr>
                <w:rFonts w:ascii="Calibri" w:eastAsia="Calibri" w:hAnsi="Calibri" w:cs="Calibri"/>
                <w:sz w:val="24"/>
                <w:szCs w:val="24"/>
              </w:rPr>
            </w:pPr>
            <w:r w:rsidRPr="00096244">
              <w:rPr>
                <w:rFonts w:ascii="Calibri" w:eastAsia="Calibri" w:hAnsi="Calibri" w:cs="Calibri"/>
                <w:sz w:val="24"/>
                <w:szCs w:val="24"/>
              </w:rPr>
              <w:t>12-374121</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929401C" w:rsidR="00A06D0B" w:rsidRPr="00B94ABF" w:rsidRDefault="005C75D0" w:rsidP="005212FF">
            <w:pPr>
              <w:spacing w:after="0" w:line="264" w:lineRule="exact"/>
              <w:ind w:left="59" w:right="-20"/>
              <w:rPr>
                <w:rFonts w:ascii="Calibri" w:eastAsia="Calibri" w:hAnsi="Calibri" w:cs="Calibri"/>
                <w:sz w:val="24"/>
                <w:szCs w:val="24"/>
              </w:rPr>
            </w:pPr>
            <w:r w:rsidRPr="005C75D0">
              <w:rPr>
                <w:rFonts w:ascii="Calibri" w:eastAsia="Calibri" w:hAnsi="Calibri" w:cs="Calibri"/>
                <w:sz w:val="24"/>
                <w:szCs w:val="24"/>
              </w:rPr>
              <w:t>76001333301820220002500</w:t>
            </w:r>
          </w:p>
        </w:tc>
      </w:tr>
      <w:tr w:rsidR="00A06D0B" w:rsidRPr="00D0745D" w14:paraId="491ADFD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285D0991" w:rsidR="00A06D0B" w:rsidRPr="00F56E1E" w:rsidRDefault="00D0745D">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5C75D0">
              <w:rPr>
                <w:rFonts w:ascii="Calibri" w:eastAsia="Calibri" w:hAnsi="Calibri" w:cs="Calibri"/>
                <w:lang w:val="es-CO"/>
              </w:rPr>
              <w:t>18</w:t>
            </w:r>
            <w:r>
              <w:rPr>
                <w:rFonts w:ascii="Calibri" w:eastAsia="Calibri" w:hAnsi="Calibri" w:cs="Calibri"/>
                <w:lang w:val="es-CO"/>
              </w:rPr>
              <w:t xml:space="preserve"> ADMINISTRATIVO DEL CIRCUITO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E933C6"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5DECF11C" w:rsidR="007E3E69" w:rsidRPr="003637A1" w:rsidRDefault="008400D9"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CLARA ROSA AVILA DE ARANGO</w:t>
            </w:r>
            <w:r w:rsidR="00726D57">
              <w:rPr>
                <w:rFonts w:ascii="Arial" w:eastAsia="Times New Roman" w:hAnsi="Arial" w:cs="Arial"/>
                <w:color w:val="222222"/>
                <w:sz w:val="20"/>
                <w:szCs w:val="20"/>
                <w:lang w:val="es-CO" w:eastAsia="es-CO"/>
              </w:rPr>
              <w:t xml:space="preserve"> -</w:t>
            </w:r>
            <w:r>
              <w:rPr>
                <w:rFonts w:ascii="Arial" w:eastAsia="Times New Roman" w:hAnsi="Arial" w:cs="Arial"/>
                <w:color w:val="222222"/>
                <w:sz w:val="20"/>
                <w:szCs w:val="20"/>
                <w:lang w:val="es-CO" w:eastAsia="es-CO"/>
              </w:rPr>
              <w:t xml:space="preserve"> </w:t>
            </w:r>
            <w:r w:rsidR="00726D57">
              <w:rPr>
                <w:rFonts w:ascii="Arial" w:eastAsia="Times New Roman" w:hAnsi="Arial" w:cs="Arial"/>
                <w:color w:val="222222"/>
                <w:sz w:val="20"/>
                <w:szCs w:val="20"/>
                <w:lang w:val="es-CO" w:eastAsia="es-CO"/>
              </w:rPr>
              <w:t>LUIS ARANGO ESCOBAR</w:t>
            </w:r>
          </w:p>
        </w:tc>
      </w:tr>
      <w:tr w:rsidR="007E3E69" w:rsidRPr="00E933C6"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7553A871" w:rsidR="007E3E69" w:rsidRDefault="007E3E69" w:rsidP="007E3E69">
            <w:pPr>
              <w:spacing w:after="0" w:line="264" w:lineRule="exact"/>
              <w:ind w:right="-20"/>
              <w:jc w:val="both"/>
              <w:rPr>
                <w:rFonts w:ascii="Calibri" w:eastAsia="Calibri" w:hAnsi="Calibri" w:cs="Calibri"/>
                <w:lang w:val="es-CO"/>
              </w:rPr>
            </w:pPr>
            <w:r w:rsidRPr="009D392A">
              <w:rPr>
                <w:rFonts w:ascii="Calibri" w:eastAsia="Calibri" w:hAnsi="Calibri" w:cs="Calibri"/>
                <w:lang w:val="es-CO"/>
              </w:rPr>
              <w:t>MU</w:t>
            </w:r>
            <w:r>
              <w:rPr>
                <w:rFonts w:ascii="Calibri" w:eastAsia="Calibri" w:hAnsi="Calibri" w:cs="Calibri"/>
                <w:lang w:val="es-CO"/>
              </w:rPr>
              <w:t xml:space="preserve">NICIPIO SANTIAGO DE CALI </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6FEFB24" w:rsidR="007E3E69" w:rsidRDefault="008F12CE" w:rsidP="007E3E69">
            <w:pPr>
              <w:spacing w:after="0" w:line="264" w:lineRule="exact"/>
              <w:ind w:left="59" w:right="-20"/>
              <w:rPr>
                <w:rFonts w:ascii="Calibri" w:eastAsia="Calibri" w:hAnsi="Calibri" w:cs="Calibri"/>
              </w:rPr>
            </w:pPr>
            <w:r>
              <w:rPr>
                <w:rFonts w:ascii="Calibri" w:eastAsia="Calibri" w:hAnsi="Calibri" w:cs="Calibri"/>
              </w:rPr>
              <w:t>03/02/2022</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1287907B" w:rsidR="007E3E69" w:rsidRPr="00675B7A" w:rsidRDefault="00D749C9" w:rsidP="007E3E69">
            <w:pPr>
              <w:spacing w:after="0" w:line="264" w:lineRule="exact"/>
              <w:ind w:left="59" w:right="-20"/>
              <w:rPr>
                <w:rFonts w:ascii="Calibri" w:eastAsia="Calibri" w:hAnsi="Calibri" w:cs="Calibri"/>
                <w:lang w:val="es-CO"/>
              </w:rPr>
            </w:pPr>
            <w:r>
              <w:rPr>
                <w:rFonts w:ascii="Calibri" w:eastAsia="Calibri" w:hAnsi="Calibri" w:cs="Calibri"/>
                <w:lang w:val="es-CO"/>
              </w:rPr>
              <w:t>06/07/2022</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8E97F48" w:rsidR="007E3E69" w:rsidRPr="00AB19D8" w:rsidRDefault="00D749C9" w:rsidP="007E3E69">
            <w:pPr>
              <w:spacing w:after="0" w:line="264" w:lineRule="exact"/>
              <w:ind w:left="59" w:right="-20"/>
              <w:rPr>
                <w:rFonts w:ascii="Calibri" w:eastAsia="Calibri" w:hAnsi="Calibri" w:cs="Calibri"/>
                <w:lang w:val="es-CO"/>
              </w:rPr>
            </w:pPr>
            <w:r>
              <w:rPr>
                <w:rFonts w:ascii="Calibri" w:eastAsia="Calibri" w:hAnsi="Calibri" w:cs="Calibri"/>
                <w:lang w:val="es-CO"/>
              </w:rPr>
              <w:t>20/09/2023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350231C" w:rsidR="007E3E69" w:rsidRPr="00696A44" w:rsidRDefault="00D749C9" w:rsidP="007E3E69">
            <w:pPr>
              <w:spacing w:after="0" w:line="267" w:lineRule="exact"/>
              <w:ind w:left="59" w:right="-20"/>
              <w:rPr>
                <w:rFonts w:ascii="Calibri" w:eastAsia="Calibri" w:hAnsi="Calibri" w:cs="Calibri"/>
                <w:lang w:val="es-CO"/>
              </w:rPr>
            </w:pPr>
            <w:r>
              <w:rPr>
                <w:rFonts w:ascii="Calibri" w:eastAsia="Calibri" w:hAnsi="Calibri" w:cs="Calibri"/>
                <w:lang w:val="es-CO"/>
              </w:rPr>
              <w:t>05/11/2021</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73A76215"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D749C9">
              <w:rPr>
                <w:rFonts w:ascii="Calibri" w:eastAsia="Calibri" w:hAnsi="Calibri" w:cs="Calibri"/>
              </w:rPr>
              <w:t>05/10/2021</w:t>
            </w:r>
          </w:p>
        </w:tc>
      </w:tr>
      <w:tr w:rsidR="007E3E69" w:rsidRPr="00E933C6"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6CD98E23" w:rsidR="007E3E69" w:rsidRPr="00F56E1E" w:rsidRDefault="003202D4" w:rsidP="00B96380">
            <w:pPr>
              <w:spacing w:after="0" w:line="240" w:lineRule="auto"/>
              <w:ind w:left="59" w:right="-1"/>
              <w:jc w:val="both"/>
              <w:rPr>
                <w:rFonts w:ascii="Calibri" w:eastAsia="Calibri" w:hAnsi="Calibri" w:cs="Calibri"/>
                <w:lang w:val="es-CO"/>
              </w:rPr>
            </w:pPr>
            <w:r w:rsidRPr="003202D4">
              <w:rPr>
                <w:rFonts w:ascii="Calibri" w:eastAsia="Calibri" w:hAnsi="Calibri" w:cs="Calibri"/>
                <w:lang w:val="es-CO"/>
              </w:rPr>
              <w:t xml:space="preserve">De conformidad con los hechos de la demanda el 24 de enero de 1992 la señora CLARA ROSA AVILA DE ARANGO en la Notaria Decima de Cali. Valle, le compro al Sr. Julio Cesar Arango Escobar, todos los derechos de dominio del bien inmueble lote ubicado en la </w:t>
            </w:r>
            <w:proofErr w:type="spellStart"/>
            <w:r w:rsidRPr="003202D4">
              <w:rPr>
                <w:rFonts w:ascii="Calibri" w:eastAsia="Calibri" w:hAnsi="Calibri" w:cs="Calibri"/>
                <w:lang w:val="es-CO"/>
              </w:rPr>
              <w:t>Cra</w:t>
            </w:r>
            <w:proofErr w:type="spellEnd"/>
            <w:r w:rsidRPr="003202D4">
              <w:rPr>
                <w:rFonts w:ascii="Calibri" w:eastAsia="Calibri" w:hAnsi="Calibri" w:cs="Calibri"/>
                <w:lang w:val="es-CO"/>
              </w:rPr>
              <w:t xml:space="preserve"> 71 A 73D del Municipio de Cali, sin embargo, el 5 de noviembre de 2021 solicitó a la alcaldía del Municipio de Cali a fin de realizar la venta de </w:t>
            </w:r>
            <w:proofErr w:type="gramStart"/>
            <w:r w:rsidRPr="003202D4">
              <w:rPr>
                <w:rFonts w:ascii="Calibri" w:eastAsia="Calibri" w:hAnsi="Calibri" w:cs="Calibri"/>
                <w:lang w:val="es-CO"/>
              </w:rPr>
              <w:t>este,  mediante</w:t>
            </w:r>
            <w:proofErr w:type="gramEnd"/>
            <w:r w:rsidRPr="003202D4">
              <w:rPr>
                <w:rFonts w:ascii="Calibri" w:eastAsia="Calibri" w:hAnsi="Calibri" w:cs="Calibri"/>
                <w:lang w:val="es-CO"/>
              </w:rPr>
              <w:t xml:space="preserve"> respuesta de derecho de petición se indicó que en dicho inmueble se realizaría el cruce de una vía pública, debido a encontrarse en mora del impuesto predial.  La parte actora manifestó que el bien inmueble fue avaluado en un total de $48.750.000 e indicando que dicha acción generó daños económicos que se han visto sometidos y la limitación al derecho de propiedad.   </w:t>
            </w:r>
          </w:p>
        </w:tc>
      </w:tr>
      <w:tr w:rsidR="007E3E69" w:rsidRPr="00E933C6"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4898F7AB" w:rsidR="007E3E69" w:rsidRPr="00F56E1E" w:rsidRDefault="00037A75" w:rsidP="007E3E69">
            <w:pPr>
              <w:rPr>
                <w:rFonts w:ascii="Calibri" w:eastAsia="Calibri" w:hAnsi="Calibri" w:cs="Calibri"/>
                <w:lang w:val="es-CO"/>
              </w:rPr>
            </w:pPr>
            <w:r w:rsidRPr="00037A75">
              <w:rPr>
                <w:rFonts w:ascii="Calibri" w:eastAsia="Calibri" w:hAnsi="Calibri" w:cs="Calibri"/>
                <w:lang w:val="es-CO"/>
              </w:rPr>
              <w:t>Las pretensiones de la demanda van encaminadas al reconocimiento de $48.750.000 por concepto de daño emergente, 20 SMMLV por concepto de perjuicio inmateriales y el pago de las costas y agencias en derecho.</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C69EE0B"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12203E">
              <w:rPr>
                <w:rFonts w:ascii="Calibri" w:eastAsia="Calibri" w:hAnsi="Calibri" w:cs="Calibri"/>
                <w:lang w:val="es-CO"/>
              </w:rPr>
              <w:t>71.950.000</w:t>
            </w:r>
            <w:r w:rsidR="00186A9E">
              <w:rPr>
                <w:rFonts w:ascii="Calibri" w:eastAsia="Calibri" w:hAnsi="Calibri" w:cs="Calibri"/>
                <w:lang w:val="es-CO"/>
              </w:rPr>
              <w:t xml:space="preserve"> (</w:t>
            </w:r>
            <w:proofErr w:type="gramStart"/>
            <w:r w:rsidR="00186A9E">
              <w:rPr>
                <w:rFonts w:ascii="Calibri" w:eastAsia="Calibri" w:hAnsi="Calibri" w:cs="Calibri"/>
                <w:lang w:val="es-CO"/>
              </w:rPr>
              <w:t>ACTUALIZADO  SMMLV</w:t>
            </w:r>
            <w:proofErr w:type="gramEnd"/>
            <w:r w:rsidR="00186A9E">
              <w:rPr>
                <w:rFonts w:ascii="Calibri" w:eastAsia="Calibri" w:hAnsi="Calibri" w:cs="Calibri"/>
                <w:lang w:val="es-CO"/>
              </w:rPr>
              <w:t xml:space="preserve"> 2023)</w:t>
            </w:r>
          </w:p>
        </w:tc>
      </w:tr>
      <w:tr w:rsidR="007E3E69" w:rsidRPr="001E5E44"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33D20B51"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3E182D">
              <w:rPr>
                <w:rFonts w:ascii="Calibri" w:eastAsia="Calibri" w:hAnsi="Calibri" w:cs="Calibri"/>
                <w:lang w:val="es-CO"/>
              </w:rPr>
              <w:t>48.750.000</w:t>
            </w:r>
          </w:p>
          <w:p w14:paraId="4E3871E5" w14:textId="1CFF3033"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8B31B9">
              <w:rPr>
                <w:rFonts w:ascii="Calibri" w:eastAsia="Calibri" w:hAnsi="Calibri" w:cs="Calibri"/>
                <w:lang w:val="es-CO"/>
              </w:rPr>
              <w:t>2.7</w:t>
            </w:r>
            <w:r w:rsidR="00B06F9F">
              <w:rPr>
                <w:rFonts w:ascii="Calibri" w:eastAsia="Calibri" w:hAnsi="Calibri" w:cs="Calibri"/>
                <w:lang w:val="es-CO"/>
              </w:rPr>
              <w:t>25.578</w:t>
            </w:r>
            <w:r w:rsidR="00991D54">
              <w:rPr>
                <w:rFonts w:ascii="Calibri" w:eastAsia="Calibri" w:hAnsi="Calibri" w:cs="Calibri"/>
                <w:lang w:val="es-CO"/>
              </w:rPr>
              <w:t xml:space="preserve"> (3 SMMLV AL 2021-$</w:t>
            </w:r>
            <w:r w:rsidR="00704025">
              <w:rPr>
                <w:rFonts w:ascii="Calibri" w:eastAsia="Calibri" w:hAnsi="Calibri" w:cs="Calibri"/>
                <w:lang w:val="es-CO"/>
              </w:rPr>
              <w:t>908.526</w:t>
            </w:r>
            <w:r w:rsidR="00991D54">
              <w:rPr>
                <w:rFonts w:ascii="Calibri" w:eastAsia="Calibri" w:hAnsi="Calibri" w:cs="Calibri"/>
                <w:lang w:val="es-CO"/>
              </w:rPr>
              <w:t>)</w:t>
            </w:r>
          </w:p>
          <w:p w14:paraId="2C8B2F1D" w14:textId="18A72CBB"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1E5E44">
              <w:rPr>
                <w:rFonts w:ascii="Calibri" w:eastAsia="Calibri" w:hAnsi="Calibri" w:cs="Calibri"/>
                <w:lang w:val="es-CO"/>
              </w:rPr>
              <w:t>28%</w:t>
            </w:r>
          </w:p>
          <w:p w14:paraId="2B9135C6" w14:textId="2D3D8556"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29404F">
              <w:rPr>
                <w:rFonts w:ascii="Calibri" w:eastAsia="Calibri" w:hAnsi="Calibri" w:cs="Calibri"/>
                <w:lang w:val="es-CO"/>
              </w:rPr>
              <w:t>12.886.838</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E933C6"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1266B6AF"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Pr>
                <w:rFonts w:ascii="Calibri" w:eastAsia="Calibri" w:hAnsi="Calibri" w:cs="Calibri"/>
                <w:position w:val="1"/>
                <w:lang w:val="pt-BR"/>
              </w:rPr>
              <w:t>12</w:t>
            </w:r>
            <w:r w:rsidR="001C4D71">
              <w:rPr>
                <w:rFonts w:ascii="Calibri" w:eastAsia="Calibri" w:hAnsi="Calibri" w:cs="Calibri"/>
                <w:position w:val="1"/>
                <w:lang w:val="pt-BR"/>
              </w:rPr>
              <w:t>-</w:t>
            </w:r>
            <w:r w:rsidR="00A37095">
              <w:rPr>
                <w:rFonts w:ascii="Calibri" w:eastAsia="Calibri" w:hAnsi="Calibri" w:cs="Calibri"/>
                <w:position w:val="1"/>
                <w:lang w:val="pt-BR"/>
              </w:rPr>
              <w:t>52233</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2DFCFB1B"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4001FB">
              <w:rPr>
                <w:rFonts w:ascii="Calibri" w:eastAsia="Calibri" w:hAnsi="Calibri" w:cs="Calibri"/>
                <w:spacing w:val="1"/>
                <w:lang w:val="es-CO"/>
              </w:rPr>
              <w:t xml:space="preserve">5% </w:t>
            </w:r>
            <w:proofErr w:type="gramStart"/>
            <w:r w:rsidR="004001FB">
              <w:rPr>
                <w:rFonts w:ascii="Calibri" w:eastAsia="Calibri" w:hAnsi="Calibri" w:cs="Calibri"/>
                <w:spacing w:val="1"/>
                <w:lang w:val="es-CO"/>
              </w:rPr>
              <w:t>perdida mínimo</w:t>
            </w:r>
            <w:proofErr w:type="gramEnd"/>
            <w:r w:rsidR="004001FB">
              <w:rPr>
                <w:rFonts w:ascii="Calibri" w:eastAsia="Calibri" w:hAnsi="Calibri" w:cs="Calibri"/>
                <w:spacing w:val="1"/>
                <w:lang w:val="es-CO"/>
              </w:rPr>
              <w:t xml:space="preserve"> </w:t>
            </w:r>
            <w:r w:rsidR="00C87CCB">
              <w:rPr>
                <w:rFonts w:ascii="Calibri" w:eastAsia="Calibri" w:hAnsi="Calibri" w:cs="Calibri"/>
                <w:spacing w:val="1"/>
                <w:lang w:val="es-CO"/>
              </w:rPr>
              <w:t>3SMMLV</w:t>
            </w:r>
          </w:p>
          <w:p w14:paraId="385160F1" w14:textId="27E554C1"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 xml:space="preserve">r </w:t>
            </w:r>
            <w:proofErr w:type="spellStart"/>
            <w:r w:rsidRPr="00F56E1E">
              <w:rPr>
                <w:rFonts w:ascii="Calibri" w:eastAsia="Calibri" w:hAnsi="Calibri" w:cs="Calibri"/>
                <w:lang w:val="es-CO"/>
              </w:rPr>
              <w:t>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us</w:t>
            </w:r>
            <w:proofErr w:type="spellEnd"/>
            <w:r w:rsidR="001630F6">
              <w:rPr>
                <w:rFonts w:ascii="Calibri" w:eastAsia="Calibri" w:hAnsi="Calibri" w:cs="Calibri"/>
                <w:lang w:val="es-CO"/>
              </w:rPr>
              <w:t xml:space="preserve"> </w:t>
            </w:r>
            <w:r w:rsidR="00B35D8B">
              <w:rPr>
                <w:rFonts w:ascii="Calibri" w:eastAsia="Calibri" w:hAnsi="Calibri" w:cs="Calibri"/>
                <w:lang w:val="es-CO"/>
              </w:rPr>
              <w:t>$</w:t>
            </w:r>
            <w:r w:rsidR="00C47841">
              <w:rPr>
                <w:rFonts w:ascii="Calibri" w:eastAsia="Calibri" w:hAnsi="Calibri" w:cs="Calibri"/>
                <w:lang w:val="es-CO"/>
              </w:rPr>
              <w:t>7.000.000.000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115EC16C"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C47841">
              <w:rPr>
                <w:rFonts w:ascii="Calibri" w:eastAsia="Calibri" w:hAnsi="Calibri" w:cs="Calibri"/>
                <w:lang w:val="es-CO"/>
              </w:rPr>
              <w:t xml:space="preserve"> Solidaria</w:t>
            </w:r>
            <w:r w:rsidR="000B049C">
              <w:rPr>
                <w:rFonts w:ascii="Calibri" w:eastAsia="Calibri" w:hAnsi="Calibri" w:cs="Calibri"/>
                <w:lang w:val="es-CO"/>
              </w:rPr>
              <w:t xml:space="preserve"> </w:t>
            </w:r>
            <w:r w:rsidR="00942548">
              <w:rPr>
                <w:rFonts w:ascii="Calibri" w:eastAsia="Calibri" w:hAnsi="Calibri" w:cs="Calibri"/>
                <w:lang w:val="es-CO"/>
              </w:rPr>
              <w:t>32%</w:t>
            </w:r>
            <w:r w:rsidR="00C47841">
              <w:rPr>
                <w:rFonts w:ascii="Calibri" w:eastAsia="Calibri" w:hAnsi="Calibri" w:cs="Calibri"/>
                <w:lang w:val="es-CO"/>
              </w:rPr>
              <w:t xml:space="preserve">, Chubb 28%, </w:t>
            </w:r>
            <w:r w:rsidR="000B049C">
              <w:rPr>
                <w:rFonts w:ascii="Calibri" w:eastAsia="Calibri" w:hAnsi="Calibri" w:cs="Calibri"/>
                <w:lang w:val="es-CO"/>
              </w:rPr>
              <w:t xml:space="preserve">SBS 20%, </w:t>
            </w:r>
            <w:r w:rsidR="00424F95">
              <w:rPr>
                <w:rFonts w:ascii="Calibri" w:eastAsia="Calibri" w:hAnsi="Calibri" w:cs="Calibri"/>
                <w:lang w:val="es-CO"/>
              </w:rPr>
              <w:t>MAPFRE 20</w:t>
            </w:r>
            <w:r w:rsidR="000B049C">
              <w:rPr>
                <w:rFonts w:ascii="Calibri" w:eastAsia="Calibri" w:hAnsi="Calibri" w:cs="Calibri"/>
                <w:lang w:val="es-CO"/>
              </w:rPr>
              <w:t>%</w:t>
            </w:r>
          </w:p>
        </w:tc>
      </w:tr>
      <w:tr w:rsidR="007E3E69" w:rsidRPr="00E933C6"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3E8A1F06" w14:textId="68D49432" w:rsidR="001D7247" w:rsidRDefault="001D7247" w:rsidP="001D7247">
            <w:pPr>
              <w:pStyle w:val="Prrafodelista"/>
              <w:numPr>
                <w:ilvl w:val="0"/>
                <w:numId w:val="19"/>
              </w:numPr>
              <w:spacing w:after="0" w:line="266" w:lineRule="exact"/>
              <w:ind w:right="-20"/>
              <w:jc w:val="both"/>
              <w:rPr>
                <w:rFonts w:ascii="Calibri" w:eastAsia="Calibri" w:hAnsi="Calibri" w:cs="Calibri"/>
                <w:lang w:val="es-419"/>
              </w:rPr>
            </w:pPr>
            <w:r>
              <w:rPr>
                <w:rFonts w:ascii="Calibri" w:eastAsia="Calibri" w:hAnsi="Calibri" w:cs="Calibri"/>
                <w:lang w:val="es-419"/>
              </w:rPr>
              <w:t>Caducidad de la acción</w:t>
            </w:r>
          </w:p>
          <w:p w14:paraId="0ED5C04B" w14:textId="2041BD98" w:rsidR="00281B99" w:rsidRPr="001D7247" w:rsidRDefault="00281B99" w:rsidP="001D7247">
            <w:pPr>
              <w:spacing w:after="0" w:line="266" w:lineRule="exact"/>
              <w:ind w:right="-20"/>
              <w:jc w:val="both"/>
              <w:rPr>
                <w:rFonts w:ascii="Calibri" w:eastAsia="Calibri" w:hAnsi="Calibri" w:cs="Calibri"/>
                <w:lang w:val="es-419"/>
              </w:rPr>
            </w:pPr>
          </w:p>
        </w:tc>
      </w:tr>
      <w:tr w:rsidR="007E3E69" w:rsidRPr="0074306B"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F0C38B3" w14:textId="77777777" w:rsidR="001630F6" w:rsidRPr="001630F6" w:rsidRDefault="001630F6" w:rsidP="001630F6">
            <w:pPr>
              <w:spacing w:after="0" w:line="240" w:lineRule="auto"/>
              <w:ind w:right="-20"/>
              <w:jc w:val="both"/>
              <w:rPr>
                <w:rFonts w:ascii="Calibri" w:eastAsia="Calibri" w:hAnsi="Calibri" w:cs="Calibri"/>
                <w:lang w:val="es-CO"/>
              </w:rPr>
            </w:pPr>
            <w:r w:rsidRPr="001630F6">
              <w:rPr>
                <w:rFonts w:ascii="Calibri" w:eastAsia="Calibri" w:hAnsi="Calibri" w:cs="Calibri"/>
                <w:lang w:val="es-CO"/>
              </w:rPr>
              <w:t>Frente a la demanda:</w:t>
            </w:r>
          </w:p>
          <w:p w14:paraId="65258997" w14:textId="77777777" w:rsidR="00546EE3" w:rsidRDefault="00546EE3" w:rsidP="001630F6">
            <w:pPr>
              <w:spacing w:after="0" w:line="240" w:lineRule="auto"/>
              <w:ind w:right="-20"/>
              <w:jc w:val="both"/>
              <w:rPr>
                <w:rFonts w:ascii="Calibri" w:eastAsia="Calibri" w:hAnsi="Calibri" w:cs="Calibri"/>
                <w:lang w:val="es-CO"/>
              </w:rPr>
            </w:pPr>
          </w:p>
          <w:p w14:paraId="2BD2EE0F" w14:textId="54D33B5C" w:rsidR="00546EE3" w:rsidRPr="003B4481" w:rsidRDefault="003B4481" w:rsidP="003B4481">
            <w:pPr>
              <w:pStyle w:val="Prrafodelista"/>
              <w:numPr>
                <w:ilvl w:val="0"/>
                <w:numId w:val="19"/>
              </w:numPr>
              <w:spacing w:after="0" w:line="240" w:lineRule="auto"/>
              <w:ind w:right="-20"/>
              <w:jc w:val="both"/>
              <w:rPr>
                <w:rFonts w:ascii="Calibri" w:eastAsia="Calibri" w:hAnsi="Calibri" w:cs="Calibri"/>
                <w:lang w:val="es-CO"/>
              </w:rPr>
            </w:pPr>
            <w:r w:rsidRPr="003B4481">
              <w:rPr>
                <w:rFonts w:ascii="Calibri" w:eastAsia="Calibri" w:hAnsi="Calibri" w:cs="Calibri"/>
                <w:lang w:val="es-CO"/>
              </w:rPr>
              <w:t>Caducidad del medio de control de reparación directa</w:t>
            </w:r>
          </w:p>
          <w:p w14:paraId="1854AE33" w14:textId="566B3E01" w:rsidR="00546EE3" w:rsidRPr="003B4481" w:rsidRDefault="003B4481" w:rsidP="003B4481">
            <w:pPr>
              <w:pStyle w:val="Prrafodelista"/>
              <w:numPr>
                <w:ilvl w:val="0"/>
                <w:numId w:val="19"/>
              </w:numPr>
              <w:spacing w:after="0" w:line="240" w:lineRule="auto"/>
              <w:ind w:right="-20"/>
              <w:jc w:val="both"/>
              <w:rPr>
                <w:rFonts w:ascii="Calibri" w:eastAsia="Calibri" w:hAnsi="Calibri" w:cs="Calibri"/>
                <w:lang w:val="es-CO"/>
              </w:rPr>
            </w:pPr>
            <w:r w:rsidRPr="003B4481">
              <w:rPr>
                <w:rFonts w:ascii="Calibri" w:eastAsia="Calibri" w:hAnsi="Calibri" w:cs="Calibri"/>
                <w:lang w:val="es-CO"/>
              </w:rPr>
              <w:t>Inexistencia de falla en el servicio, el DISTRITO ESPECIAL DE SANTIAGO DE CALI no ha cometido acción u omisión administrativa generadora de un daño antijurídico</w:t>
            </w:r>
          </w:p>
          <w:p w14:paraId="0EA1614B" w14:textId="77E415E9" w:rsidR="00472DAC" w:rsidRPr="003B4481" w:rsidRDefault="003B4481" w:rsidP="003B4481">
            <w:pPr>
              <w:pStyle w:val="Prrafodelista"/>
              <w:numPr>
                <w:ilvl w:val="0"/>
                <w:numId w:val="19"/>
              </w:numPr>
              <w:spacing w:after="0" w:line="240" w:lineRule="auto"/>
              <w:ind w:right="-20"/>
              <w:jc w:val="both"/>
              <w:rPr>
                <w:rFonts w:ascii="Calibri" w:eastAsia="Calibri" w:hAnsi="Calibri" w:cs="Calibri"/>
                <w:lang w:val="es-CO"/>
              </w:rPr>
            </w:pPr>
            <w:r w:rsidRPr="003B4481">
              <w:rPr>
                <w:rFonts w:ascii="Calibri" w:eastAsia="Calibri" w:hAnsi="Calibri" w:cs="Calibri"/>
                <w:lang w:val="es-CO"/>
              </w:rPr>
              <w:t>Inexistencia de responsabilidad de la entidad demandada por rompimiento del nexo causal, al estar probado el hecho de un tercero</w:t>
            </w:r>
          </w:p>
          <w:p w14:paraId="0CBD14D8" w14:textId="49FDA8F5" w:rsidR="00AB649C" w:rsidRPr="003B4481" w:rsidRDefault="003B4481" w:rsidP="003B4481">
            <w:pPr>
              <w:pStyle w:val="Prrafodelista"/>
              <w:numPr>
                <w:ilvl w:val="0"/>
                <w:numId w:val="19"/>
              </w:numPr>
              <w:spacing w:after="0" w:line="240" w:lineRule="auto"/>
              <w:ind w:right="-20"/>
              <w:jc w:val="both"/>
              <w:rPr>
                <w:rFonts w:ascii="Calibri" w:eastAsia="Calibri" w:hAnsi="Calibri" w:cs="Calibri"/>
                <w:lang w:val="es-CO"/>
              </w:rPr>
            </w:pPr>
            <w:r w:rsidRPr="003B4481">
              <w:rPr>
                <w:rFonts w:ascii="Calibri" w:eastAsia="Calibri" w:hAnsi="Calibri" w:cs="Calibri"/>
                <w:lang w:val="es-CO"/>
              </w:rPr>
              <w:t>Tasación errónea y exagerada del daño emergente</w:t>
            </w:r>
          </w:p>
          <w:p w14:paraId="76065AC7" w14:textId="1003E283" w:rsidR="00AB649C" w:rsidRPr="003B4481" w:rsidRDefault="003B4481" w:rsidP="003B4481">
            <w:pPr>
              <w:pStyle w:val="Prrafodelista"/>
              <w:numPr>
                <w:ilvl w:val="0"/>
                <w:numId w:val="19"/>
              </w:numPr>
              <w:spacing w:after="0" w:line="240" w:lineRule="auto"/>
              <w:ind w:right="-20"/>
              <w:jc w:val="both"/>
              <w:rPr>
                <w:rFonts w:ascii="Calibri" w:eastAsia="Calibri" w:hAnsi="Calibri" w:cs="Calibri"/>
                <w:lang w:val="es-CO"/>
              </w:rPr>
            </w:pPr>
            <w:r w:rsidRPr="003B4481">
              <w:rPr>
                <w:rFonts w:ascii="Calibri" w:eastAsia="Calibri" w:hAnsi="Calibri" w:cs="Calibri"/>
                <w:lang w:val="es-CO"/>
              </w:rPr>
              <w:t>Improcedencia del daño moral</w:t>
            </w:r>
          </w:p>
          <w:p w14:paraId="101A0017" w14:textId="4FC322D3" w:rsidR="00AB649C" w:rsidRPr="003B4481" w:rsidRDefault="003B4481" w:rsidP="003B4481">
            <w:pPr>
              <w:pStyle w:val="Prrafodelista"/>
              <w:numPr>
                <w:ilvl w:val="0"/>
                <w:numId w:val="19"/>
              </w:numPr>
              <w:spacing w:after="0" w:line="240" w:lineRule="auto"/>
              <w:ind w:right="-20"/>
              <w:jc w:val="both"/>
              <w:rPr>
                <w:rFonts w:ascii="Calibri" w:eastAsia="Calibri" w:hAnsi="Calibri" w:cs="Calibri"/>
                <w:lang w:val="es-CO"/>
              </w:rPr>
            </w:pPr>
            <w:r w:rsidRPr="003B4481">
              <w:rPr>
                <w:rFonts w:ascii="Calibri" w:eastAsia="Calibri" w:hAnsi="Calibri" w:cs="Calibri"/>
                <w:lang w:val="es-CO"/>
              </w:rPr>
              <w:lastRenderedPageBreak/>
              <w:t>Coadyuvancia de las excepciones que interpuso la parte demandada frente a la demanda</w:t>
            </w:r>
          </w:p>
          <w:p w14:paraId="3730467F" w14:textId="21F13063" w:rsidR="008F0ABF" w:rsidRPr="003B4481" w:rsidRDefault="003B4481" w:rsidP="003B4481">
            <w:pPr>
              <w:pStyle w:val="Prrafodelista"/>
              <w:numPr>
                <w:ilvl w:val="0"/>
                <w:numId w:val="19"/>
              </w:numPr>
              <w:spacing w:after="0" w:line="240" w:lineRule="auto"/>
              <w:ind w:right="-20"/>
              <w:jc w:val="both"/>
              <w:rPr>
                <w:rFonts w:ascii="Calibri" w:eastAsia="Calibri" w:hAnsi="Calibri" w:cs="Calibri"/>
                <w:lang w:val="es-CO"/>
              </w:rPr>
            </w:pPr>
            <w:r w:rsidRPr="003B4481">
              <w:rPr>
                <w:rFonts w:ascii="Calibri" w:eastAsia="Calibri" w:hAnsi="Calibri" w:cs="Calibri"/>
                <w:lang w:val="es-CO"/>
              </w:rPr>
              <w:t>Enriquecimiento sin causa</w:t>
            </w:r>
          </w:p>
          <w:p w14:paraId="510B15E9" w14:textId="13DB37DA" w:rsidR="008F0ABF" w:rsidRPr="003B4481" w:rsidRDefault="003B4481" w:rsidP="003B4481">
            <w:pPr>
              <w:pStyle w:val="Prrafodelista"/>
              <w:numPr>
                <w:ilvl w:val="0"/>
                <w:numId w:val="19"/>
              </w:numPr>
              <w:spacing w:after="0" w:line="240" w:lineRule="auto"/>
              <w:ind w:right="-20"/>
              <w:jc w:val="both"/>
              <w:rPr>
                <w:rFonts w:ascii="Calibri" w:eastAsia="Calibri" w:hAnsi="Calibri" w:cs="Calibri"/>
                <w:lang w:val="es-CO"/>
              </w:rPr>
            </w:pPr>
            <w:r w:rsidRPr="003B4481">
              <w:rPr>
                <w:rFonts w:ascii="Calibri" w:eastAsia="Calibri" w:hAnsi="Calibri" w:cs="Calibri"/>
                <w:lang w:val="es-CO"/>
              </w:rPr>
              <w:t>La genérica o innominada</w:t>
            </w:r>
          </w:p>
          <w:p w14:paraId="15A7201A" w14:textId="77777777" w:rsidR="00546EE3" w:rsidRDefault="00546EE3" w:rsidP="001630F6">
            <w:pPr>
              <w:spacing w:after="0" w:line="240" w:lineRule="auto"/>
              <w:ind w:right="-20"/>
              <w:jc w:val="both"/>
              <w:rPr>
                <w:rFonts w:ascii="Calibri" w:eastAsia="Calibri" w:hAnsi="Calibri" w:cs="Calibri"/>
                <w:lang w:val="es-CO"/>
              </w:rPr>
            </w:pPr>
          </w:p>
          <w:p w14:paraId="5949311B" w14:textId="77777777" w:rsidR="001630F6" w:rsidRPr="001630F6" w:rsidRDefault="001630F6" w:rsidP="001630F6">
            <w:pPr>
              <w:spacing w:after="0" w:line="240" w:lineRule="auto"/>
              <w:ind w:right="-20"/>
              <w:jc w:val="both"/>
              <w:rPr>
                <w:rFonts w:ascii="Calibri" w:eastAsia="Calibri" w:hAnsi="Calibri" w:cs="Calibri"/>
                <w:lang w:val="es-CO"/>
              </w:rPr>
            </w:pPr>
            <w:r w:rsidRPr="001630F6">
              <w:rPr>
                <w:rFonts w:ascii="Calibri" w:eastAsia="Calibri" w:hAnsi="Calibri" w:cs="Calibri"/>
                <w:lang w:val="es-CO"/>
              </w:rPr>
              <w:t>Excepciones Frente Al Llamamiento En Garantía</w:t>
            </w:r>
          </w:p>
          <w:p w14:paraId="67EDBEA2" w14:textId="77777777" w:rsidR="001630F6" w:rsidRPr="001630F6" w:rsidRDefault="001630F6" w:rsidP="001630F6">
            <w:pPr>
              <w:spacing w:after="0" w:line="240" w:lineRule="auto"/>
              <w:ind w:right="-20"/>
              <w:jc w:val="both"/>
              <w:rPr>
                <w:rFonts w:ascii="Calibri" w:eastAsia="Calibri" w:hAnsi="Calibri" w:cs="Calibri"/>
                <w:lang w:val="es-CO"/>
              </w:rPr>
            </w:pPr>
          </w:p>
          <w:p w14:paraId="683AA3F0" w14:textId="71751094" w:rsidR="007E3E69"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Falta de legitimación en la causa por pasiva CHUBB SEGUROS COLOMBIA S.A., toda vez que la póliza de responsabilidad civil extracontractual no. 420-80-994000000202 no presta cobertura material ni temporal para los hechos materia de litigio</w:t>
            </w:r>
          </w:p>
          <w:p w14:paraId="365DDF4E" w14:textId="413C11D2" w:rsidR="0076324F"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Ausencia de cobertura temporal de la póliza no. 420-80-994000000202</w:t>
            </w:r>
          </w:p>
          <w:p w14:paraId="0FCA9CFB" w14:textId="4AEECA9D" w:rsidR="00634A05"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Exclusiones contempladas en la póliza no. 420-80-994000000202</w:t>
            </w:r>
          </w:p>
          <w:p w14:paraId="198A3E88" w14:textId="222FDB88" w:rsidR="00634A05"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 xml:space="preserve">No se demostró la realización del riesgo asegurado en la póliza de responsabilidad civil extracontractual no. 420-80-994000000202 y, por </w:t>
            </w:r>
            <w:proofErr w:type="gramStart"/>
            <w:r w:rsidRPr="001E07A0">
              <w:rPr>
                <w:rFonts w:ascii="Calibri" w:eastAsia="Calibri" w:hAnsi="Calibri" w:cs="Calibri"/>
                <w:lang w:val="es-CO"/>
              </w:rPr>
              <w:t>tanto</w:t>
            </w:r>
            <w:proofErr w:type="gramEnd"/>
            <w:r w:rsidRPr="001E07A0">
              <w:rPr>
                <w:rFonts w:ascii="Calibri" w:eastAsia="Calibri" w:hAnsi="Calibri" w:cs="Calibri"/>
                <w:lang w:val="es-CO"/>
              </w:rPr>
              <w:t xml:space="preserve"> no existe obligación a cargo de CHUBB SEGUROS COLOMBIA S.A.</w:t>
            </w:r>
          </w:p>
          <w:p w14:paraId="448D3A89" w14:textId="27C33A91" w:rsidR="004F0634"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Existencia de coaseguro, que no implica solidaridad entre las partes, por lo que la obligación indemnizatoria se limita al porcentaje pactado y contenido en póliza seguro responsabilidad civil extracontractual no. 420-80-994000000202</w:t>
            </w:r>
          </w:p>
          <w:p w14:paraId="5E556A38" w14:textId="3684017E" w:rsidR="00FF657F"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Marco de los amparos otorgados, límite máximo de la responsabilidad de la compañía aseguradora.</w:t>
            </w:r>
          </w:p>
          <w:p w14:paraId="1F985F16" w14:textId="29C6F3A0" w:rsidR="00013910"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Eminente carácter indemnizatorio que reviste el contrato de seguro convenido en la póliza de seguro responsabilidad civil extracontractual no. 420-80-994000000202</w:t>
            </w:r>
          </w:p>
          <w:p w14:paraId="3E13CED5" w14:textId="6A74D36B" w:rsidR="00013910"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Pago por reembolso</w:t>
            </w:r>
          </w:p>
          <w:p w14:paraId="12E3E012" w14:textId="054A87E6" w:rsidR="00B0379A"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Disponibilidad del valor asegurado</w:t>
            </w:r>
          </w:p>
          <w:p w14:paraId="54CE7184" w14:textId="620F3F16" w:rsidR="00B0379A"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Existencia de deducible en la póliza no. 420-80-994000000202</w:t>
            </w:r>
          </w:p>
          <w:p w14:paraId="66997189" w14:textId="1684FF3C" w:rsidR="001E07A0" w:rsidRPr="001E07A0" w:rsidRDefault="001E07A0" w:rsidP="001E07A0">
            <w:pPr>
              <w:pStyle w:val="Prrafodelista"/>
              <w:numPr>
                <w:ilvl w:val="0"/>
                <w:numId w:val="21"/>
              </w:numPr>
              <w:spacing w:after="0" w:line="240" w:lineRule="auto"/>
              <w:ind w:right="-20"/>
              <w:jc w:val="both"/>
              <w:rPr>
                <w:rFonts w:ascii="Calibri" w:eastAsia="Calibri" w:hAnsi="Calibri" w:cs="Calibri"/>
                <w:lang w:val="es-CO"/>
              </w:rPr>
            </w:pPr>
            <w:r w:rsidRPr="001E07A0">
              <w:rPr>
                <w:rFonts w:ascii="Calibri" w:eastAsia="Calibri" w:hAnsi="Calibri" w:cs="Calibri"/>
                <w:lang w:val="es-CO"/>
              </w:rPr>
              <w:t xml:space="preserve">Genérica o </w:t>
            </w:r>
            <w:proofErr w:type="spellStart"/>
            <w:r w:rsidRPr="001E07A0">
              <w:rPr>
                <w:rFonts w:ascii="Calibri" w:eastAsia="Calibri" w:hAnsi="Calibri" w:cs="Calibri"/>
                <w:lang w:val="es-CO"/>
              </w:rPr>
              <w:t>inominada</w:t>
            </w:r>
            <w:proofErr w:type="spellEnd"/>
          </w:p>
        </w:tc>
      </w:tr>
      <w:tr w:rsidR="007E3E69" w:rsidRPr="00E933C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E933C6"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E933C6"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E933C6"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E933C6"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2CD7E881"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4471EB">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71FF7A4C"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4471EB">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E933C6"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043CFC97" w14:textId="77777777" w:rsidR="004471EB" w:rsidRPr="004471EB" w:rsidRDefault="007E3E69" w:rsidP="004471EB">
            <w:pPr>
              <w:tabs>
                <w:tab w:val="left" w:pos="3520"/>
              </w:tabs>
              <w:spacing w:after="0" w:line="264" w:lineRule="exact"/>
              <w:ind w:left="59" w:right="-20"/>
              <w:jc w:val="both"/>
              <w:rPr>
                <w:rFonts w:ascii="Calibri" w:eastAsia="Calibri" w:hAnsi="Calibri" w:cs="Calibri"/>
                <w:lang w:val="es-CO"/>
              </w:rPr>
            </w:pPr>
            <w:r w:rsidRPr="00480CD7">
              <w:rPr>
                <w:rFonts w:ascii="Calibri" w:eastAsia="Calibri" w:hAnsi="Calibri" w:cs="Calibri"/>
                <w:lang w:val="es-CO"/>
              </w:rPr>
              <w:t xml:space="preserve"> </w:t>
            </w:r>
            <w:r w:rsidR="004471EB" w:rsidRPr="004471EB">
              <w:rPr>
                <w:rFonts w:ascii="Calibri" w:eastAsia="Calibri" w:hAnsi="Calibri" w:cs="Calibri"/>
                <w:lang w:val="es-CO"/>
              </w:rPr>
              <w:t xml:space="preserve">Se califica como REMOTA </w:t>
            </w:r>
            <w:proofErr w:type="gramStart"/>
            <w:r w:rsidR="004471EB" w:rsidRPr="004471EB">
              <w:rPr>
                <w:rFonts w:ascii="Calibri" w:eastAsia="Calibri" w:hAnsi="Calibri" w:cs="Calibri"/>
                <w:lang w:val="es-CO"/>
              </w:rPr>
              <w:t>porque</w:t>
            </w:r>
            <w:proofErr w:type="gramEnd"/>
            <w:r w:rsidR="004471EB" w:rsidRPr="004471EB">
              <w:rPr>
                <w:rFonts w:ascii="Calibri" w:eastAsia="Calibri" w:hAnsi="Calibri" w:cs="Calibri"/>
                <w:lang w:val="es-CO"/>
              </w:rPr>
              <w:t xml:space="preserve"> en primer lugar, hay ausencia de cobertura material en la póliza de seguro, y porque no hay lugar a responsabilidad administrativa por parte del Distrito, toda vez que operó el tema de la caducidad en el medio de control y la recuperación del terreno se hizo respetando el debido proceso.</w:t>
            </w:r>
          </w:p>
          <w:p w14:paraId="32B2DF82" w14:textId="77777777" w:rsidR="004471EB" w:rsidRPr="004471EB" w:rsidRDefault="004471EB" w:rsidP="004471EB">
            <w:pPr>
              <w:tabs>
                <w:tab w:val="left" w:pos="3520"/>
              </w:tabs>
              <w:spacing w:after="0" w:line="264" w:lineRule="exact"/>
              <w:ind w:left="59" w:right="-20"/>
              <w:jc w:val="both"/>
              <w:rPr>
                <w:rFonts w:ascii="Calibri" w:eastAsia="Calibri" w:hAnsi="Calibri" w:cs="Calibri"/>
                <w:lang w:val="es-CO"/>
              </w:rPr>
            </w:pPr>
            <w:r w:rsidRPr="004471EB">
              <w:rPr>
                <w:rFonts w:ascii="Calibri" w:eastAsia="Calibri" w:hAnsi="Calibri" w:cs="Calibri"/>
                <w:lang w:val="es-CO"/>
              </w:rPr>
              <w:t xml:space="preserve"> </w:t>
            </w:r>
          </w:p>
          <w:p w14:paraId="13354FFA" w14:textId="77777777" w:rsidR="004471EB" w:rsidRPr="004471EB" w:rsidRDefault="004471EB" w:rsidP="004471EB">
            <w:pPr>
              <w:tabs>
                <w:tab w:val="left" w:pos="3520"/>
              </w:tabs>
              <w:spacing w:after="0" w:line="264" w:lineRule="exact"/>
              <w:ind w:left="59" w:right="-20"/>
              <w:jc w:val="both"/>
              <w:rPr>
                <w:rFonts w:ascii="Calibri" w:eastAsia="Calibri" w:hAnsi="Calibri" w:cs="Calibri"/>
                <w:lang w:val="es-CO"/>
              </w:rPr>
            </w:pPr>
            <w:r w:rsidRPr="004471EB">
              <w:rPr>
                <w:rFonts w:ascii="Calibri" w:eastAsia="Calibri" w:hAnsi="Calibri" w:cs="Calibri"/>
                <w:lang w:val="es-CO"/>
              </w:rPr>
              <w:t>Frente al llamamiento en garantía: La póliza seguro responsabilidad civil No. 420-80-994000000202, cuyo tomador y asegurado es el Distrito Especial De Santiago de Cali, NO presta cobertura material, ya que en ésta se cubre responsabilidad civil extracontractual derivada de predios, labores y operaciones -pretensión que se endilga a la administración por haber “removido” tal predio y haberlo utilizado para la construcción de vía pública- pero el supuesto hecho generador del daño encuadra dentro de las exclusiones de la póliza: El hecho dañoso fue generado por la actuación de un funcionario de la administración que desconoció el debido proceso frente a ese tipo de actuaciones. Frente a la cobertura temporal, la póliza está pactada en modalidad de OCURRENCIA, con una vigencia desde el 30 de agosto de 2021 hasta el 28 de febrero de 2022, y el hecho generador del daño se dio con la resolución del año 2008 donde se destinó el predio a ser vía pública.</w:t>
            </w:r>
          </w:p>
          <w:p w14:paraId="7F49E3D0" w14:textId="77777777" w:rsidR="004471EB" w:rsidRPr="004471EB" w:rsidRDefault="004471EB" w:rsidP="004471EB">
            <w:pPr>
              <w:tabs>
                <w:tab w:val="left" w:pos="3520"/>
              </w:tabs>
              <w:spacing w:after="0" w:line="264" w:lineRule="exact"/>
              <w:ind w:left="59" w:right="-20"/>
              <w:jc w:val="both"/>
              <w:rPr>
                <w:rFonts w:ascii="Calibri" w:eastAsia="Calibri" w:hAnsi="Calibri" w:cs="Calibri"/>
                <w:lang w:val="es-CO"/>
              </w:rPr>
            </w:pPr>
            <w:r w:rsidRPr="004471EB">
              <w:rPr>
                <w:rFonts w:ascii="Calibri" w:eastAsia="Calibri" w:hAnsi="Calibri" w:cs="Calibri"/>
                <w:lang w:val="es-CO"/>
              </w:rPr>
              <w:t xml:space="preserve"> </w:t>
            </w:r>
          </w:p>
          <w:p w14:paraId="425119B2" w14:textId="50B59307" w:rsidR="007E3E69" w:rsidRPr="00675B7A" w:rsidRDefault="004471EB" w:rsidP="004471EB">
            <w:pPr>
              <w:tabs>
                <w:tab w:val="left" w:pos="3520"/>
              </w:tabs>
              <w:spacing w:after="0" w:line="264" w:lineRule="exact"/>
              <w:ind w:left="59" w:right="-20"/>
              <w:jc w:val="both"/>
              <w:rPr>
                <w:rFonts w:ascii="Calibri" w:eastAsia="Calibri" w:hAnsi="Calibri" w:cs="Calibri"/>
                <w:lang w:val="es-CO"/>
              </w:rPr>
            </w:pPr>
            <w:r w:rsidRPr="004471EB">
              <w:rPr>
                <w:rFonts w:ascii="Calibri" w:eastAsia="Calibri" w:hAnsi="Calibri" w:cs="Calibri"/>
                <w:lang w:val="es-CO"/>
              </w:rPr>
              <w:t>Frente a la responsabilidad: No hay lugar a responsabilidad administrativa debido a que ya operó la caducidad frente al medio de control, y además la señora CLARA AVILA tenía conocimiento del estado del predio desde el año 1982., toda vez que, desde que se adquirieron estos predios, era de conocimiento que los mismos vecinos habían convertido tales lotes en “vía pública de acceso al barrio” y posteriormente la administración también realizó labores de adecuación a dichas vías.</w:t>
            </w:r>
          </w:p>
        </w:tc>
      </w:tr>
      <w:tr w:rsidR="007E3E69" w:rsidRPr="00961EF3"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58EBA820"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841980">
              <w:rPr>
                <w:rFonts w:ascii="Calibri" w:eastAsia="Calibri" w:hAnsi="Calibri" w:cs="Calibri"/>
                <w:lang w:val="es-CO"/>
              </w:rPr>
              <w:t>644.342</w:t>
            </w:r>
            <w:r w:rsidR="00961EF3">
              <w:rPr>
                <w:rFonts w:ascii="Calibri" w:eastAsia="Calibri" w:hAnsi="Calibri" w:cs="Calibri"/>
                <w:lang w:val="es-CO"/>
              </w:rPr>
              <w:t xml:space="preserve"> correspondiente al 5% del valor de la contingencia </w:t>
            </w:r>
          </w:p>
        </w:tc>
      </w:tr>
      <w:tr w:rsidR="007E3E69" w:rsidRPr="00E933C6"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93D9BF5"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7E6234">
              <w:rPr>
                <w:rFonts w:ascii="Calibri" w:eastAsia="Calibri" w:hAnsi="Calibri" w:cs="Calibri"/>
                <w:lang w:val="es-CO"/>
              </w:rPr>
              <w:t>13</w:t>
            </w:r>
            <w:r w:rsidR="002D6239">
              <w:rPr>
                <w:rFonts w:ascii="Calibri" w:eastAsia="Calibri" w:hAnsi="Calibri" w:cs="Calibri"/>
                <w:lang w:val="es-CO"/>
              </w:rPr>
              <w:t xml:space="preserve"> de octubre </w:t>
            </w:r>
            <w:proofErr w:type="gramStart"/>
            <w:r w:rsidR="002D6239">
              <w:rPr>
                <w:rFonts w:ascii="Calibri" w:eastAsia="Calibri" w:hAnsi="Calibri" w:cs="Calibri"/>
                <w:lang w:val="es-CO"/>
              </w:rPr>
              <w:t>de  2023</w:t>
            </w:r>
            <w:proofErr w:type="gramEnd"/>
            <w:r w:rsidR="002D6239">
              <w:rPr>
                <w:rFonts w:ascii="Calibri" w:eastAsia="Calibri" w:hAnsi="Calibri" w:cs="Calibri"/>
                <w:lang w:val="es-CO"/>
              </w:rPr>
              <w:t xml:space="preserve"> </w:t>
            </w:r>
            <w:r w:rsidR="00984A87">
              <w:rPr>
                <w:rFonts w:ascii="Calibri" w:eastAsia="Calibri" w:hAnsi="Calibri" w:cs="Calibri"/>
                <w:lang w:val="es-CO"/>
              </w:rPr>
              <w:t>se radic</w:t>
            </w:r>
            <w:r w:rsidR="002D6239">
              <w:rPr>
                <w:rFonts w:ascii="Calibri" w:eastAsia="Calibri" w:hAnsi="Calibri" w:cs="Calibri"/>
                <w:lang w:val="es-CO"/>
              </w:rPr>
              <w:t xml:space="preserve">ó la contestación de la demanda y llamamiento en garantía en representación de CHUBB SEGUROS. </w:t>
            </w:r>
          </w:p>
        </w:tc>
      </w:tr>
      <w:tr w:rsidR="007E3E69" w:rsidRPr="00E933C6"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667CE66"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7E6234">
              <w:rPr>
                <w:rFonts w:ascii="Calibri" w:eastAsia="Calibri" w:hAnsi="Calibri" w:cs="Calibri"/>
                <w:lang w:val="es-CO"/>
              </w:rPr>
              <w:t xml:space="preserve">. Se defenderán los intereses de la compañía, conforme a la excepciones propuestas y pruebas aportadas.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445C30"/>
    <w:multiLevelType w:val="hybridMultilevel"/>
    <w:tmpl w:val="A02E7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C54E81"/>
    <w:multiLevelType w:val="hybridMultilevel"/>
    <w:tmpl w:val="D57A2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17"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9"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5"/>
  </w:num>
  <w:num w:numId="2" w16cid:durableId="42338022">
    <w:abstractNumId w:val="18"/>
  </w:num>
  <w:num w:numId="3" w16cid:durableId="1952973066">
    <w:abstractNumId w:val="1"/>
  </w:num>
  <w:num w:numId="4" w16cid:durableId="391923332">
    <w:abstractNumId w:val="20"/>
  </w:num>
  <w:num w:numId="5" w16cid:durableId="1485508420">
    <w:abstractNumId w:val="13"/>
  </w:num>
  <w:num w:numId="6" w16cid:durableId="1229027101">
    <w:abstractNumId w:val="16"/>
  </w:num>
  <w:num w:numId="7" w16cid:durableId="1831141430">
    <w:abstractNumId w:val="9"/>
  </w:num>
  <w:num w:numId="8" w16cid:durableId="861169331">
    <w:abstractNumId w:val="11"/>
  </w:num>
  <w:num w:numId="9" w16cid:durableId="1243679302">
    <w:abstractNumId w:val="12"/>
  </w:num>
  <w:num w:numId="10" w16cid:durableId="289168077">
    <w:abstractNumId w:val="8"/>
  </w:num>
  <w:num w:numId="11" w16cid:durableId="1263798435">
    <w:abstractNumId w:val="2"/>
  </w:num>
  <w:num w:numId="12" w16cid:durableId="1956205555">
    <w:abstractNumId w:val="19"/>
  </w:num>
  <w:num w:numId="13" w16cid:durableId="1164202511">
    <w:abstractNumId w:val="15"/>
  </w:num>
  <w:num w:numId="14" w16cid:durableId="1412507570">
    <w:abstractNumId w:val="4"/>
  </w:num>
  <w:num w:numId="15" w16cid:durableId="730425482">
    <w:abstractNumId w:val="17"/>
  </w:num>
  <w:num w:numId="16" w16cid:durableId="846746930">
    <w:abstractNumId w:val="7"/>
  </w:num>
  <w:num w:numId="17" w16cid:durableId="1673409162">
    <w:abstractNumId w:val="0"/>
  </w:num>
  <w:num w:numId="18" w16cid:durableId="524446047">
    <w:abstractNumId w:val="10"/>
  </w:num>
  <w:num w:numId="19" w16cid:durableId="1772358953">
    <w:abstractNumId w:val="3"/>
  </w:num>
  <w:num w:numId="20" w16cid:durableId="1079061137">
    <w:abstractNumId w:val="14"/>
  </w:num>
  <w:num w:numId="21" w16cid:durableId="326446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3910"/>
    <w:rsid w:val="00017C74"/>
    <w:rsid w:val="00031AA9"/>
    <w:rsid w:val="00037A75"/>
    <w:rsid w:val="000423C5"/>
    <w:rsid w:val="00054EE9"/>
    <w:rsid w:val="00065098"/>
    <w:rsid w:val="000731AE"/>
    <w:rsid w:val="000745E9"/>
    <w:rsid w:val="00090E9E"/>
    <w:rsid w:val="00091FE6"/>
    <w:rsid w:val="00093D96"/>
    <w:rsid w:val="00095FE2"/>
    <w:rsid w:val="00096244"/>
    <w:rsid w:val="000A6209"/>
    <w:rsid w:val="000A6A0B"/>
    <w:rsid w:val="000B049C"/>
    <w:rsid w:val="000B221B"/>
    <w:rsid w:val="000B78E0"/>
    <w:rsid w:val="000C5295"/>
    <w:rsid w:val="000D60F7"/>
    <w:rsid w:val="000E4BC1"/>
    <w:rsid w:val="000E732A"/>
    <w:rsid w:val="000E7A4B"/>
    <w:rsid w:val="000E7C4C"/>
    <w:rsid w:val="000F1997"/>
    <w:rsid w:val="000F4A41"/>
    <w:rsid w:val="000F5FDC"/>
    <w:rsid w:val="0010229B"/>
    <w:rsid w:val="00117292"/>
    <w:rsid w:val="0012203E"/>
    <w:rsid w:val="00130210"/>
    <w:rsid w:val="001353B6"/>
    <w:rsid w:val="00135896"/>
    <w:rsid w:val="00135C13"/>
    <w:rsid w:val="00157CD6"/>
    <w:rsid w:val="001630F6"/>
    <w:rsid w:val="001672E4"/>
    <w:rsid w:val="00167A63"/>
    <w:rsid w:val="00172711"/>
    <w:rsid w:val="00185491"/>
    <w:rsid w:val="00186A9E"/>
    <w:rsid w:val="001920ED"/>
    <w:rsid w:val="00193DFF"/>
    <w:rsid w:val="00195BF9"/>
    <w:rsid w:val="00196FDA"/>
    <w:rsid w:val="001A2C6B"/>
    <w:rsid w:val="001B10A3"/>
    <w:rsid w:val="001B1CB5"/>
    <w:rsid w:val="001B1F3C"/>
    <w:rsid w:val="001C38A7"/>
    <w:rsid w:val="001C3DB0"/>
    <w:rsid w:val="001C4D71"/>
    <w:rsid w:val="001D49B0"/>
    <w:rsid w:val="001D6460"/>
    <w:rsid w:val="001D7247"/>
    <w:rsid w:val="001D7838"/>
    <w:rsid w:val="001E07A0"/>
    <w:rsid w:val="001E5E44"/>
    <w:rsid w:val="001F1A53"/>
    <w:rsid w:val="002035D3"/>
    <w:rsid w:val="00215B63"/>
    <w:rsid w:val="00217841"/>
    <w:rsid w:val="0022349C"/>
    <w:rsid w:val="0022482B"/>
    <w:rsid w:val="00225F63"/>
    <w:rsid w:val="0023210D"/>
    <w:rsid w:val="002355F7"/>
    <w:rsid w:val="00244FE1"/>
    <w:rsid w:val="00245D5C"/>
    <w:rsid w:val="002502F3"/>
    <w:rsid w:val="00250AC1"/>
    <w:rsid w:val="00252EEB"/>
    <w:rsid w:val="00265856"/>
    <w:rsid w:val="00273650"/>
    <w:rsid w:val="00274F52"/>
    <w:rsid w:val="00281B99"/>
    <w:rsid w:val="00282B60"/>
    <w:rsid w:val="002937D9"/>
    <w:rsid w:val="0029404F"/>
    <w:rsid w:val="00296097"/>
    <w:rsid w:val="002A4A94"/>
    <w:rsid w:val="002B02AC"/>
    <w:rsid w:val="002C701E"/>
    <w:rsid w:val="002C730F"/>
    <w:rsid w:val="002D1D88"/>
    <w:rsid w:val="002D6239"/>
    <w:rsid w:val="002E6FAD"/>
    <w:rsid w:val="002F2F57"/>
    <w:rsid w:val="002F6689"/>
    <w:rsid w:val="00302860"/>
    <w:rsid w:val="00311BE1"/>
    <w:rsid w:val="003154C4"/>
    <w:rsid w:val="00320295"/>
    <w:rsid w:val="003202D4"/>
    <w:rsid w:val="00322150"/>
    <w:rsid w:val="00326857"/>
    <w:rsid w:val="00326BC1"/>
    <w:rsid w:val="00333617"/>
    <w:rsid w:val="00354F43"/>
    <w:rsid w:val="00355C73"/>
    <w:rsid w:val="003637A1"/>
    <w:rsid w:val="00366964"/>
    <w:rsid w:val="00371BE2"/>
    <w:rsid w:val="00384A80"/>
    <w:rsid w:val="003873D2"/>
    <w:rsid w:val="00394BB6"/>
    <w:rsid w:val="003A35CE"/>
    <w:rsid w:val="003A3632"/>
    <w:rsid w:val="003B4481"/>
    <w:rsid w:val="003B528F"/>
    <w:rsid w:val="003C57D4"/>
    <w:rsid w:val="003C7666"/>
    <w:rsid w:val="003D45C5"/>
    <w:rsid w:val="003D5186"/>
    <w:rsid w:val="003D7754"/>
    <w:rsid w:val="003D7CF8"/>
    <w:rsid w:val="003E182D"/>
    <w:rsid w:val="003E3307"/>
    <w:rsid w:val="003E66B1"/>
    <w:rsid w:val="003E789A"/>
    <w:rsid w:val="004001FB"/>
    <w:rsid w:val="00401B45"/>
    <w:rsid w:val="00404952"/>
    <w:rsid w:val="004103CC"/>
    <w:rsid w:val="00414E2F"/>
    <w:rsid w:val="00423A98"/>
    <w:rsid w:val="00424F95"/>
    <w:rsid w:val="004415E7"/>
    <w:rsid w:val="004471EB"/>
    <w:rsid w:val="004539D7"/>
    <w:rsid w:val="00463970"/>
    <w:rsid w:val="00464E10"/>
    <w:rsid w:val="00464FDD"/>
    <w:rsid w:val="00472DAC"/>
    <w:rsid w:val="00477558"/>
    <w:rsid w:val="00480CD7"/>
    <w:rsid w:val="0048218A"/>
    <w:rsid w:val="00484F6A"/>
    <w:rsid w:val="00487D9E"/>
    <w:rsid w:val="00490EC3"/>
    <w:rsid w:val="004A08D5"/>
    <w:rsid w:val="004A326A"/>
    <w:rsid w:val="004B1877"/>
    <w:rsid w:val="004B2E93"/>
    <w:rsid w:val="004C7948"/>
    <w:rsid w:val="004D0AF4"/>
    <w:rsid w:val="004D6763"/>
    <w:rsid w:val="004E282C"/>
    <w:rsid w:val="004E391B"/>
    <w:rsid w:val="004E3C5D"/>
    <w:rsid w:val="004E43A4"/>
    <w:rsid w:val="004F0634"/>
    <w:rsid w:val="004F4046"/>
    <w:rsid w:val="004F57FC"/>
    <w:rsid w:val="005053D5"/>
    <w:rsid w:val="005147D8"/>
    <w:rsid w:val="00520F79"/>
    <w:rsid w:val="005212FF"/>
    <w:rsid w:val="00524264"/>
    <w:rsid w:val="005262E1"/>
    <w:rsid w:val="00532B86"/>
    <w:rsid w:val="0054060E"/>
    <w:rsid w:val="00544C96"/>
    <w:rsid w:val="00546EE3"/>
    <w:rsid w:val="005531BF"/>
    <w:rsid w:val="005635FC"/>
    <w:rsid w:val="0057249B"/>
    <w:rsid w:val="005751C6"/>
    <w:rsid w:val="00576061"/>
    <w:rsid w:val="005815B6"/>
    <w:rsid w:val="00586C23"/>
    <w:rsid w:val="0059320E"/>
    <w:rsid w:val="00595AD3"/>
    <w:rsid w:val="005A0EFD"/>
    <w:rsid w:val="005B28B4"/>
    <w:rsid w:val="005B597C"/>
    <w:rsid w:val="005B5F80"/>
    <w:rsid w:val="005C5F07"/>
    <w:rsid w:val="005C6946"/>
    <w:rsid w:val="005C75D0"/>
    <w:rsid w:val="005D29D0"/>
    <w:rsid w:val="005E045D"/>
    <w:rsid w:val="005E23D6"/>
    <w:rsid w:val="005F6D79"/>
    <w:rsid w:val="00601B7A"/>
    <w:rsid w:val="00621622"/>
    <w:rsid w:val="00625A67"/>
    <w:rsid w:val="00627082"/>
    <w:rsid w:val="00633BED"/>
    <w:rsid w:val="00633DBB"/>
    <w:rsid w:val="00634A05"/>
    <w:rsid w:val="00636AB0"/>
    <w:rsid w:val="00646758"/>
    <w:rsid w:val="0064777D"/>
    <w:rsid w:val="006518FE"/>
    <w:rsid w:val="00652FCA"/>
    <w:rsid w:val="0065760C"/>
    <w:rsid w:val="00675B7A"/>
    <w:rsid w:val="00686632"/>
    <w:rsid w:val="00696A44"/>
    <w:rsid w:val="006A4DCE"/>
    <w:rsid w:val="006C485B"/>
    <w:rsid w:val="006D33C6"/>
    <w:rsid w:val="006D4010"/>
    <w:rsid w:val="006D7CEA"/>
    <w:rsid w:val="006E2EE8"/>
    <w:rsid w:val="006E60A9"/>
    <w:rsid w:val="006F4CA2"/>
    <w:rsid w:val="006F586F"/>
    <w:rsid w:val="00700CAC"/>
    <w:rsid w:val="00702247"/>
    <w:rsid w:val="00704025"/>
    <w:rsid w:val="00707A19"/>
    <w:rsid w:val="007103C0"/>
    <w:rsid w:val="007104F1"/>
    <w:rsid w:val="007138BE"/>
    <w:rsid w:val="00715CD8"/>
    <w:rsid w:val="007176E9"/>
    <w:rsid w:val="007211DE"/>
    <w:rsid w:val="007213D4"/>
    <w:rsid w:val="00721B5E"/>
    <w:rsid w:val="00722A45"/>
    <w:rsid w:val="00724CED"/>
    <w:rsid w:val="007260BE"/>
    <w:rsid w:val="00726D57"/>
    <w:rsid w:val="007318C8"/>
    <w:rsid w:val="00731F80"/>
    <w:rsid w:val="00732832"/>
    <w:rsid w:val="007369B1"/>
    <w:rsid w:val="00737985"/>
    <w:rsid w:val="00737A32"/>
    <w:rsid w:val="0074306B"/>
    <w:rsid w:val="00743C5C"/>
    <w:rsid w:val="00751578"/>
    <w:rsid w:val="0075459A"/>
    <w:rsid w:val="0076324F"/>
    <w:rsid w:val="00775C99"/>
    <w:rsid w:val="0078362D"/>
    <w:rsid w:val="00792136"/>
    <w:rsid w:val="007A3F6F"/>
    <w:rsid w:val="007B144B"/>
    <w:rsid w:val="007C1069"/>
    <w:rsid w:val="007C20F1"/>
    <w:rsid w:val="007C49F7"/>
    <w:rsid w:val="007E2CB7"/>
    <w:rsid w:val="007E3E69"/>
    <w:rsid w:val="007E6234"/>
    <w:rsid w:val="007F5C9F"/>
    <w:rsid w:val="007F5DCD"/>
    <w:rsid w:val="00803CE4"/>
    <w:rsid w:val="00804F5C"/>
    <w:rsid w:val="008124D1"/>
    <w:rsid w:val="008400D9"/>
    <w:rsid w:val="008403B3"/>
    <w:rsid w:val="00841980"/>
    <w:rsid w:val="008426FB"/>
    <w:rsid w:val="00850347"/>
    <w:rsid w:val="00854EC2"/>
    <w:rsid w:val="0085526A"/>
    <w:rsid w:val="00866392"/>
    <w:rsid w:val="00866E11"/>
    <w:rsid w:val="0087349D"/>
    <w:rsid w:val="0088101E"/>
    <w:rsid w:val="00883A86"/>
    <w:rsid w:val="00892EE8"/>
    <w:rsid w:val="00894866"/>
    <w:rsid w:val="008A3445"/>
    <w:rsid w:val="008B21E3"/>
    <w:rsid w:val="008B31B9"/>
    <w:rsid w:val="008C5740"/>
    <w:rsid w:val="008C58F4"/>
    <w:rsid w:val="008D3933"/>
    <w:rsid w:val="008E1A5C"/>
    <w:rsid w:val="008F0ABF"/>
    <w:rsid w:val="008F12CE"/>
    <w:rsid w:val="008F4797"/>
    <w:rsid w:val="00906C60"/>
    <w:rsid w:val="00906DDF"/>
    <w:rsid w:val="00910A22"/>
    <w:rsid w:val="0091250C"/>
    <w:rsid w:val="0091527E"/>
    <w:rsid w:val="00920287"/>
    <w:rsid w:val="0092164F"/>
    <w:rsid w:val="0093760C"/>
    <w:rsid w:val="00941ABF"/>
    <w:rsid w:val="00942548"/>
    <w:rsid w:val="009461FB"/>
    <w:rsid w:val="00950123"/>
    <w:rsid w:val="0095173E"/>
    <w:rsid w:val="00952357"/>
    <w:rsid w:val="00961EF3"/>
    <w:rsid w:val="00972C94"/>
    <w:rsid w:val="0097396F"/>
    <w:rsid w:val="00976316"/>
    <w:rsid w:val="00976E25"/>
    <w:rsid w:val="00984A87"/>
    <w:rsid w:val="00991D54"/>
    <w:rsid w:val="009934C4"/>
    <w:rsid w:val="00994FA1"/>
    <w:rsid w:val="0099591E"/>
    <w:rsid w:val="00995FC2"/>
    <w:rsid w:val="009A3D5A"/>
    <w:rsid w:val="009A76F3"/>
    <w:rsid w:val="009C29F3"/>
    <w:rsid w:val="009C4CAA"/>
    <w:rsid w:val="009D392A"/>
    <w:rsid w:val="009E123C"/>
    <w:rsid w:val="009E41AC"/>
    <w:rsid w:val="009E69D0"/>
    <w:rsid w:val="009F4C3A"/>
    <w:rsid w:val="009F5BCE"/>
    <w:rsid w:val="00A0000B"/>
    <w:rsid w:val="00A01F7B"/>
    <w:rsid w:val="00A0611F"/>
    <w:rsid w:val="00A06D0B"/>
    <w:rsid w:val="00A11903"/>
    <w:rsid w:val="00A1229F"/>
    <w:rsid w:val="00A12E26"/>
    <w:rsid w:val="00A14760"/>
    <w:rsid w:val="00A15D53"/>
    <w:rsid w:val="00A342B0"/>
    <w:rsid w:val="00A367C9"/>
    <w:rsid w:val="00A37095"/>
    <w:rsid w:val="00A41E0B"/>
    <w:rsid w:val="00A559F0"/>
    <w:rsid w:val="00A60E21"/>
    <w:rsid w:val="00A808E2"/>
    <w:rsid w:val="00A835C3"/>
    <w:rsid w:val="00A904AB"/>
    <w:rsid w:val="00A90D72"/>
    <w:rsid w:val="00A956EB"/>
    <w:rsid w:val="00A970EE"/>
    <w:rsid w:val="00AB19D8"/>
    <w:rsid w:val="00AB649C"/>
    <w:rsid w:val="00AB7111"/>
    <w:rsid w:val="00AC29C1"/>
    <w:rsid w:val="00AC2C27"/>
    <w:rsid w:val="00AE488E"/>
    <w:rsid w:val="00B00E11"/>
    <w:rsid w:val="00B0379A"/>
    <w:rsid w:val="00B05263"/>
    <w:rsid w:val="00B06F05"/>
    <w:rsid w:val="00B06F9F"/>
    <w:rsid w:val="00B11CEB"/>
    <w:rsid w:val="00B120D9"/>
    <w:rsid w:val="00B121CD"/>
    <w:rsid w:val="00B150C6"/>
    <w:rsid w:val="00B3016E"/>
    <w:rsid w:val="00B35D8B"/>
    <w:rsid w:val="00B4296A"/>
    <w:rsid w:val="00B5348B"/>
    <w:rsid w:val="00B61B68"/>
    <w:rsid w:val="00B86EBE"/>
    <w:rsid w:val="00B876CE"/>
    <w:rsid w:val="00B9207B"/>
    <w:rsid w:val="00B93965"/>
    <w:rsid w:val="00B94ABF"/>
    <w:rsid w:val="00B95852"/>
    <w:rsid w:val="00B96380"/>
    <w:rsid w:val="00BA1A0A"/>
    <w:rsid w:val="00BA6779"/>
    <w:rsid w:val="00BB30BA"/>
    <w:rsid w:val="00BB57A2"/>
    <w:rsid w:val="00BB5BDC"/>
    <w:rsid w:val="00BC5AE0"/>
    <w:rsid w:val="00BC5F8F"/>
    <w:rsid w:val="00BC7A1B"/>
    <w:rsid w:val="00BE6389"/>
    <w:rsid w:val="00BF2E26"/>
    <w:rsid w:val="00BF3035"/>
    <w:rsid w:val="00BF6D0C"/>
    <w:rsid w:val="00BF7970"/>
    <w:rsid w:val="00C14B5E"/>
    <w:rsid w:val="00C23F3E"/>
    <w:rsid w:val="00C27952"/>
    <w:rsid w:val="00C31D87"/>
    <w:rsid w:val="00C36C17"/>
    <w:rsid w:val="00C3742D"/>
    <w:rsid w:val="00C4148B"/>
    <w:rsid w:val="00C41FA9"/>
    <w:rsid w:val="00C47841"/>
    <w:rsid w:val="00C53CC6"/>
    <w:rsid w:val="00C5609C"/>
    <w:rsid w:val="00C6240F"/>
    <w:rsid w:val="00C64079"/>
    <w:rsid w:val="00C643F3"/>
    <w:rsid w:val="00C67B59"/>
    <w:rsid w:val="00C715FA"/>
    <w:rsid w:val="00C82228"/>
    <w:rsid w:val="00C87CCB"/>
    <w:rsid w:val="00CA1884"/>
    <w:rsid w:val="00CA2B24"/>
    <w:rsid w:val="00CA5BD3"/>
    <w:rsid w:val="00CB19F3"/>
    <w:rsid w:val="00CB7174"/>
    <w:rsid w:val="00CC56DC"/>
    <w:rsid w:val="00CC6D29"/>
    <w:rsid w:val="00CD3C5C"/>
    <w:rsid w:val="00CD4FC7"/>
    <w:rsid w:val="00CD7B05"/>
    <w:rsid w:val="00CE1DF1"/>
    <w:rsid w:val="00CE23D2"/>
    <w:rsid w:val="00CE56CC"/>
    <w:rsid w:val="00CF632E"/>
    <w:rsid w:val="00D0745D"/>
    <w:rsid w:val="00D12F97"/>
    <w:rsid w:val="00D14B62"/>
    <w:rsid w:val="00D52702"/>
    <w:rsid w:val="00D52832"/>
    <w:rsid w:val="00D62866"/>
    <w:rsid w:val="00D749C9"/>
    <w:rsid w:val="00D81F37"/>
    <w:rsid w:val="00DA5B1F"/>
    <w:rsid w:val="00DC3D49"/>
    <w:rsid w:val="00DD2D67"/>
    <w:rsid w:val="00DD5A01"/>
    <w:rsid w:val="00DF342B"/>
    <w:rsid w:val="00E05524"/>
    <w:rsid w:val="00E124F5"/>
    <w:rsid w:val="00E23CE2"/>
    <w:rsid w:val="00E253F5"/>
    <w:rsid w:val="00E27653"/>
    <w:rsid w:val="00E3105D"/>
    <w:rsid w:val="00E33B85"/>
    <w:rsid w:val="00E56027"/>
    <w:rsid w:val="00E62368"/>
    <w:rsid w:val="00E677CC"/>
    <w:rsid w:val="00E75AFE"/>
    <w:rsid w:val="00E865CC"/>
    <w:rsid w:val="00E86622"/>
    <w:rsid w:val="00E933C6"/>
    <w:rsid w:val="00EB4672"/>
    <w:rsid w:val="00EB6772"/>
    <w:rsid w:val="00ED46B9"/>
    <w:rsid w:val="00EF2F4D"/>
    <w:rsid w:val="00EF5F0B"/>
    <w:rsid w:val="00EF6F27"/>
    <w:rsid w:val="00F019D1"/>
    <w:rsid w:val="00F06CA1"/>
    <w:rsid w:val="00F154FD"/>
    <w:rsid w:val="00F16529"/>
    <w:rsid w:val="00F2447D"/>
    <w:rsid w:val="00F34586"/>
    <w:rsid w:val="00F3525E"/>
    <w:rsid w:val="00F40457"/>
    <w:rsid w:val="00F43B1A"/>
    <w:rsid w:val="00F45A16"/>
    <w:rsid w:val="00F51244"/>
    <w:rsid w:val="00F56E1E"/>
    <w:rsid w:val="00F6087E"/>
    <w:rsid w:val="00F61CC3"/>
    <w:rsid w:val="00F7270C"/>
    <w:rsid w:val="00F82B45"/>
    <w:rsid w:val="00FA4C79"/>
    <w:rsid w:val="00FB123E"/>
    <w:rsid w:val="00FB618B"/>
    <w:rsid w:val="00FE1E33"/>
    <w:rsid w:val="00FE22CF"/>
    <w:rsid w:val="00FE7165"/>
    <w:rsid w:val="00FF12D2"/>
    <w:rsid w:val="00FF65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1060</Words>
  <Characters>5834</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4</cp:revision>
  <dcterms:created xsi:type="dcterms:W3CDTF">2023-11-03T00:41:00Z</dcterms:created>
  <dcterms:modified xsi:type="dcterms:W3CDTF">2023-11-03T00:43:00Z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